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89090" w14:textId="5AE377FA" w:rsidR="0042756B" w:rsidRDefault="003F1DDC" w:rsidP="003F1DDC">
      <w:pPr>
        <w:spacing w:before="120" w:after="120"/>
        <w:rPr>
          <w:rFonts w:ascii="Calibri" w:hAnsi="Calibri" w:cs="Calibri"/>
          <w:b/>
          <w:color w:val="000000"/>
          <w:sz w:val="28"/>
        </w:rPr>
      </w:pPr>
      <w:r>
        <w:rPr>
          <w:rFonts w:ascii="Calibri" w:hAnsi="Calibri" w:cs="Calibri"/>
          <w:b/>
          <w:color w:val="000000"/>
          <w:sz w:val="28"/>
        </w:rPr>
        <w:t>4.6 SYSTEM USABILITY EVALUATION PLAN AND RESULTS</w:t>
      </w:r>
    </w:p>
    <w:p w14:paraId="0ABA8D4F" w14:textId="31CBC653" w:rsidR="003F1DDC" w:rsidRDefault="003F1DDC" w:rsidP="003F1DDC">
      <w:pPr>
        <w:spacing w:before="240" w:after="80"/>
        <w:rPr>
          <w:rFonts w:ascii="Calibri" w:hAnsi="Calibri" w:cs="Calibri"/>
          <w:b/>
          <w:color w:val="000000"/>
        </w:rPr>
      </w:pPr>
      <w:r>
        <w:rPr>
          <w:rFonts w:ascii="Calibri" w:hAnsi="Calibri" w:cs="Calibri"/>
          <w:b/>
          <w:color w:val="000000"/>
        </w:rPr>
        <w:t>Participant Sampling Method</w:t>
      </w:r>
    </w:p>
    <w:p w14:paraId="7509639C" w14:textId="7CA8E838" w:rsidR="003F1DDC" w:rsidRDefault="003F1DDC" w:rsidP="003F1DDC">
      <w:pPr>
        <w:spacing w:after="120" w:line="240" w:lineRule="auto"/>
        <w:jc w:val="both"/>
        <w:rPr>
          <w:rFonts w:ascii="Calibri" w:hAnsi="Calibri" w:cs="Calibri"/>
          <w:color w:val="000000"/>
          <w:sz w:val="22"/>
        </w:rPr>
      </w:pPr>
      <w:r>
        <w:rPr>
          <w:rFonts w:ascii="Calibri" w:hAnsi="Calibri" w:cs="Calibri"/>
          <w:color w:val="000000"/>
          <w:sz w:val="22"/>
        </w:rPr>
        <w:t>A purposive sampling methodology was employed to select representative participants across technical, administrative, field operations, and community resident stakeholders within the City of Manila. The evaluation engaged five distinct user groups: Information Technology Professionals, Local Government Unit (LGU) Disaster Risk Reduction and Management Officers, Barangay Administrative Officials, Frontline Field Response Staff, and Community Household Beneficiaries. This cross-sectional participant distribution ensured a balanced evaluation of interface usability, real-time transaction processing, operational learnability, and overall user satisfaction. Engaging participants with varying levels of digital literacy, ranging from seasoned systems analysts to urban community residents, provided rigorous empirical validation of the platform under conditions simulating post-disaster field operations.</w:t>
      </w:r>
    </w:p>
    <w:p w14:paraId="47CB2974" w14:textId="507B8B5D" w:rsidR="003F1DDC" w:rsidRDefault="003F1DDC" w:rsidP="003F1DDC">
      <w:pPr>
        <w:spacing w:after="120" w:line="240" w:lineRule="auto"/>
        <w:jc w:val="both"/>
        <w:rPr>
          <w:rFonts w:ascii="Calibri" w:hAnsi="Calibri" w:cs="Calibri"/>
          <w:color w:val="000000"/>
          <w:sz w:val="22"/>
        </w:rPr>
      </w:pPr>
      <w:r>
        <w:rPr>
          <w:rFonts w:ascii="Calibri" w:hAnsi="Calibri" w:cs="Calibri"/>
          <w:color w:val="000000"/>
          <w:sz w:val="22"/>
        </w:rPr>
        <w:t>The sampling quota was established at ten participants, satisfying the recommended five-to-fifteen participant threshold for usability engineering evaluations. The cohort comprised three IT Professionals (30 percent), two LGU Disaster Officers (20 percent), three Barangay Officials and Field Personnel (30 percent), and two Community Residents (20 percent). Inclusion criteria required administrative personnel to have active responsibilities in disaster coordination or relief disbursement under Republic Act 10121, while community residents were required to reside within pilot flood-vulnerable communities in District 3 of Manila, specifically Barangay 291 and adjoining areas.</w:t>
      </w:r>
    </w:p>
    <w:p w14:paraId="093B14F7" w14:textId="3A9FF97C" w:rsidR="003F1DDC" w:rsidRDefault="003F1DDC" w:rsidP="003F1DDC">
      <w:pPr>
        <w:spacing w:before="240" w:after="80" w:line="240" w:lineRule="auto"/>
        <w:rPr>
          <w:rFonts w:ascii="Calibri" w:hAnsi="Calibri" w:cs="Calibri"/>
          <w:b/>
          <w:color w:val="000000"/>
        </w:rPr>
      </w:pPr>
      <w:r>
        <w:rPr>
          <w:rFonts w:ascii="Calibri" w:hAnsi="Calibri" w:cs="Calibri"/>
          <w:b/>
          <w:color w:val="000000"/>
        </w:rPr>
        <w:t>Data Collection Procedures</w:t>
      </w:r>
    </w:p>
    <w:p w14:paraId="071E6701" w14:textId="51C86E39" w:rsidR="003F1DDC" w:rsidRDefault="003F1DDC" w:rsidP="003F1DDC">
      <w:pPr>
        <w:spacing w:after="120" w:line="240" w:lineRule="auto"/>
        <w:jc w:val="both"/>
        <w:rPr>
          <w:rFonts w:ascii="Calibri" w:hAnsi="Calibri" w:cs="Calibri"/>
          <w:color w:val="000000"/>
          <w:sz w:val="22"/>
        </w:rPr>
      </w:pPr>
      <w:r>
        <w:rPr>
          <w:rFonts w:ascii="Calibri" w:hAnsi="Calibri" w:cs="Calibri"/>
          <w:color w:val="000000"/>
          <w:sz w:val="22"/>
        </w:rPr>
        <w:t>Data collection was conducted in two structured phases within a controlled laboratory and simulated field setting. In the first phase, participants were oriented on the objectives of the study, the scope of Republic Act 10121 disaster mitigation workflows, and their rights under the Data Privacy Act of 2012 (Republic Act 10173). Written informed consent was secured prior to any system interaction. Participants were then tasked with completing standardized scenario-driven activities corresponding to their functional roles:</w:t>
      </w:r>
    </w:p>
    <w:p w14:paraId="60AC9A85" w14:textId="58B0D368" w:rsidR="003F1DDC" w:rsidRDefault="003F1DDC" w:rsidP="003F1DDC">
      <w:pPr>
        <w:spacing w:after="120" w:line="240" w:lineRule="auto"/>
        <w:jc w:val="both"/>
        <w:rPr>
          <w:rFonts w:ascii="Calibri" w:hAnsi="Calibri" w:cs="Calibri"/>
          <w:color w:val="000000"/>
          <w:sz w:val="22"/>
        </w:rPr>
      </w:pPr>
      <w:r>
        <w:rPr>
          <w:rFonts w:ascii="Calibri" w:hAnsi="Calibri" w:cs="Calibri"/>
          <w:color w:val="000000"/>
          <w:sz w:val="22"/>
        </w:rPr>
        <w:t>1. Community Residents executed household registration, identity card photo submission, structural damage report creation with automated GPS geotagging, Cash-For-Work livelihood project application, and offline household QR pass verification.</w:t>
      </w:r>
    </w:p>
    <w:p w14:paraId="488FA36F" w14:textId="497DB2B7" w:rsidR="003F1DDC" w:rsidRDefault="003F1DDC" w:rsidP="003F1DDC">
      <w:pPr>
        <w:spacing w:after="120" w:line="240" w:lineRule="auto"/>
        <w:jc w:val="both"/>
        <w:rPr>
          <w:rFonts w:ascii="Calibri" w:hAnsi="Calibri" w:cs="Calibri"/>
          <w:color w:val="000000"/>
          <w:sz w:val="22"/>
        </w:rPr>
      </w:pPr>
      <w:r>
        <w:rPr>
          <w:rFonts w:ascii="Calibri" w:hAnsi="Calibri" w:cs="Calibri"/>
          <w:color w:val="000000"/>
          <w:sz w:val="22"/>
        </w:rPr>
        <w:t>2. Field Response Personnel utilized the mobile scanner suite to capture resident QR codes, review right-sized family food package entitlement breakdowns, verify duplicate-claim interception alerts, log package handoffs, and submit field incident reports.</w:t>
      </w:r>
    </w:p>
    <w:p w14:paraId="3F7BBF82" w14:textId="096EAA48" w:rsidR="003F1DDC" w:rsidRDefault="003F1DDC" w:rsidP="003F1DDC">
      <w:pPr>
        <w:spacing w:after="120" w:line="240" w:lineRule="auto"/>
        <w:jc w:val="both"/>
        <w:rPr>
          <w:rFonts w:ascii="Calibri" w:hAnsi="Calibri" w:cs="Calibri"/>
          <w:color w:val="000000"/>
          <w:sz w:val="22"/>
        </w:rPr>
      </w:pPr>
      <w:r>
        <w:rPr>
          <w:rFonts w:ascii="Calibri" w:hAnsi="Calibri" w:cs="Calibri"/>
          <w:color w:val="000000"/>
          <w:sz w:val="22"/>
        </w:rPr>
        <w:t>3. Barangay Officials accessed the web portal to review pending resident verification queues, approve or reject damage submissions, and monitor community priority rosters.</w:t>
      </w:r>
    </w:p>
    <w:p w14:paraId="62BA8356" w14:textId="284D76B3" w:rsidR="003F1DDC" w:rsidRDefault="003F1DDC" w:rsidP="003F1DDC">
      <w:pPr>
        <w:spacing w:after="120" w:line="240" w:lineRule="auto"/>
        <w:jc w:val="both"/>
        <w:rPr>
          <w:rFonts w:ascii="Calibri" w:hAnsi="Calibri" w:cs="Calibri"/>
          <w:color w:val="000000"/>
          <w:sz w:val="22"/>
        </w:rPr>
      </w:pPr>
      <w:r>
        <w:rPr>
          <w:rFonts w:ascii="Calibri" w:hAnsi="Calibri" w:cs="Calibri"/>
          <w:color w:val="000000"/>
          <w:sz w:val="22"/>
        </w:rPr>
        <w:t>4. LGU Officers and IT Professionals operated the master command dashboard, inspected the Manila District GIS risk heatmap, simulated right-sized allocation parameters, managed warehouse buffer inventories, and audited system security logs.</w:t>
      </w:r>
    </w:p>
    <w:p w14:paraId="395D2BD9" w14:textId="1FAF1352" w:rsidR="003F1DDC" w:rsidRDefault="003F1DDC" w:rsidP="003F1DDC">
      <w:pPr>
        <w:spacing w:after="120" w:line="240" w:lineRule="auto"/>
        <w:jc w:val="both"/>
        <w:rPr>
          <w:rFonts w:ascii="Calibri" w:hAnsi="Calibri" w:cs="Calibri"/>
          <w:color w:val="000000"/>
          <w:sz w:val="22"/>
        </w:rPr>
      </w:pPr>
      <w:r>
        <w:rPr>
          <w:rFonts w:ascii="Calibri" w:hAnsi="Calibri" w:cs="Calibri"/>
          <w:color w:val="000000"/>
          <w:sz w:val="22"/>
        </w:rPr>
        <w:t>Following task execution, participants completed an evaluation survey instrument based on the ISO/IEC 25010 System and Software Quality Model. The questionnaire comprised twenty items distributed equally across four core usability categories: Ease of Use, Performance and Efficiency, Learnability, and Satisfaction. Responses were recorded using a standard five-point Likert scale (1 = Strongly Disagree, 2 = Disagree, 3 = Neutral, 4 = Agree, 5 = Strongly Agree).</w:t>
      </w:r>
    </w:p>
    <w:p w14:paraId="7A0D15A7" w14:textId="6304A09A" w:rsidR="003F1DDC" w:rsidRDefault="003F1DDC" w:rsidP="003F1DDC">
      <w:pPr>
        <w:spacing w:before="240" w:after="80" w:line="240" w:lineRule="auto"/>
        <w:rPr>
          <w:rFonts w:ascii="Calibri" w:hAnsi="Calibri" w:cs="Calibri"/>
          <w:b/>
          <w:color w:val="000000"/>
        </w:rPr>
      </w:pPr>
      <w:r>
        <w:rPr>
          <w:rFonts w:ascii="Calibri" w:hAnsi="Calibri" w:cs="Calibri"/>
          <w:b/>
          <w:color w:val="000000"/>
        </w:rPr>
        <w:lastRenderedPageBreak/>
        <w:t>Data Management Strategy</w:t>
      </w:r>
    </w:p>
    <w:p w14:paraId="56249E4F" w14:textId="4B077744" w:rsidR="003F1DDC" w:rsidRDefault="003F1DDC" w:rsidP="003F1DDC">
      <w:pPr>
        <w:spacing w:after="120" w:line="240" w:lineRule="auto"/>
        <w:jc w:val="both"/>
        <w:rPr>
          <w:rFonts w:ascii="Calibri" w:hAnsi="Calibri" w:cs="Calibri"/>
          <w:color w:val="000000"/>
          <w:sz w:val="22"/>
        </w:rPr>
      </w:pPr>
      <w:r>
        <w:rPr>
          <w:rFonts w:ascii="Calibri" w:hAnsi="Calibri" w:cs="Calibri"/>
          <w:color w:val="000000"/>
          <w:sz w:val="22"/>
        </w:rPr>
        <w:t>To protect participant confidentiality and adhere strictly to Republic Act 10173, all survey responses were anonymized upon intake. Each participant was assigned an alphanumeric identifier (e.g., RESP-01 through RESP-10), decoupling evaluation scores from personal identities. Raw survey data was transmitted over encrypted HTTPS channels and archived in an encrypted, access-controlled repository accessible solely to the primary research team. Data retention is scheduled for twelve months following official academic defense, after which all digital logs will be securely purged.</w:t>
      </w:r>
    </w:p>
    <w:p w14:paraId="14D8BE78" w14:textId="5A0FC733" w:rsidR="003F1DDC" w:rsidRDefault="003F1DDC" w:rsidP="003F1DDC">
      <w:pPr>
        <w:spacing w:before="240" w:after="80" w:line="240" w:lineRule="auto"/>
        <w:rPr>
          <w:rFonts w:ascii="Calibri" w:hAnsi="Calibri" w:cs="Calibri"/>
          <w:b/>
          <w:color w:val="000000"/>
        </w:rPr>
      </w:pPr>
      <w:r>
        <w:rPr>
          <w:rFonts w:ascii="Calibri" w:hAnsi="Calibri" w:cs="Calibri"/>
          <w:b/>
          <w:color w:val="000000"/>
        </w:rPr>
        <w:t>Data Interpretation and Analysis Strategy</w:t>
      </w:r>
    </w:p>
    <w:p w14:paraId="55D61B8C" w14:textId="184CF7B1" w:rsidR="003F1DDC" w:rsidRDefault="003F1DDC" w:rsidP="003F1DDC">
      <w:pPr>
        <w:spacing w:after="120" w:line="240" w:lineRule="auto"/>
        <w:jc w:val="both"/>
        <w:rPr>
          <w:rFonts w:ascii="Calibri" w:hAnsi="Calibri" w:cs="Calibri"/>
          <w:color w:val="000000"/>
          <w:sz w:val="22"/>
        </w:rPr>
      </w:pPr>
      <w:r>
        <w:rPr>
          <w:rFonts w:ascii="Calibri" w:hAnsi="Calibri" w:cs="Calibri"/>
          <w:color w:val="000000"/>
          <w:sz w:val="22"/>
        </w:rPr>
        <w:t>Collected evaluation metrics were processed using descriptive statistical analysis. For each survey item and usability category, the sample mean and standard deviation were computed to quantify consensus and response consistency. The sample mean represents the central tendency of participant ratings and is calculated as follows:</w:t>
      </w:r>
    </w:p>
    <w:p w14:paraId="7E71FC61" w14:textId="75EC0D45" w:rsidR="003F1DDC" w:rsidRDefault="003F1DDC" w:rsidP="003F1DDC">
      <w:pPr>
        <w:spacing w:after="120" w:line="240" w:lineRule="auto"/>
        <w:jc w:val="both"/>
        <w:rPr>
          <w:rFonts w:ascii="Calibri" w:hAnsi="Calibri" w:cs="Calibri"/>
          <w:color w:val="000000"/>
          <w:sz w:val="22"/>
        </w:rPr>
      </w:pPr>
      <w:r>
        <w:rPr>
          <w:rFonts w:ascii="Calibri" w:hAnsi="Calibri" w:cs="Calibri"/>
          <w:color w:val="000000"/>
          <w:sz w:val="22"/>
        </w:rPr>
        <w:t>Mean (x̄) = (Σ xi) / n</w:t>
      </w:r>
    </w:p>
    <w:p w14:paraId="785F7954" w14:textId="03B87DFA" w:rsidR="003F1DDC" w:rsidRDefault="003F1DDC" w:rsidP="003F1DDC">
      <w:pPr>
        <w:spacing w:after="120" w:line="240" w:lineRule="auto"/>
        <w:jc w:val="both"/>
        <w:rPr>
          <w:rFonts w:ascii="Calibri" w:hAnsi="Calibri" w:cs="Calibri"/>
          <w:color w:val="000000"/>
          <w:sz w:val="22"/>
        </w:rPr>
      </w:pPr>
      <w:r>
        <w:rPr>
          <w:rFonts w:ascii="Calibri" w:hAnsi="Calibri" w:cs="Calibri"/>
          <w:color w:val="000000"/>
          <w:sz w:val="22"/>
        </w:rPr>
        <w:t>where x̄ is the sample mean, xi represents the individual response score, and n denotes the total number of respondents (n = 10). To measure the dispersion of responses around the mean, the sample standard deviation was calculated using the following formula:</w:t>
      </w:r>
    </w:p>
    <w:p w14:paraId="522C4DB7" w14:textId="08AE3522" w:rsidR="003F1DDC" w:rsidRDefault="003F1DDC" w:rsidP="003F1DDC">
      <w:pPr>
        <w:spacing w:after="120" w:line="240" w:lineRule="auto"/>
        <w:jc w:val="both"/>
        <w:rPr>
          <w:rFonts w:ascii="Calibri" w:hAnsi="Calibri" w:cs="Calibri"/>
          <w:color w:val="000000"/>
          <w:sz w:val="22"/>
        </w:rPr>
      </w:pPr>
      <w:r>
        <w:rPr>
          <w:rFonts w:ascii="Calibri" w:hAnsi="Calibri" w:cs="Calibri"/>
          <w:color w:val="000000"/>
          <w:sz w:val="22"/>
        </w:rPr>
        <w:t>Standard Deviation (SD) = sqrt( [Σ (xi - x̄)²] / (n - 1) )</w:t>
      </w:r>
    </w:p>
    <w:p w14:paraId="0E298D21" w14:textId="0FDD9477" w:rsidR="003F1DDC" w:rsidRDefault="003F1DDC" w:rsidP="003F1DDC">
      <w:pPr>
        <w:spacing w:after="120" w:line="240" w:lineRule="auto"/>
        <w:jc w:val="both"/>
        <w:rPr>
          <w:rFonts w:ascii="Calibri" w:hAnsi="Calibri" w:cs="Calibri"/>
          <w:color w:val="000000"/>
          <w:sz w:val="22"/>
        </w:rPr>
      </w:pPr>
      <w:r>
        <w:rPr>
          <w:rFonts w:ascii="Calibri" w:hAnsi="Calibri" w:cs="Calibri"/>
          <w:color w:val="000000"/>
          <w:sz w:val="22"/>
        </w:rPr>
        <w:t>A low standard deviation indicates high consensus among participants, whereas a higher standard deviation reflects divergent user experiences. Final evaluation results were interpreted according to the standard five-tier scoring matrix presented in Table 24.</w:t>
      </w:r>
    </w:p>
    <w:p w14:paraId="72E0A21D" w14:textId="2EB8397B" w:rsidR="003F1DDC" w:rsidRDefault="003F1DDC" w:rsidP="003F1DDC">
      <w:pPr>
        <w:spacing w:before="160" w:after="80" w:line="240" w:lineRule="auto"/>
        <w:rPr>
          <w:rFonts w:ascii="Calibri" w:hAnsi="Calibri" w:cs="Calibri"/>
          <w:b/>
          <w:color w:val="000000"/>
          <w:sz w:val="22"/>
        </w:rPr>
      </w:pPr>
      <w:r>
        <w:rPr>
          <w:rFonts w:ascii="Calibri" w:hAnsi="Calibri" w:cs="Calibri"/>
          <w:b/>
          <w:color w:val="000000"/>
          <w:sz w:val="22"/>
        </w:rPr>
        <w:t>Table 24 Mean Score Interpretation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3F1DDC" w:rsidRPr="003F1DDC" w14:paraId="655908EC" w14:textId="77777777" w:rsidTr="003F1DDC">
        <w:tblPrEx>
          <w:tblCellMar>
            <w:top w:w="0" w:type="dxa"/>
            <w:bottom w:w="0" w:type="dxa"/>
          </w:tblCellMar>
        </w:tblPrEx>
        <w:tc>
          <w:tcPr>
            <w:tcW w:w="4680" w:type="dxa"/>
            <w:shd w:val="clear" w:color="auto" w:fill="E6E6E6"/>
            <w:vAlign w:val="center"/>
          </w:tcPr>
          <w:p w14:paraId="57301713" w14:textId="3BC963C2" w:rsidR="003F1DDC" w:rsidRPr="003F1DDC" w:rsidRDefault="003F1DDC" w:rsidP="003F1DDC">
            <w:pPr>
              <w:spacing w:before="160" w:after="80" w:line="240" w:lineRule="auto"/>
              <w:rPr>
                <w:rFonts w:ascii="Calibri" w:hAnsi="Calibri" w:cs="Calibri"/>
                <w:b/>
                <w:color w:val="000000"/>
                <w:sz w:val="20"/>
              </w:rPr>
            </w:pPr>
            <w:r w:rsidRPr="003F1DDC">
              <w:rPr>
                <w:rFonts w:ascii="Calibri" w:hAnsi="Calibri" w:cs="Calibri"/>
                <w:b/>
                <w:color w:val="000000"/>
                <w:sz w:val="20"/>
              </w:rPr>
              <w:t>Score Range</w:t>
            </w:r>
          </w:p>
        </w:tc>
        <w:tc>
          <w:tcPr>
            <w:tcW w:w="4680" w:type="dxa"/>
            <w:shd w:val="clear" w:color="auto" w:fill="E6E6E6"/>
            <w:vAlign w:val="center"/>
          </w:tcPr>
          <w:p w14:paraId="6AF21D40" w14:textId="3804D8D4" w:rsidR="003F1DDC" w:rsidRPr="003F1DDC" w:rsidRDefault="003F1DDC" w:rsidP="003F1DDC">
            <w:pPr>
              <w:spacing w:before="160" w:after="80" w:line="240" w:lineRule="auto"/>
              <w:rPr>
                <w:rFonts w:ascii="Calibri" w:hAnsi="Calibri" w:cs="Calibri"/>
                <w:b/>
                <w:color w:val="000000"/>
                <w:sz w:val="20"/>
              </w:rPr>
            </w:pPr>
            <w:r w:rsidRPr="003F1DDC">
              <w:rPr>
                <w:rFonts w:ascii="Calibri" w:hAnsi="Calibri" w:cs="Calibri"/>
                <w:b/>
                <w:color w:val="000000"/>
                <w:sz w:val="20"/>
              </w:rPr>
              <w:t>Descriptive Interpretation</w:t>
            </w:r>
          </w:p>
        </w:tc>
      </w:tr>
      <w:tr w:rsidR="003F1DDC" w:rsidRPr="003F1DDC" w14:paraId="048D8817" w14:textId="77777777" w:rsidTr="003F1DDC">
        <w:tblPrEx>
          <w:tblCellMar>
            <w:top w:w="0" w:type="dxa"/>
            <w:bottom w:w="0" w:type="dxa"/>
          </w:tblCellMar>
        </w:tblPrEx>
        <w:tc>
          <w:tcPr>
            <w:tcW w:w="4680" w:type="dxa"/>
          </w:tcPr>
          <w:p w14:paraId="23B83C7F" w14:textId="2CFEFE34"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1.00 - 1.80</w:t>
            </w:r>
          </w:p>
        </w:tc>
        <w:tc>
          <w:tcPr>
            <w:tcW w:w="4680" w:type="dxa"/>
          </w:tcPr>
          <w:p w14:paraId="6DF5AA27" w14:textId="4D6AEBC7"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Very Low</w:t>
            </w:r>
          </w:p>
        </w:tc>
      </w:tr>
      <w:tr w:rsidR="003F1DDC" w:rsidRPr="003F1DDC" w14:paraId="07626FE0" w14:textId="77777777" w:rsidTr="003F1DDC">
        <w:tblPrEx>
          <w:tblCellMar>
            <w:top w:w="0" w:type="dxa"/>
            <w:bottom w:w="0" w:type="dxa"/>
          </w:tblCellMar>
        </w:tblPrEx>
        <w:tc>
          <w:tcPr>
            <w:tcW w:w="4680" w:type="dxa"/>
          </w:tcPr>
          <w:p w14:paraId="44AA9FD0" w14:textId="19E417CC"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1.81 - 2.60</w:t>
            </w:r>
          </w:p>
        </w:tc>
        <w:tc>
          <w:tcPr>
            <w:tcW w:w="4680" w:type="dxa"/>
          </w:tcPr>
          <w:p w14:paraId="60C1D703" w14:textId="5E71B32A"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Low</w:t>
            </w:r>
          </w:p>
        </w:tc>
      </w:tr>
      <w:tr w:rsidR="003F1DDC" w:rsidRPr="003F1DDC" w14:paraId="0B0E68BF" w14:textId="77777777" w:rsidTr="003F1DDC">
        <w:tblPrEx>
          <w:tblCellMar>
            <w:top w:w="0" w:type="dxa"/>
            <w:bottom w:w="0" w:type="dxa"/>
          </w:tblCellMar>
        </w:tblPrEx>
        <w:tc>
          <w:tcPr>
            <w:tcW w:w="4680" w:type="dxa"/>
          </w:tcPr>
          <w:p w14:paraId="666A996C" w14:textId="4AF34C17"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2.61 - 3.40</w:t>
            </w:r>
          </w:p>
        </w:tc>
        <w:tc>
          <w:tcPr>
            <w:tcW w:w="4680" w:type="dxa"/>
          </w:tcPr>
          <w:p w14:paraId="228CB527" w14:textId="72BAF587"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Moderate</w:t>
            </w:r>
          </w:p>
        </w:tc>
      </w:tr>
      <w:tr w:rsidR="003F1DDC" w:rsidRPr="003F1DDC" w14:paraId="761E1EDB" w14:textId="77777777" w:rsidTr="003F1DDC">
        <w:tblPrEx>
          <w:tblCellMar>
            <w:top w:w="0" w:type="dxa"/>
            <w:bottom w:w="0" w:type="dxa"/>
          </w:tblCellMar>
        </w:tblPrEx>
        <w:tc>
          <w:tcPr>
            <w:tcW w:w="4680" w:type="dxa"/>
          </w:tcPr>
          <w:p w14:paraId="42D5171E" w14:textId="096A40D2"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3.41 - 4.20</w:t>
            </w:r>
          </w:p>
        </w:tc>
        <w:tc>
          <w:tcPr>
            <w:tcW w:w="4680" w:type="dxa"/>
          </w:tcPr>
          <w:p w14:paraId="03E4A86D" w14:textId="4C4566AB"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High</w:t>
            </w:r>
          </w:p>
        </w:tc>
      </w:tr>
      <w:tr w:rsidR="003F1DDC" w:rsidRPr="003F1DDC" w14:paraId="77A2CE18" w14:textId="77777777" w:rsidTr="003F1DDC">
        <w:tblPrEx>
          <w:tblCellMar>
            <w:top w:w="0" w:type="dxa"/>
            <w:bottom w:w="0" w:type="dxa"/>
          </w:tblCellMar>
        </w:tblPrEx>
        <w:tc>
          <w:tcPr>
            <w:tcW w:w="4680" w:type="dxa"/>
          </w:tcPr>
          <w:p w14:paraId="7C92BFC6" w14:textId="1D8098AC"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4.21 - 5.00</w:t>
            </w:r>
          </w:p>
        </w:tc>
        <w:tc>
          <w:tcPr>
            <w:tcW w:w="4680" w:type="dxa"/>
          </w:tcPr>
          <w:p w14:paraId="24D417D3" w14:textId="696DBD32"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Very High</w:t>
            </w:r>
          </w:p>
        </w:tc>
      </w:tr>
    </w:tbl>
    <w:p w14:paraId="52B1064C" w14:textId="77777777" w:rsidR="003F1DDC" w:rsidRDefault="003F1DDC" w:rsidP="003F1DDC">
      <w:pPr>
        <w:spacing w:before="160" w:after="80" w:line="240" w:lineRule="auto"/>
        <w:rPr>
          <w:rFonts w:ascii="Calibri" w:hAnsi="Calibri" w:cs="Calibri"/>
          <w:b/>
          <w:color w:val="000000"/>
          <w:sz w:val="22"/>
        </w:rPr>
      </w:pPr>
    </w:p>
    <w:p w14:paraId="4B23F09F" w14:textId="3CD2E3D2" w:rsidR="003F1DDC" w:rsidRDefault="003F1DDC" w:rsidP="003F1DDC">
      <w:pPr>
        <w:spacing w:before="240" w:after="80" w:line="240" w:lineRule="auto"/>
        <w:rPr>
          <w:rFonts w:ascii="Calibri" w:hAnsi="Calibri" w:cs="Calibri"/>
          <w:b/>
          <w:color w:val="000000"/>
        </w:rPr>
      </w:pPr>
      <w:r>
        <w:rPr>
          <w:rFonts w:ascii="Calibri" w:hAnsi="Calibri" w:cs="Calibri"/>
          <w:b/>
          <w:color w:val="000000"/>
        </w:rPr>
        <w:t>Summary Results of System Usability Evaluation</w:t>
      </w:r>
    </w:p>
    <w:p w14:paraId="5DB991B6" w14:textId="360A0E84" w:rsidR="003F1DDC" w:rsidRDefault="003F1DDC" w:rsidP="003F1DDC">
      <w:pPr>
        <w:spacing w:after="120" w:line="240" w:lineRule="auto"/>
        <w:jc w:val="both"/>
        <w:rPr>
          <w:rFonts w:ascii="Calibri" w:hAnsi="Calibri" w:cs="Calibri"/>
          <w:color w:val="000000"/>
          <w:sz w:val="22"/>
        </w:rPr>
      </w:pPr>
      <w:r>
        <w:rPr>
          <w:rFonts w:ascii="Calibri" w:hAnsi="Calibri" w:cs="Calibri"/>
          <w:color w:val="000000"/>
          <w:sz w:val="22"/>
        </w:rPr>
        <w:t>The usability evaluation was completed by ten participants representing key stakeholder roles across the disaster risk reduction and management hierarchy in Manila. Table 25 outlines the demographic characteristics of the evaluation cohort, including stakeholder classifications, specific professional responsibilities, and cumulative years of public or technical service.</w:t>
      </w:r>
    </w:p>
    <w:p w14:paraId="19496261" w14:textId="2F4FE0AE" w:rsidR="003F1DDC" w:rsidRDefault="003F1DDC" w:rsidP="003F1DDC">
      <w:pPr>
        <w:spacing w:before="160" w:after="80" w:line="240" w:lineRule="auto"/>
        <w:rPr>
          <w:rFonts w:ascii="Calibri" w:hAnsi="Calibri" w:cs="Calibri"/>
          <w:b/>
          <w:color w:val="000000"/>
          <w:sz w:val="22"/>
        </w:rPr>
      </w:pPr>
      <w:r>
        <w:rPr>
          <w:rFonts w:ascii="Calibri" w:hAnsi="Calibri" w:cs="Calibri"/>
          <w:b/>
          <w:color w:val="000000"/>
          <w:sz w:val="22"/>
        </w:rPr>
        <w:t>Table 25 Demographic Characteristics of Usability Participants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2"/>
        <w:gridCol w:w="1872"/>
        <w:gridCol w:w="1872"/>
        <w:gridCol w:w="1872"/>
        <w:gridCol w:w="1872"/>
      </w:tblGrid>
      <w:tr w:rsidR="003F1DDC" w:rsidRPr="003F1DDC" w14:paraId="5F04450F" w14:textId="77777777" w:rsidTr="003F1DDC">
        <w:tblPrEx>
          <w:tblCellMar>
            <w:top w:w="0" w:type="dxa"/>
            <w:bottom w:w="0" w:type="dxa"/>
          </w:tblCellMar>
        </w:tblPrEx>
        <w:tc>
          <w:tcPr>
            <w:tcW w:w="1872" w:type="dxa"/>
            <w:shd w:val="clear" w:color="auto" w:fill="E6E6E6"/>
            <w:vAlign w:val="center"/>
          </w:tcPr>
          <w:p w14:paraId="09EE6FFF" w14:textId="67FF786B" w:rsidR="003F1DDC" w:rsidRPr="003F1DDC" w:rsidRDefault="003F1DDC" w:rsidP="003F1DDC">
            <w:pPr>
              <w:spacing w:before="160" w:after="80" w:line="240" w:lineRule="auto"/>
              <w:rPr>
                <w:rFonts w:ascii="Calibri" w:hAnsi="Calibri" w:cs="Calibri"/>
                <w:b/>
                <w:color w:val="000000"/>
                <w:sz w:val="20"/>
              </w:rPr>
            </w:pPr>
            <w:r w:rsidRPr="003F1DDC">
              <w:rPr>
                <w:rFonts w:ascii="Calibri" w:hAnsi="Calibri" w:cs="Calibri"/>
                <w:b/>
                <w:color w:val="000000"/>
                <w:sz w:val="20"/>
              </w:rPr>
              <w:lastRenderedPageBreak/>
              <w:t>Participant Classification</w:t>
            </w:r>
          </w:p>
        </w:tc>
        <w:tc>
          <w:tcPr>
            <w:tcW w:w="1872" w:type="dxa"/>
            <w:shd w:val="clear" w:color="auto" w:fill="E6E6E6"/>
            <w:vAlign w:val="center"/>
          </w:tcPr>
          <w:p w14:paraId="1B4B522B" w14:textId="4EBB953C" w:rsidR="003F1DDC" w:rsidRPr="003F1DDC" w:rsidRDefault="003F1DDC" w:rsidP="003F1DDC">
            <w:pPr>
              <w:spacing w:before="160" w:after="80" w:line="240" w:lineRule="auto"/>
              <w:rPr>
                <w:rFonts w:ascii="Calibri" w:hAnsi="Calibri" w:cs="Calibri"/>
                <w:b/>
                <w:color w:val="000000"/>
                <w:sz w:val="20"/>
              </w:rPr>
            </w:pPr>
            <w:r w:rsidRPr="003F1DDC">
              <w:rPr>
                <w:rFonts w:ascii="Calibri" w:hAnsi="Calibri" w:cs="Calibri"/>
                <w:b/>
                <w:color w:val="000000"/>
                <w:sz w:val="20"/>
              </w:rPr>
              <w:t>Frequency (f)</w:t>
            </w:r>
          </w:p>
        </w:tc>
        <w:tc>
          <w:tcPr>
            <w:tcW w:w="1872" w:type="dxa"/>
            <w:shd w:val="clear" w:color="auto" w:fill="E6E6E6"/>
            <w:vAlign w:val="center"/>
          </w:tcPr>
          <w:p w14:paraId="339C0EDE" w14:textId="0D58FC03" w:rsidR="003F1DDC" w:rsidRPr="003F1DDC" w:rsidRDefault="003F1DDC" w:rsidP="003F1DDC">
            <w:pPr>
              <w:spacing w:before="160" w:after="80" w:line="240" w:lineRule="auto"/>
              <w:rPr>
                <w:rFonts w:ascii="Calibri" w:hAnsi="Calibri" w:cs="Calibri"/>
                <w:b/>
                <w:color w:val="000000"/>
                <w:sz w:val="20"/>
              </w:rPr>
            </w:pPr>
            <w:r w:rsidRPr="003F1DDC">
              <w:rPr>
                <w:rFonts w:ascii="Calibri" w:hAnsi="Calibri" w:cs="Calibri"/>
                <w:b/>
                <w:color w:val="000000"/>
                <w:sz w:val="20"/>
              </w:rPr>
              <w:t>Percentage (%)</w:t>
            </w:r>
          </w:p>
        </w:tc>
        <w:tc>
          <w:tcPr>
            <w:tcW w:w="1872" w:type="dxa"/>
            <w:shd w:val="clear" w:color="auto" w:fill="E6E6E6"/>
            <w:vAlign w:val="center"/>
          </w:tcPr>
          <w:p w14:paraId="04F32CEC" w14:textId="29C8B112" w:rsidR="003F1DDC" w:rsidRPr="003F1DDC" w:rsidRDefault="003F1DDC" w:rsidP="003F1DDC">
            <w:pPr>
              <w:spacing w:before="160" w:after="80" w:line="240" w:lineRule="auto"/>
              <w:rPr>
                <w:rFonts w:ascii="Calibri" w:hAnsi="Calibri" w:cs="Calibri"/>
                <w:b/>
                <w:color w:val="000000"/>
                <w:sz w:val="20"/>
              </w:rPr>
            </w:pPr>
            <w:r w:rsidRPr="003F1DDC">
              <w:rPr>
                <w:rFonts w:ascii="Calibri" w:hAnsi="Calibri" w:cs="Calibri"/>
                <w:b/>
                <w:color w:val="000000"/>
                <w:sz w:val="20"/>
              </w:rPr>
              <w:t>Representative Professional Roles</w:t>
            </w:r>
          </w:p>
        </w:tc>
        <w:tc>
          <w:tcPr>
            <w:tcW w:w="1872" w:type="dxa"/>
            <w:shd w:val="clear" w:color="auto" w:fill="E6E6E6"/>
            <w:vAlign w:val="center"/>
          </w:tcPr>
          <w:p w14:paraId="000F1E26" w14:textId="133DB8F0" w:rsidR="003F1DDC" w:rsidRPr="003F1DDC" w:rsidRDefault="003F1DDC" w:rsidP="003F1DDC">
            <w:pPr>
              <w:spacing w:before="160" w:after="80" w:line="240" w:lineRule="auto"/>
              <w:rPr>
                <w:rFonts w:ascii="Calibri" w:hAnsi="Calibri" w:cs="Calibri"/>
                <w:b/>
                <w:color w:val="000000"/>
                <w:sz w:val="20"/>
              </w:rPr>
            </w:pPr>
            <w:r w:rsidRPr="003F1DDC">
              <w:rPr>
                <w:rFonts w:ascii="Calibri" w:hAnsi="Calibri" w:cs="Calibri"/>
                <w:b/>
                <w:color w:val="000000"/>
                <w:sz w:val="20"/>
              </w:rPr>
              <w:t>Years of Service Range</w:t>
            </w:r>
          </w:p>
        </w:tc>
      </w:tr>
      <w:tr w:rsidR="003F1DDC" w:rsidRPr="003F1DDC" w14:paraId="29B61CA8" w14:textId="77777777" w:rsidTr="003F1DDC">
        <w:tblPrEx>
          <w:tblCellMar>
            <w:top w:w="0" w:type="dxa"/>
            <w:bottom w:w="0" w:type="dxa"/>
          </w:tblCellMar>
        </w:tblPrEx>
        <w:tc>
          <w:tcPr>
            <w:tcW w:w="1872" w:type="dxa"/>
          </w:tcPr>
          <w:p w14:paraId="41DA4590" w14:textId="41EC87E9"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IT Professionals</w:t>
            </w:r>
          </w:p>
        </w:tc>
        <w:tc>
          <w:tcPr>
            <w:tcW w:w="1872" w:type="dxa"/>
          </w:tcPr>
          <w:p w14:paraId="6DAB891D" w14:textId="2A26BC61"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3</w:t>
            </w:r>
          </w:p>
        </w:tc>
        <w:tc>
          <w:tcPr>
            <w:tcW w:w="1872" w:type="dxa"/>
          </w:tcPr>
          <w:p w14:paraId="68B81BA3" w14:textId="2B159AB3"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30%</w:t>
            </w:r>
          </w:p>
        </w:tc>
        <w:tc>
          <w:tcPr>
            <w:tcW w:w="1872" w:type="dxa"/>
          </w:tcPr>
          <w:p w14:paraId="7A093106" w14:textId="76DC871C"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Systems Analyst, Mobile Engineer, Security Specialist</w:t>
            </w:r>
          </w:p>
        </w:tc>
        <w:tc>
          <w:tcPr>
            <w:tcW w:w="1872" w:type="dxa"/>
          </w:tcPr>
          <w:p w14:paraId="4DAABA33" w14:textId="05384552"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4 - 8 years</w:t>
            </w:r>
          </w:p>
        </w:tc>
      </w:tr>
      <w:tr w:rsidR="003F1DDC" w:rsidRPr="003F1DDC" w14:paraId="6E081AC1" w14:textId="77777777" w:rsidTr="003F1DDC">
        <w:tblPrEx>
          <w:tblCellMar>
            <w:top w:w="0" w:type="dxa"/>
            <w:bottom w:w="0" w:type="dxa"/>
          </w:tblCellMar>
        </w:tblPrEx>
        <w:tc>
          <w:tcPr>
            <w:tcW w:w="1872" w:type="dxa"/>
          </w:tcPr>
          <w:p w14:paraId="4A76229C" w14:textId="5AC80FE9"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LGU Disaster Supervisors</w:t>
            </w:r>
          </w:p>
        </w:tc>
        <w:tc>
          <w:tcPr>
            <w:tcW w:w="1872" w:type="dxa"/>
          </w:tcPr>
          <w:p w14:paraId="311AA2C0" w14:textId="48175588"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2</w:t>
            </w:r>
          </w:p>
        </w:tc>
        <w:tc>
          <w:tcPr>
            <w:tcW w:w="1872" w:type="dxa"/>
          </w:tcPr>
          <w:p w14:paraId="65E25EB0" w14:textId="42390DDC"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20%</w:t>
            </w:r>
          </w:p>
        </w:tc>
        <w:tc>
          <w:tcPr>
            <w:tcW w:w="1872" w:type="dxa"/>
          </w:tcPr>
          <w:p w14:paraId="385775F5" w14:textId="21D58764"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Disaster Operations Officer, Relief Logistics Supervisor</w:t>
            </w:r>
          </w:p>
        </w:tc>
        <w:tc>
          <w:tcPr>
            <w:tcW w:w="1872" w:type="dxa"/>
          </w:tcPr>
          <w:p w14:paraId="0E5500B0" w14:textId="17B7D256"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7 - 12 years</w:t>
            </w:r>
          </w:p>
        </w:tc>
      </w:tr>
      <w:tr w:rsidR="003F1DDC" w:rsidRPr="003F1DDC" w14:paraId="02F37085" w14:textId="77777777" w:rsidTr="003F1DDC">
        <w:tblPrEx>
          <w:tblCellMar>
            <w:top w:w="0" w:type="dxa"/>
            <w:bottom w:w="0" w:type="dxa"/>
          </w:tblCellMar>
        </w:tblPrEx>
        <w:tc>
          <w:tcPr>
            <w:tcW w:w="1872" w:type="dxa"/>
          </w:tcPr>
          <w:p w14:paraId="47F74E81" w14:textId="020CD9E7"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Barangay Officials &amp; Staff</w:t>
            </w:r>
          </w:p>
        </w:tc>
        <w:tc>
          <w:tcPr>
            <w:tcW w:w="1872" w:type="dxa"/>
          </w:tcPr>
          <w:p w14:paraId="758B9662" w14:textId="42103049"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3</w:t>
            </w:r>
          </w:p>
        </w:tc>
        <w:tc>
          <w:tcPr>
            <w:tcW w:w="1872" w:type="dxa"/>
          </w:tcPr>
          <w:p w14:paraId="0715208C" w14:textId="0219314C"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30%</w:t>
            </w:r>
          </w:p>
        </w:tc>
        <w:tc>
          <w:tcPr>
            <w:tcW w:w="1872" w:type="dxa"/>
          </w:tcPr>
          <w:p w14:paraId="508E408C" w14:textId="1B84F3BF"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Barangay Secretary, Field QR Officer, CFW Coordinator</w:t>
            </w:r>
          </w:p>
        </w:tc>
        <w:tc>
          <w:tcPr>
            <w:tcW w:w="1872" w:type="dxa"/>
          </w:tcPr>
          <w:p w14:paraId="7C4F22B5" w14:textId="5687B6A3"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3 - 9 years</w:t>
            </w:r>
          </w:p>
        </w:tc>
      </w:tr>
      <w:tr w:rsidR="003F1DDC" w:rsidRPr="003F1DDC" w14:paraId="09B0BED1" w14:textId="77777777" w:rsidTr="003F1DDC">
        <w:tblPrEx>
          <w:tblCellMar>
            <w:top w:w="0" w:type="dxa"/>
            <w:bottom w:w="0" w:type="dxa"/>
          </w:tblCellMar>
        </w:tblPrEx>
        <w:tc>
          <w:tcPr>
            <w:tcW w:w="1872" w:type="dxa"/>
          </w:tcPr>
          <w:p w14:paraId="50304E0C" w14:textId="2F766A4D"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Community Residents</w:t>
            </w:r>
          </w:p>
        </w:tc>
        <w:tc>
          <w:tcPr>
            <w:tcW w:w="1872" w:type="dxa"/>
          </w:tcPr>
          <w:p w14:paraId="682EF0E2" w14:textId="6CD8D2B4"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2</w:t>
            </w:r>
          </w:p>
        </w:tc>
        <w:tc>
          <w:tcPr>
            <w:tcW w:w="1872" w:type="dxa"/>
          </w:tcPr>
          <w:p w14:paraId="6BDC0CBA" w14:textId="55182F36"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20%</w:t>
            </w:r>
          </w:p>
        </w:tc>
        <w:tc>
          <w:tcPr>
            <w:tcW w:w="1872" w:type="dxa"/>
          </w:tcPr>
          <w:p w14:paraId="73E13AB9" w14:textId="1BD81325"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Household Head, Senior Citizen Representative</w:t>
            </w:r>
          </w:p>
        </w:tc>
        <w:tc>
          <w:tcPr>
            <w:tcW w:w="1872" w:type="dxa"/>
          </w:tcPr>
          <w:p w14:paraId="2296AE7D" w14:textId="4B6334D4"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1 - 3 years (App Use)</w:t>
            </w:r>
          </w:p>
        </w:tc>
      </w:tr>
      <w:tr w:rsidR="003F1DDC" w:rsidRPr="003F1DDC" w14:paraId="0C0647DC" w14:textId="77777777" w:rsidTr="003F1DDC">
        <w:tblPrEx>
          <w:tblCellMar>
            <w:top w:w="0" w:type="dxa"/>
            <w:bottom w:w="0" w:type="dxa"/>
          </w:tblCellMar>
        </w:tblPrEx>
        <w:tc>
          <w:tcPr>
            <w:tcW w:w="1872" w:type="dxa"/>
          </w:tcPr>
          <w:p w14:paraId="5C94FD63" w14:textId="37EE804F"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Total</w:t>
            </w:r>
          </w:p>
        </w:tc>
        <w:tc>
          <w:tcPr>
            <w:tcW w:w="1872" w:type="dxa"/>
          </w:tcPr>
          <w:p w14:paraId="5AC9B846" w14:textId="53BD21A0"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10</w:t>
            </w:r>
          </w:p>
        </w:tc>
        <w:tc>
          <w:tcPr>
            <w:tcW w:w="1872" w:type="dxa"/>
          </w:tcPr>
          <w:p w14:paraId="07AF3232" w14:textId="19BFE98B"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100%</w:t>
            </w:r>
          </w:p>
        </w:tc>
        <w:tc>
          <w:tcPr>
            <w:tcW w:w="1872" w:type="dxa"/>
          </w:tcPr>
          <w:p w14:paraId="672556B1" w14:textId="726F3AFB"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Cross-Functional Disaster Management Cohort</w:t>
            </w:r>
          </w:p>
        </w:tc>
        <w:tc>
          <w:tcPr>
            <w:tcW w:w="1872" w:type="dxa"/>
          </w:tcPr>
          <w:p w14:paraId="1E7BBCCA" w14:textId="3036A5F2"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1 - 12 years</w:t>
            </w:r>
          </w:p>
        </w:tc>
      </w:tr>
    </w:tbl>
    <w:p w14:paraId="7D274103" w14:textId="77777777" w:rsidR="003F1DDC" w:rsidRDefault="003F1DDC" w:rsidP="003F1DDC">
      <w:pPr>
        <w:spacing w:before="160" w:after="80" w:line="240" w:lineRule="auto"/>
        <w:rPr>
          <w:rFonts w:ascii="Calibri" w:hAnsi="Calibri" w:cs="Calibri"/>
          <w:b/>
          <w:color w:val="000000"/>
          <w:sz w:val="22"/>
        </w:rPr>
      </w:pPr>
    </w:p>
    <w:p w14:paraId="13781A41" w14:textId="655EF0D0" w:rsidR="003F1DDC" w:rsidRDefault="003F1DDC" w:rsidP="003F1DDC">
      <w:pPr>
        <w:spacing w:after="120" w:line="240" w:lineRule="auto"/>
        <w:jc w:val="both"/>
        <w:rPr>
          <w:rFonts w:ascii="Calibri" w:hAnsi="Calibri" w:cs="Calibri"/>
          <w:color w:val="000000"/>
          <w:sz w:val="22"/>
        </w:rPr>
      </w:pPr>
      <w:r>
        <w:rPr>
          <w:rFonts w:ascii="Calibri" w:hAnsi="Calibri" w:cs="Calibri"/>
          <w:color w:val="000000"/>
          <w:sz w:val="22"/>
        </w:rPr>
        <w:t>The participant pool reflects a comprehensive cross-section of end-users. LGU supervisors contributed high-level administrative perspectives focused on policy compliance, aggregate auditing, and logistics oversight. Barangay officials and field staff evaluated operational feasibility during high-tempo distribution operations, while community residents provided vital feedback on citizen accessibility and clarity. IT professionals assessed architecture stability, data security, and client-server synchronization efficiency.</w:t>
      </w:r>
    </w:p>
    <w:p w14:paraId="4622FD7B" w14:textId="47633A5D" w:rsidR="003F1DDC" w:rsidRDefault="003F1DDC" w:rsidP="003F1DDC">
      <w:pPr>
        <w:spacing w:before="160" w:after="80" w:line="240" w:lineRule="auto"/>
        <w:rPr>
          <w:rFonts w:ascii="Calibri" w:hAnsi="Calibri" w:cs="Calibri"/>
          <w:b/>
          <w:color w:val="000000"/>
          <w:sz w:val="22"/>
        </w:rPr>
      </w:pPr>
      <w:r>
        <w:rPr>
          <w:rFonts w:ascii="Calibri" w:hAnsi="Calibri" w:cs="Calibri"/>
          <w:b/>
          <w:color w:val="000000"/>
          <w:sz w:val="22"/>
        </w:rPr>
        <w:t>Table 26 System Usability Evaluation Results for Ease of Use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2"/>
        <w:gridCol w:w="1872"/>
        <w:gridCol w:w="1872"/>
        <w:gridCol w:w="1872"/>
        <w:gridCol w:w="1872"/>
      </w:tblGrid>
      <w:tr w:rsidR="003F1DDC" w:rsidRPr="003F1DDC" w14:paraId="12146928" w14:textId="77777777" w:rsidTr="003F1DDC">
        <w:tblPrEx>
          <w:tblCellMar>
            <w:top w:w="0" w:type="dxa"/>
            <w:bottom w:w="0" w:type="dxa"/>
          </w:tblCellMar>
        </w:tblPrEx>
        <w:tc>
          <w:tcPr>
            <w:tcW w:w="1872" w:type="dxa"/>
            <w:shd w:val="clear" w:color="auto" w:fill="E6E6E6"/>
            <w:vAlign w:val="center"/>
          </w:tcPr>
          <w:p w14:paraId="319DE5FE" w14:textId="7922232E" w:rsidR="003F1DDC" w:rsidRPr="003F1DDC" w:rsidRDefault="003F1DDC" w:rsidP="003F1DDC">
            <w:pPr>
              <w:spacing w:before="160" w:after="80" w:line="240" w:lineRule="auto"/>
              <w:rPr>
                <w:rFonts w:ascii="Calibri" w:hAnsi="Calibri" w:cs="Calibri"/>
                <w:b/>
                <w:color w:val="000000"/>
                <w:sz w:val="20"/>
              </w:rPr>
            </w:pPr>
            <w:r w:rsidRPr="003F1DDC">
              <w:rPr>
                <w:rFonts w:ascii="Calibri" w:hAnsi="Calibri" w:cs="Calibri"/>
                <w:b/>
                <w:color w:val="000000"/>
                <w:sz w:val="20"/>
              </w:rPr>
              <w:t>Question Code</w:t>
            </w:r>
          </w:p>
        </w:tc>
        <w:tc>
          <w:tcPr>
            <w:tcW w:w="1872" w:type="dxa"/>
            <w:shd w:val="clear" w:color="auto" w:fill="E6E6E6"/>
            <w:vAlign w:val="center"/>
          </w:tcPr>
          <w:p w14:paraId="118D12F3" w14:textId="2DACA2A9" w:rsidR="003F1DDC" w:rsidRPr="003F1DDC" w:rsidRDefault="003F1DDC" w:rsidP="003F1DDC">
            <w:pPr>
              <w:spacing w:before="160" w:after="80" w:line="240" w:lineRule="auto"/>
              <w:rPr>
                <w:rFonts w:ascii="Calibri" w:hAnsi="Calibri" w:cs="Calibri"/>
                <w:b/>
                <w:color w:val="000000"/>
                <w:sz w:val="20"/>
              </w:rPr>
            </w:pPr>
            <w:r w:rsidRPr="003F1DDC">
              <w:rPr>
                <w:rFonts w:ascii="Calibri" w:hAnsi="Calibri" w:cs="Calibri"/>
                <w:b/>
                <w:color w:val="000000"/>
                <w:sz w:val="20"/>
              </w:rPr>
              <w:t>Ease of Use Survey Indicators</w:t>
            </w:r>
          </w:p>
        </w:tc>
        <w:tc>
          <w:tcPr>
            <w:tcW w:w="1872" w:type="dxa"/>
            <w:shd w:val="clear" w:color="auto" w:fill="E6E6E6"/>
            <w:vAlign w:val="center"/>
          </w:tcPr>
          <w:p w14:paraId="6C1CA74D" w14:textId="52E8E61D" w:rsidR="003F1DDC" w:rsidRPr="003F1DDC" w:rsidRDefault="003F1DDC" w:rsidP="003F1DDC">
            <w:pPr>
              <w:spacing w:before="160" w:after="80" w:line="240" w:lineRule="auto"/>
              <w:rPr>
                <w:rFonts w:ascii="Calibri" w:hAnsi="Calibri" w:cs="Calibri"/>
                <w:b/>
                <w:color w:val="000000"/>
                <w:sz w:val="20"/>
              </w:rPr>
            </w:pPr>
            <w:r w:rsidRPr="003F1DDC">
              <w:rPr>
                <w:rFonts w:ascii="Calibri" w:hAnsi="Calibri" w:cs="Calibri"/>
                <w:b/>
                <w:color w:val="000000"/>
                <w:sz w:val="20"/>
              </w:rPr>
              <w:t>Mean</w:t>
            </w:r>
          </w:p>
        </w:tc>
        <w:tc>
          <w:tcPr>
            <w:tcW w:w="1872" w:type="dxa"/>
            <w:shd w:val="clear" w:color="auto" w:fill="E6E6E6"/>
            <w:vAlign w:val="center"/>
          </w:tcPr>
          <w:p w14:paraId="224B2990" w14:textId="4BD0D3A1" w:rsidR="003F1DDC" w:rsidRPr="003F1DDC" w:rsidRDefault="003F1DDC" w:rsidP="003F1DDC">
            <w:pPr>
              <w:spacing w:before="160" w:after="80" w:line="240" w:lineRule="auto"/>
              <w:rPr>
                <w:rFonts w:ascii="Calibri" w:hAnsi="Calibri" w:cs="Calibri"/>
                <w:b/>
                <w:color w:val="000000"/>
                <w:sz w:val="20"/>
              </w:rPr>
            </w:pPr>
            <w:r w:rsidRPr="003F1DDC">
              <w:rPr>
                <w:rFonts w:ascii="Calibri" w:hAnsi="Calibri" w:cs="Calibri"/>
                <w:b/>
                <w:color w:val="000000"/>
                <w:sz w:val="20"/>
              </w:rPr>
              <w:t>Standard Deviation</w:t>
            </w:r>
          </w:p>
        </w:tc>
        <w:tc>
          <w:tcPr>
            <w:tcW w:w="1872" w:type="dxa"/>
            <w:shd w:val="clear" w:color="auto" w:fill="E6E6E6"/>
            <w:vAlign w:val="center"/>
          </w:tcPr>
          <w:p w14:paraId="38864511" w14:textId="2553B350" w:rsidR="003F1DDC" w:rsidRPr="003F1DDC" w:rsidRDefault="003F1DDC" w:rsidP="003F1DDC">
            <w:pPr>
              <w:spacing w:before="160" w:after="80" w:line="240" w:lineRule="auto"/>
              <w:rPr>
                <w:rFonts w:ascii="Calibri" w:hAnsi="Calibri" w:cs="Calibri"/>
                <w:b/>
                <w:color w:val="000000"/>
                <w:sz w:val="20"/>
              </w:rPr>
            </w:pPr>
            <w:r w:rsidRPr="003F1DDC">
              <w:rPr>
                <w:rFonts w:ascii="Calibri" w:hAnsi="Calibri" w:cs="Calibri"/>
                <w:b/>
                <w:color w:val="000000"/>
                <w:sz w:val="20"/>
              </w:rPr>
              <w:t>Interpretation</w:t>
            </w:r>
          </w:p>
        </w:tc>
      </w:tr>
      <w:tr w:rsidR="003F1DDC" w:rsidRPr="003F1DDC" w14:paraId="239B0B10" w14:textId="77777777" w:rsidTr="003F1DDC">
        <w:tblPrEx>
          <w:tblCellMar>
            <w:top w:w="0" w:type="dxa"/>
            <w:bottom w:w="0" w:type="dxa"/>
          </w:tblCellMar>
        </w:tblPrEx>
        <w:tc>
          <w:tcPr>
            <w:tcW w:w="1872" w:type="dxa"/>
          </w:tcPr>
          <w:p w14:paraId="3412DE0D" w14:textId="1712C627"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Q1</w:t>
            </w:r>
          </w:p>
        </w:tc>
        <w:tc>
          <w:tcPr>
            <w:tcW w:w="1872" w:type="dxa"/>
          </w:tcPr>
          <w:p w14:paraId="52DD6D3E" w14:textId="46488196"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I find the system interface intuitive and easy to navigate.</w:t>
            </w:r>
          </w:p>
        </w:tc>
        <w:tc>
          <w:tcPr>
            <w:tcW w:w="1872" w:type="dxa"/>
          </w:tcPr>
          <w:p w14:paraId="13B4B92B" w14:textId="66A032E7"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4.50</w:t>
            </w:r>
          </w:p>
        </w:tc>
        <w:tc>
          <w:tcPr>
            <w:tcW w:w="1872" w:type="dxa"/>
          </w:tcPr>
          <w:p w14:paraId="173071B4" w14:textId="2ACDB8D6"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0.53</w:t>
            </w:r>
          </w:p>
        </w:tc>
        <w:tc>
          <w:tcPr>
            <w:tcW w:w="1872" w:type="dxa"/>
          </w:tcPr>
          <w:p w14:paraId="3886BA04" w14:textId="3138B951"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Very High</w:t>
            </w:r>
          </w:p>
        </w:tc>
      </w:tr>
      <w:tr w:rsidR="003F1DDC" w:rsidRPr="003F1DDC" w14:paraId="23785F78" w14:textId="77777777" w:rsidTr="003F1DDC">
        <w:tblPrEx>
          <w:tblCellMar>
            <w:top w:w="0" w:type="dxa"/>
            <w:bottom w:w="0" w:type="dxa"/>
          </w:tblCellMar>
        </w:tblPrEx>
        <w:tc>
          <w:tcPr>
            <w:tcW w:w="1872" w:type="dxa"/>
          </w:tcPr>
          <w:p w14:paraId="0E0435F7" w14:textId="682A2E84"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Q2</w:t>
            </w:r>
          </w:p>
        </w:tc>
        <w:tc>
          <w:tcPr>
            <w:tcW w:w="1872" w:type="dxa"/>
          </w:tcPr>
          <w:p w14:paraId="5296ED57" w14:textId="354772D8"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The system functions and navigation buttons are clearly labeled.</w:t>
            </w:r>
          </w:p>
        </w:tc>
        <w:tc>
          <w:tcPr>
            <w:tcW w:w="1872" w:type="dxa"/>
          </w:tcPr>
          <w:p w14:paraId="031C0DAF" w14:textId="110D89BC"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4.30</w:t>
            </w:r>
          </w:p>
        </w:tc>
        <w:tc>
          <w:tcPr>
            <w:tcW w:w="1872" w:type="dxa"/>
          </w:tcPr>
          <w:p w14:paraId="66459557" w14:textId="4F69ACCA"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0.67</w:t>
            </w:r>
          </w:p>
        </w:tc>
        <w:tc>
          <w:tcPr>
            <w:tcW w:w="1872" w:type="dxa"/>
          </w:tcPr>
          <w:p w14:paraId="167F0F3D" w14:textId="2416A3C4"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Very High</w:t>
            </w:r>
          </w:p>
        </w:tc>
      </w:tr>
      <w:tr w:rsidR="003F1DDC" w:rsidRPr="003F1DDC" w14:paraId="326E6D1B" w14:textId="77777777" w:rsidTr="003F1DDC">
        <w:tblPrEx>
          <w:tblCellMar>
            <w:top w:w="0" w:type="dxa"/>
            <w:bottom w:w="0" w:type="dxa"/>
          </w:tblCellMar>
        </w:tblPrEx>
        <w:tc>
          <w:tcPr>
            <w:tcW w:w="1872" w:type="dxa"/>
          </w:tcPr>
          <w:p w14:paraId="5BF33CEF" w14:textId="13955CA4"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Q3</w:t>
            </w:r>
          </w:p>
        </w:tc>
        <w:tc>
          <w:tcPr>
            <w:tcW w:w="1872" w:type="dxa"/>
          </w:tcPr>
          <w:p w14:paraId="1D757B76" w14:textId="640FA929"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Completing relief and reporting tasks requires minimal effort.</w:t>
            </w:r>
          </w:p>
        </w:tc>
        <w:tc>
          <w:tcPr>
            <w:tcW w:w="1872" w:type="dxa"/>
          </w:tcPr>
          <w:p w14:paraId="3F0E2127" w14:textId="47D982D4"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4.30</w:t>
            </w:r>
          </w:p>
        </w:tc>
        <w:tc>
          <w:tcPr>
            <w:tcW w:w="1872" w:type="dxa"/>
          </w:tcPr>
          <w:p w14:paraId="1C1AB35B" w14:textId="7E7CDF4C"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0.67</w:t>
            </w:r>
          </w:p>
        </w:tc>
        <w:tc>
          <w:tcPr>
            <w:tcW w:w="1872" w:type="dxa"/>
          </w:tcPr>
          <w:p w14:paraId="475F69E6" w14:textId="178F501C"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Very High</w:t>
            </w:r>
          </w:p>
        </w:tc>
      </w:tr>
      <w:tr w:rsidR="003F1DDC" w:rsidRPr="003F1DDC" w14:paraId="393A951B" w14:textId="77777777" w:rsidTr="003F1DDC">
        <w:tblPrEx>
          <w:tblCellMar>
            <w:top w:w="0" w:type="dxa"/>
            <w:bottom w:w="0" w:type="dxa"/>
          </w:tblCellMar>
        </w:tblPrEx>
        <w:tc>
          <w:tcPr>
            <w:tcW w:w="1872" w:type="dxa"/>
          </w:tcPr>
          <w:p w14:paraId="515C6266" w14:textId="7001126B"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lastRenderedPageBreak/>
              <w:t>Q4</w:t>
            </w:r>
          </w:p>
        </w:tc>
        <w:tc>
          <w:tcPr>
            <w:tcW w:w="1872" w:type="dxa"/>
          </w:tcPr>
          <w:p w14:paraId="6037C8BB" w14:textId="742C8150"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The layout and visual styling make the application simple to operate.</w:t>
            </w:r>
          </w:p>
        </w:tc>
        <w:tc>
          <w:tcPr>
            <w:tcW w:w="1872" w:type="dxa"/>
          </w:tcPr>
          <w:p w14:paraId="571C9A6E" w14:textId="6A69D05F"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4.10</w:t>
            </w:r>
          </w:p>
        </w:tc>
        <w:tc>
          <w:tcPr>
            <w:tcW w:w="1872" w:type="dxa"/>
          </w:tcPr>
          <w:p w14:paraId="7F5D4865" w14:textId="786BC585"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0.74</w:t>
            </w:r>
          </w:p>
        </w:tc>
        <w:tc>
          <w:tcPr>
            <w:tcW w:w="1872" w:type="dxa"/>
          </w:tcPr>
          <w:p w14:paraId="38AF541C" w14:textId="59856691"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High</w:t>
            </w:r>
          </w:p>
        </w:tc>
      </w:tr>
      <w:tr w:rsidR="003F1DDC" w:rsidRPr="003F1DDC" w14:paraId="3EA272FD" w14:textId="77777777" w:rsidTr="003F1DDC">
        <w:tblPrEx>
          <w:tblCellMar>
            <w:top w:w="0" w:type="dxa"/>
            <w:bottom w:w="0" w:type="dxa"/>
          </w:tblCellMar>
        </w:tblPrEx>
        <w:tc>
          <w:tcPr>
            <w:tcW w:w="1872" w:type="dxa"/>
          </w:tcPr>
          <w:p w14:paraId="17770BF8" w14:textId="6DBCAE33"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Q5</w:t>
            </w:r>
          </w:p>
        </w:tc>
        <w:tc>
          <w:tcPr>
            <w:tcW w:w="1872" w:type="dxa"/>
          </w:tcPr>
          <w:p w14:paraId="4D12F6CB" w14:textId="7A73DF72"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I can use the application without needing extensive prior instructions.</w:t>
            </w:r>
          </w:p>
        </w:tc>
        <w:tc>
          <w:tcPr>
            <w:tcW w:w="1872" w:type="dxa"/>
          </w:tcPr>
          <w:p w14:paraId="6B92B172" w14:textId="4A50219C"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4.40</w:t>
            </w:r>
          </w:p>
        </w:tc>
        <w:tc>
          <w:tcPr>
            <w:tcW w:w="1872" w:type="dxa"/>
          </w:tcPr>
          <w:p w14:paraId="75AE4B3C" w14:textId="7F26279F"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0.52</w:t>
            </w:r>
          </w:p>
        </w:tc>
        <w:tc>
          <w:tcPr>
            <w:tcW w:w="1872" w:type="dxa"/>
          </w:tcPr>
          <w:p w14:paraId="3A89417F" w14:textId="75CB09AD"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Very High</w:t>
            </w:r>
          </w:p>
        </w:tc>
      </w:tr>
    </w:tbl>
    <w:p w14:paraId="03B52C30" w14:textId="77777777" w:rsidR="003F1DDC" w:rsidRDefault="003F1DDC" w:rsidP="003F1DDC">
      <w:pPr>
        <w:spacing w:before="160" w:after="80" w:line="240" w:lineRule="auto"/>
        <w:rPr>
          <w:rFonts w:ascii="Calibri" w:hAnsi="Calibri" w:cs="Calibri"/>
          <w:b/>
          <w:color w:val="000000"/>
          <w:sz w:val="22"/>
        </w:rPr>
      </w:pPr>
    </w:p>
    <w:p w14:paraId="5716FDFD" w14:textId="0216C23D" w:rsidR="003F1DDC" w:rsidRDefault="003F1DDC" w:rsidP="003F1DDC">
      <w:pPr>
        <w:spacing w:after="120" w:line="240" w:lineRule="auto"/>
        <w:jc w:val="both"/>
        <w:rPr>
          <w:rFonts w:ascii="Calibri" w:hAnsi="Calibri" w:cs="Calibri"/>
          <w:color w:val="000000"/>
          <w:sz w:val="22"/>
        </w:rPr>
      </w:pPr>
      <w:r>
        <w:rPr>
          <w:rFonts w:ascii="Calibri" w:hAnsi="Calibri" w:cs="Calibri"/>
          <w:color w:val="000000"/>
          <w:sz w:val="22"/>
        </w:rPr>
        <w:t>Ease of Use assesses the intuitiveness and simplicity of the user interface across mobile and web environments. Individual item means ranged from 4.10 to 4.50, resulting in a category composite mean of 4.32 (Very High). Participants expressed strong positive consensus regarding interface navigation (Q1 = 4.50, SD = 0.53) and workflow accessibility without extensive instructions (Q5 = 4.40, SD = 0.52). The slight variance observed in visual styling (Q4 = 4.10, SD = 0.74) reflects minor suggestions from older participants regarding card contrast, which was subsequently optimized via the Manila City identity color palette.</w:t>
      </w:r>
    </w:p>
    <w:p w14:paraId="5F16ABE3" w14:textId="03CD13DC" w:rsidR="003F1DDC" w:rsidRDefault="003F1DDC" w:rsidP="003F1DDC">
      <w:pPr>
        <w:spacing w:before="160" w:after="80" w:line="240" w:lineRule="auto"/>
        <w:rPr>
          <w:rFonts w:ascii="Calibri" w:hAnsi="Calibri" w:cs="Calibri"/>
          <w:b/>
          <w:color w:val="000000"/>
          <w:sz w:val="22"/>
        </w:rPr>
      </w:pPr>
      <w:r>
        <w:rPr>
          <w:rFonts w:ascii="Calibri" w:hAnsi="Calibri" w:cs="Calibri"/>
          <w:b/>
          <w:color w:val="000000"/>
          <w:sz w:val="22"/>
        </w:rPr>
        <w:t>Table 27 System Usability Evaluation Results for Performance and Efficiency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2"/>
        <w:gridCol w:w="1872"/>
        <w:gridCol w:w="1872"/>
        <w:gridCol w:w="1872"/>
        <w:gridCol w:w="1872"/>
      </w:tblGrid>
      <w:tr w:rsidR="003F1DDC" w:rsidRPr="003F1DDC" w14:paraId="09DA14C2" w14:textId="77777777" w:rsidTr="003F1DDC">
        <w:tblPrEx>
          <w:tblCellMar>
            <w:top w:w="0" w:type="dxa"/>
            <w:bottom w:w="0" w:type="dxa"/>
          </w:tblCellMar>
        </w:tblPrEx>
        <w:tc>
          <w:tcPr>
            <w:tcW w:w="1872" w:type="dxa"/>
            <w:shd w:val="clear" w:color="auto" w:fill="E6E6E6"/>
            <w:vAlign w:val="center"/>
          </w:tcPr>
          <w:p w14:paraId="7FD4996F" w14:textId="42206777" w:rsidR="003F1DDC" w:rsidRPr="003F1DDC" w:rsidRDefault="003F1DDC" w:rsidP="003F1DDC">
            <w:pPr>
              <w:spacing w:before="160" w:after="80" w:line="240" w:lineRule="auto"/>
              <w:rPr>
                <w:rFonts w:ascii="Calibri" w:hAnsi="Calibri" w:cs="Calibri"/>
                <w:b/>
                <w:color w:val="000000"/>
                <w:sz w:val="20"/>
              </w:rPr>
            </w:pPr>
            <w:r w:rsidRPr="003F1DDC">
              <w:rPr>
                <w:rFonts w:ascii="Calibri" w:hAnsi="Calibri" w:cs="Calibri"/>
                <w:b/>
                <w:color w:val="000000"/>
                <w:sz w:val="20"/>
              </w:rPr>
              <w:t>Question Code</w:t>
            </w:r>
          </w:p>
        </w:tc>
        <w:tc>
          <w:tcPr>
            <w:tcW w:w="1872" w:type="dxa"/>
            <w:shd w:val="clear" w:color="auto" w:fill="E6E6E6"/>
            <w:vAlign w:val="center"/>
          </w:tcPr>
          <w:p w14:paraId="1A0F3F2C" w14:textId="702E1160" w:rsidR="003F1DDC" w:rsidRPr="003F1DDC" w:rsidRDefault="003F1DDC" w:rsidP="003F1DDC">
            <w:pPr>
              <w:spacing w:before="160" w:after="80" w:line="240" w:lineRule="auto"/>
              <w:rPr>
                <w:rFonts w:ascii="Calibri" w:hAnsi="Calibri" w:cs="Calibri"/>
                <w:b/>
                <w:color w:val="000000"/>
                <w:sz w:val="20"/>
              </w:rPr>
            </w:pPr>
            <w:r w:rsidRPr="003F1DDC">
              <w:rPr>
                <w:rFonts w:ascii="Calibri" w:hAnsi="Calibri" w:cs="Calibri"/>
                <w:b/>
                <w:color w:val="000000"/>
                <w:sz w:val="20"/>
              </w:rPr>
              <w:t>Performance and Efficiency Survey Indicators</w:t>
            </w:r>
          </w:p>
        </w:tc>
        <w:tc>
          <w:tcPr>
            <w:tcW w:w="1872" w:type="dxa"/>
            <w:shd w:val="clear" w:color="auto" w:fill="E6E6E6"/>
            <w:vAlign w:val="center"/>
          </w:tcPr>
          <w:p w14:paraId="55F73A99" w14:textId="325D8537" w:rsidR="003F1DDC" w:rsidRPr="003F1DDC" w:rsidRDefault="003F1DDC" w:rsidP="003F1DDC">
            <w:pPr>
              <w:spacing w:before="160" w:after="80" w:line="240" w:lineRule="auto"/>
              <w:rPr>
                <w:rFonts w:ascii="Calibri" w:hAnsi="Calibri" w:cs="Calibri"/>
                <w:b/>
                <w:color w:val="000000"/>
                <w:sz w:val="20"/>
              </w:rPr>
            </w:pPr>
            <w:r w:rsidRPr="003F1DDC">
              <w:rPr>
                <w:rFonts w:ascii="Calibri" w:hAnsi="Calibri" w:cs="Calibri"/>
                <w:b/>
                <w:color w:val="000000"/>
                <w:sz w:val="20"/>
              </w:rPr>
              <w:t>Mean</w:t>
            </w:r>
          </w:p>
        </w:tc>
        <w:tc>
          <w:tcPr>
            <w:tcW w:w="1872" w:type="dxa"/>
            <w:shd w:val="clear" w:color="auto" w:fill="E6E6E6"/>
            <w:vAlign w:val="center"/>
          </w:tcPr>
          <w:p w14:paraId="088FE198" w14:textId="48CC53D7" w:rsidR="003F1DDC" w:rsidRPr="003F1DDC" w:rsidRDefault="003F1DDC" w:rsidP="003F1DDC">
            <w:pPr>
              <w:spacing w:before="160" w:after="80" w:line="240" w:lineRule="auto"/>
              <w:rPr>
                <w:rFonts w:ascii="Calibri" w:hAnsi="Calibri" w:cs="Calibri"/>
                <w:b/>
                <w:color w:val="000000"/>
                <w:sz w:val="20"/>
              </w:rPr>
            </w:pPr>
            <w:r w:rsidRPr="003F1DDC">
              <w:rPr>
                <w:rFonts w:ascii="Calibri" w:hAnsi="Calibri" w:cs="Calibri"/>
                <w:b/>
                <w:color w:val="000000"/>
                <w:sz w:val="20"/>
              </w:rPr>
              <w:t>Standard Deviation</w:t>
            </w:r>
          </w:p>
        </w:tc>
        <w:tc>
          <w:tcPr>
            <w:tcW w:w="1872" w:type="dxa"/>
            <w:shd w:val="clear" w:color="auto" w:fill="E6E6E6"/>
            <w:vAlign w:val="center"/>
          </w:tcPr>
          <w:p w14:paraId="12CE27D0" w14:textId="61B9362C" w:rsidR="003F1DDC" w:rsidRPr="003F1DDC" w:rsidRDefault="003F1DDC" w:rsidP="003F1DDC">
            <w:pPr>
              <w:spacing w:before="160" w:after="80" w:line="240" w:lineRule="auto"/>
              <w:rPr>
                <w:rFonts w:ascii="Calibri" w:hAnsi="Calibri" w:cs="Calibri"/>
                <w:b/>
                <w:color w:val="000000"/>
                <w:sz w:val="20"/>
              </w:rPr>
            </w:pPr>
            <w:r w:rsidRPr="003F1DDC">
              <w:rPr>
                <w:rFonts w:ascii="Calibri" w:hAnsi="Calibri" w:cs="Calibri"/>
                <w:b/>
                <w:color w:val="000000"/>
                <w:sz w:val="20"/>
              </w:rPr>
              <w:t>Interpretation</w:t>
            </w:r>
          </w:p>
        </w:tc>
      </w:tr>
      <w:tr w:rsidR="003F1DDC" w:rsidRPr="003F1DDC" w14:paraId="3A15390D" w14:textId="77777777" w:rsidTr="003F1DDC">
        <w:tblPrEx>
          <w:tblCellMar>
            <w:top w:w="0" w:type="dxa"/>
            <w:bottom w:w="0" w:type="dxa"/>
          </w:tblCellMar>
        </w:tblPrEx>
        <w:tc>
          <w:tcPr>
            <w:tcW w:w="1872" w:type="dxa"/>
          </w:tcPr>
          <w:p w14:paraId="0E5B00D0" w14:textId="19601260"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Q6</w:t>
            </w:r>
          </w:p>
        </w:tc>
        <w:tc>
          <w:tcPr>
            <w:tcW w:w="1872" w:type="dxa"/>
          </w:tcPr>
          <w:p w14:paraId="543AF717" w14:textId="15AD9EEE"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The system responds quickly to my commands and inputs.</w:t>
            </w:r>
          </w:p>
        </w:tc>
        <w:tc>
          <w:tcPr>
            <w:tcW w:w="1872" w:type="dxa"/>
          </w:tcPr>
          <w:p w14:paraId="75260ACA" w14:textId="40B6D0D3"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4.40</w:t>
            </w:r>
          </w:p>
        </w:tc>
        <w:tc>
          <w:tcPr>
            <w:tcW w:w="1872" w:type="dxa"/>
          </w:tcPr>
          <w:p w14:paraId="4F78D4A1" w14:textId="4076099E"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0.52</w:t>
            </w:r>
          </w:p>
        </w:tc>
        <w:tc>
          <w:tcPr>
            <w:tcW w:w="1872" w:type="dxa"/>
          </w:tcPr>
          <w:p w14:paraId="6981F808" w14:textId="0B5BB982"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Very High</w:t>
            </w:r>
          </w:p>
        </w:tc>
      </w:tr>
      <w:tr w:rsidR="003F1DDC" w:rsidRPr="003F1DDC" w14:paraId="0A37A2CD" w14:textId="77777777" w:rsidTr="003F1DDC">
        <w:tblPrEx>
          <w:tblCellMar>
            <w:top w:w="0" w:type="dxa"/>
            <w:bottom w:w="0" w:type="dxa"/>
          </w:tblCellMar>
        </w:tblPrEx>
        <w:tc>
          <w:tcPr>
            <w:tcW w:w="1872" w:type="dxa"/>
          </w:tcPr>
          <w:p w14:paraId="5B3A8203" w14:textId="58E8722A"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Q7</w:t>
            </w:r>
          </w:p>
        </w:tc>
        <w:tc>
          <w:tcPr>
            <w:tcW w:w="1872" w:type="dxa"/>
          </w:tcPr>
          <w:p w14:paraId="6E9A8235" w14:textId="6870891A"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Relief transactions and QR validations process without unnecessary delay.</w:t>
            </w:r>
          </w:p>
        </w:tc>
        <w:tc>
          <w:tcPr>
            <w:tcW w:w="1872" w:type="dxa"/>
          </w:tcPr>
          <w:p w14:paraId="38821248" w14:textId="40488E1A"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4.30</w:t>
            </w:r>
          </w:p>
        </w:tc>
        <w:tc>
          <w:tcPr>
            <w:tcW w:w="1872" w:type="dxa"/>
          </w:tcPr>
          <w:p w14:paraId="710424B4" w14:textId="3A804540"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0.48</w:t>
            </w:r>
          </w:p>
        </w:tc>
        <w:tc>
          <w:tcPr>
            <w:tcW w:w="1872" w:type="dxa"/>
          </w:tcPr>
          <w:p w14:paraId="4700F158" w14:textId="65ED7EDD"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Very High</w:t>
            </w:r>
          </w:p>
        </w:tc>
      </w:tr>
      <w:tr w:rsidR="003F1DDC" w:rsidRPr="003F1DDC" w14:paraId="104C0B2D" w14:textId="77777777" w:rsidTr="003F1DDC">
        <w:tblPrEx>
          <w:tblCellMar>
            <w:top w:w="0" w:type="dxa"/>
            <w:bottom w:w="0" w:type="dxa"/>
          </w:tblCellMar>
        </w:tblPrEx>
        <w:tc>
          <w:tcPr>
            <w:tcW w:w="1872" w:type="dxa"/>
          </w:tcPr>
          <w:p w14:paraId="136D402F" w14:textId="6328E396"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Q8</w:t>
            </w:r>
          </w:p>
        </w:tc>
        <w:tc>
          <w:tcPr>
            <w:tcW w:w="1872" w:type="dxa"/>
          </w:tcPr>
          <w:p w14:paraId="6143F6E8" w14:textId="32AFE2A3"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The system remains stable and does not crash or freeze during use.</w:t>
            </w:r>
          </w:p>
        </w:tc>
        <w:tc>
          <w:tcPr>
            <w:tcW w:w="1872" w:type="dxa"/>
          </w:tcPr>
          <w:p w14:paraId="07640617" w14:textId="20964555"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4.30</w:t>
            </w:r>
          </w:p>
        </w:tc>
        <w:tc>
          <w:tcPr>
            <w:tcW w:w="1872" w:type="dxa"/>
          </w:tcPr>
          <w:p w14:paraId="234A51BC" w14:textId="3FEE979C"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0.67</w:t>
            </w:r>
          </w:p>
        </w:tc>
        <w:tc>
          <w:tcPr>
            <w:tcW w:w="1872" w:type="dxa"/>
          </w:tcPr>
          <w:p w14:paraId="752E67AB" w14:textId="3F3B0B52"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Very High</w:t>
            </w:r>
          </w:p>
        </w:tc>
      </w:tr>
      <w:tr w:rsidR="003F1DDC" w:rsidRPr="003F1DDC" w14:paraId="5315BFD7" w14:textId="77777777" w:rsidTr="003F1DDC">
        <w:tblPrEx>
          <w:tblCellMar>
            <w:top w:w="0" w:type="dxa"/>
            <w:bottom w:w="0" w:type="dxa"/>
          </w:tblCellMar>
        </w:tblPrEx>
        <w:tc>
          <w:tcPr>
            <w:tcW w:w="1872" w:type="dxa"/>
          </w:tcPr>
          <w:p w14:paraId="50558128" w14:textId="572E25D9"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Q9</w:t>
            </w:r>
          </w:p>
        </w:tc>
        <w:tc>
          <w:tcPr>
            <w:tcW w:w="1872" w:type="dxa"/>
          </w:tcPr>
          <w:p w14:paraId="7B48C421" w14:textId="206EE69A"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The transaction speed allows field teams to work efficiently.</w:t>
            </w:r>
          </w:p>
        </w:tc>
        <w:tc>
          <w:tcPr>
            <w:tcW w:w="1872" w:type="dxa"/>
          </w:tcPr>
          <w:p w14:paraId="319915B5" w14:textId="59916395"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4.10</w:t>
            </w:r>
          </w:p>
        </w:tc>
        <w:tc>
          <w:tcPr>
            <w:tcW w:w="1872" w:type="dxa"/>
          </w:tcPr>
          <w:p w14:paraId="58E293FF" w14:textId="39A62977"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0.74</w:t>
            </w:r>
          </w:p>
        </w:tc>
        <w:tc>
          <w:tcPr>
            <w:tcW w:w="1872" w:type="dxa"/>
          </w:tcPr>
          <w:p w14:paraId="07549646" w14:textId="36918802"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High</w:t>
            </w:r>
          </w:p>
        </w:tc>
      </w:tr>
      <w:tr w:rsidR="003F1DDC" w:rsidRPr="003F1DDC" w14:paraId="2A741398" w14:textId="77777777" w:rsidTr="003F1DDC">
        <w:tblPrEx>
          <w:tblCellMar>
            <w:top w:w="0" w:type="dxa"/>
            <w:bottom w:w="0" w:type="dxa"/>
          </w:tblCellMar>
        </w:tblPrEx>
        <w:tc>
          <w:tcPr>
            <w:tcW w:w="1872" w:type="dxa"/>
          </w:tcPr>
          <w:p w14:paraId="046D6EBB" w14:textId="081B7D09"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Q10</w:t>
            </w:r>
          </w:p>
        </w:tc>
        <w:tc>
          <w:tcPr>
            <w:tcW w:w="1872" w:type="dxa"/>
          </w:tcPr>
          <w:p w14:paraId="753DA451" w14:textId="2198809D"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The system performance meets expectations for emergency reliability.</w:t>
            </w:r>
          </w:p>
        </w:tc>
        <w:tc>
          <w:tcPr>
            <w:tcW w:w="1872" w:type="dxa"/>
          </w:tcPr>
          <w:p w14:paraId="58D5B3F5" w14:textId="728ABF4E"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4.50</w:t>
            </w:r>
          </w:p>
        </w:tc>
        <w:tc>
          <w:tcPr>
            <w:tcW w:w="1872" w:type="dxa"/>
          </w:tcPr>
          <w:p w14:paraId="196593A6" w14:textId="4FD9FCFC"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0.53</w:t>
            </w:r>
          </w:p>
        </w:tc>
        <w:tc>
          <w:tcPr>
            <w:tcW w:w="1872" w:type="dxa"/>
          </w:tcPr>
          <w:p w14:paraId="68DE1261" w14:textId="78CB2DE1"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Very High</w:t>
            </w:r>
          </w:p>
        </w:tc>
      </w:tr>
    </w:tbl>
    <w:p w14:paraId="54C68634" w14:textId="77777777" w:rsidR="003F1DDC" w:rsidRDefault="003F1DDC" w:rsidP="003F1DDC">
      <w:pPr>
        <w:spacing w:before="160" w:after="80" w:line="240" w:lineRule="auto"/>
        <w:rPr>
          <w:rFonts w:ascii="Calibri" w:hAnsi="Calibri" w:cs="Calibri"/>
          <w:b/>
          <w:color w:val="000000"/>
          <w:sz w:val="22"/>
        </w:rPr>
      </w:pPr>
    </w:p>
    <w:p w14:paraId="5343F431" w14:textId="26B04887" w:rsidR="003F1DDC" w:rsidRDefault="003F1DDC" w:rsidP="003F1DDC">
      <w:pPr>
        <w:spacing w:after="120" w:line="240" w:lineRule="auto"/>
        <w:jc w:val="both"/>
        <w:rPr>
          <w:rFonts w:ascii="Calibri" w:hAnsi="Calibri" w:cs="Calibri"/>
          <w:color w:val="000000"/>
          <w:sz w:val="22"/>
        </w:rPr>
      </w:pPr>
      <w:r>
        <w:rPr>
          <w:rFonts w:ascii="Calibri" w:hAnsi="Calibri" w:cs="Calibri"/>
          <w:color w:val="000000"/>
          <w:sz w:val="22"/>
        </w:rPr>
        <w:lastRenderedPageBreak/>
        <w:t>Performance and Efficiency evaluate system execution speed, transaction latency, and runtime stability under operational conditions. Category scores ranged from 4.10 to 4.50, yielding a composite category mean of 4.32 (Very High). The highest rating was recorded for overall emergency reliability (Q10 = 4.50, SD = 0.53), affirming that the underlying Express and MongoDB Atlas architecture delivers dependable execution during crisis scenarios. The low standard deviation in QR validation latency (Q7 = 4.30, SD = 0.48) confirms that Socket.io real-time event broadcasting effectively prevents bottlenecks at frontline distribution tables.</w:t>
      </w:r>
    </w:p>
    <w:p w14:paraId="179F969F" w14:textId="60620011" w:rsidR="003F1DDC" w:rsidRDefault="003F1DDC" w:rsidP="003F1DDC">
      <w:pPr>
        <w:spacing w:before="160" w:after="80" w:line="240" w:lineRule="auto"/>
        <w:rPr>
          <w:rFonts w:ascii="Calibri" w:hAnsi="Calibri" w:cs="Calibri"/>
          <w:b/>
          <w:color w:val="000000"/>
          <w:sz w:val="22"/>
        </w:rPr>
      </w:pPr>
      <w:r>
        <w:rPr>
          <w:rFonts w:ascii="Calibri" w:hAnsi="Calibri" w:cs="Calibri"/>
          <w:b/>
          <w:color w:val="000000"/>
          <w:sz w:val="22"/>
        </w:rPr>
        <w:t>Table 28 System Usability Evaluation Results for Learnability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2"/>
        <w:gridCol w:w="1872"/>
        <w:gridCol w:w="1872"/>
        <w:gridCol w:w="1872"/>
        <w:gridCol w:w="1872"/>
      </w:tblGrid>
      <w:tr w:rsidR="003F1DDC" w:rsidRPr="003F1DDC" w14:paraId="39035595" w14:textId="77777777" w:rsidTr="003F1DDC">
        <w:tblPrEx>
          <w:tblCellMar>
            <w:top w:w="0" w:type="dxa"/>
            <w:bottom w:w="0" w:type="dxa"/>
          </w:tblCellMar>
        </w:tblPrEx>
        <w:tc>
          <w:tcPr>
            <w:tcW w:w="1872" w:type="dxa"/>
            <w:shd w:val="clear" w:color="auto" w:fill="E6E6E6"/>
            <w:vAlign w:val="center"/>
          </w:tcPr>
          <w:p w14:paraId="528D01A1" w14:textId="64CA55B4" w:rsidR="003F1DDC" w:rsidRPr="003F1DDC" w:rsidRDefault="003F1DDC" w:rsidP="003F1DDC">
            <w:pPr>
              <w:spacing w:before="160" w:after="80" w:line="240" w:lineRule="auto"/>
              <w:rPr>
                <w:rFonts w:ascii="Calibri" w:hAnsi="Calibri" w:cs="Calibri"/>
                <w:b/>
                <w:color w:val="000000"/>
                <w:sz w:val="20"/>
              </w:rPr>
            </w:pPr>
            <w:r w:rsidRPr="003F1DDC">
              <w:rPr>
                <w:rFonts w:ascii="Calibri" w:hAnsi="Calibri" w:cs="Calibri"/>
                <w:b/>
                <w:color w:val="000000"/>
                <w:sz w:val="20"/>
              </w:rPr>
              <w:t>Question Code</w:t>
            </w:r>
          </w:p>
        </w:tc>
        <w:tc>
          <w:tcPr>
            <w:tcW w:w="1872" w:type="dxa"/>
            <w:shd w:val="clear" w:color="auto" w:fill="E6E6E6"/>
            <w:vAlign w:val="center"/>
          </w:tcPr>
          <w:p w14:paraId="06844EDD" w14:textId="4146B940" w:rsidR="003F1DDC" w:rsidRPr="003F1DDC" w:rsidRDefault="003F1DDC" w:rsidP="003F1DDC">
            <w:pPr>
              <w:spacing w:before="160" w:after="80" w:line="240" w:lineRule="auto"/>
              <w:rPr>
                <w:rFonts w:ascii="Calibri" w:hAnsi="Calibri" w:cs="Calibri"/>
                <w:b/>
                <w:color w:val="000000"/>
                <w:sz w:val="20"/>
              </w:rPr>
            </w:pPr>
            <w:r w:rsidRPr="003F1DDC">
              <w:rPr>
                <w:rFonts w:ascii="Calibri" w:hAnsi="Calibri" w:cs="Calibri"/>
                <w:b/>
                <w:color w:val="000000"/>
                <w:sz w:val="20"/>
              </w:rPr>
              <w:t>Learnability Survey Indicators</w:t>
            </w:r>
          </w:p>
        </w:tc>
        <w:tc>
          <w:tcPr>
            <w:tcW w:w="1872" w:type="dxa"/>
            <w:shd w:val="clear" w:color="auto" w:fill="E6E6E6"/>
            <w:vAlign w:val="center"/>
          </w:tcPr>
          <w:p w14:paraId="1CD231CE" w14:textId="513DA471" w:rsidR="003F1DDC" w:rsidRPr="003F1DDC" w:rsidRDefault="003F1DDC" w:rsidP="003F1DDC">
            <w:pPr>
              <w:spacing w:before="160" w:after="80" w:line="240" w:lineRule="auto"/>
              <w:rPr>
                <w:rFonts w:ascii="Calibri" w:hAnsi="Calibri" w:cs="Calibri"/>
                <w:b/>
                <w:color w:val="000000"/>
                <w:sz w:val="20"/>
              </w:rPr>
            </w:pPr>
            <w:r w:rsidRPr="003F1DDC">
              <w:rPr>
                <w:rFonts w:ascii="Calibri" w:hAnsi="Calibri" w:cs="Calibri"/>
                <w:b/>
                <w:color w:val="000000"/>
                <w:sz w:val="20"/>
              </w:rPr>
              <w:t>Mean</w:t>
            </w:r>
          </w:p>
        </w:tc>
        <w:tc>
          <w:tcPr>
            <w:tcW w:w="1872" w:type="dxa"/>
            <w:shd w:val="clear" w:color="auto" w:fill="E6E6E6"/>
            <w:vAlign w:val="center"/>
          </w:tcPr>
          <w:p w14:paraId="46CD642F" w14:textId="44DA54DF" w:rsidR="003F1DDC" w:rsidRPr="003F1DDC" w:rsidRDefault="003F1DDC" w:rsidP="003F1DDC">
            <w:pPr>
              <w:spacing w:before="160" w:after="80" w:line="240" w:lineRule="auto"/>
              <w:rPr>
                <w:rFonts w:ascii="Calibri" w:hAnsi="Calibri" w:cs="Calibri"/>
                <w:b/>
                <w:color w:val="000000"/>
                <w:sz w:val="20"/>
              </w:rPr>
            </w:pPr>
            <w:r w:rsidRPr="003F1DDC">
              <w:rPr>
                <w:rFonts w:ascii="Calibri" w:hAnsi="Calibri" w:cs="Calibri"/>
                <w:b/>
                <w:color w:val="000000"/>
                <w:sz w:val="20"/>
              </w:rPr>
              <w:t>Standard Deviation</w:t>
            </w:r>
          </w:p>
        </w:tc>
        <w:tc>
          <w:tcPr>
            <w:tcW w:w="1872" w:type="dxa"/>
            <w:shd w:val="clear" w:color="auto" w:fill="E6E6E6"/>
            <w:vAlign w:val="center"/>
          </w:tcPr>
          <w:p w14:paraId="50892954" w14:textId="06F6D657" w:rsidR="003F1DDC" w:rsidRPr="003F1DDC" w:rsidRDefault="003F1DDC" w:rsidP="003F1DDC">
            <w:pPr>
              <w:spacing w:before="160" w:after="80" w:line="240" w:lineRule="auto"/>
              <w:rPr>
                <w:rFonts w:ascii="Calibri" w:hAnsi="Calibri" w:cs="Calibri"/>
                <w:b/>
                <w:color w:val="000000"/>
                <w:sz w:val="20"/>
              </w:rPr>
            </w:pPr>
            <w:r w:rsidRPr="003F1DDC">
              <w:rPr>
                <w:rFonts w:ascii="Calibri" w:hAnsi="Calibri" w:cs="Calibri"/>
                <w:b/>
                <w:color w:val="000000"/>
                <w:sz w:val="20"/>
              </w:rPr>
              <w:t>Interpretation</w:t>
            </w:r>
          </w:p>
        </w:tc>
      </w:tr>
      <w:tr w:rsidR="003F1DDC" w:rsidRPr="003F1DDC" w14:paraId="40058EAC" w14:textId="77777777" w:rsidTr="003F1DDC">
        <w:tblPrEx>
          <w:tblCellMar>
            <w:top w:w="0" w:type="dxa"/>
            <w:bottom w:w="0" w:type="dxa"/>
          </w:tblCellMar>
        </w:tblPrEx>
        <w:tc>
          <w:tcPr>
            <w:tcW w:w="1872" w:type="dxa"/>
          </w:tcPr>
          <w:p w14:paraId="4FF6F558" w14:textId="46898D97"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Q11</w:t>
            </w:r>
          </w:p>
        </w:tc>
        <w:tc>
          <w:tcPr>
            <w:tcW w:w="1872" w:type="dxa"/>
          </w:tcPr>
          <w:p w14:paraId="502EFDFF" w14:textId="2609A65C"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It was straightforward for me to learn how to operate the system.</w:t>
            </w:r>
          </w:p>
        </w:tc>
        <w:tc>
          <w:tcPr>
            <w:tcW w:w="1872" w:type="dxa"/>
          </w:tcPr>
          <w:p w14:paraId="35D2EEFD" w14:textId="5B3FDC5B"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4.30</w:t>
            </w:r>
          </w:p>
        </w:tc>
        <w:tc>
          <w:tcPr>
            <w:tcW w:w="1872" w:type="dxa"/>
          </w:tcPr>
          <w:p w14:paraId="78272118" w14:textId="3BF56D18"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0.48</w:t>
            </w:r>
          </w:p>
        </w:tc>
        <w:tc>
          <w:tcPr>
            <w:tcW w:w="1872" w:type="dxa"/>
          </w:tcPr>
          <w:p w14:paraId="102D96F9" w14:textId="516709FC"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Very High</w:t>
            </w:r>
          </w:p>
        </w:tc>
      </w:tr>
      <w:tr w:rsidR="003F1DDC" w:rsidRPr="003F1DDC" w14:paraId="1A53FB25" w14:textId="77777777" w:rsidTr="003F1DDC">
        <w:tblPrEx>
          <w:tblCellMar>
            <w:top w:w="0" w:type="dxa"/>
            <w:bottom w:w="0" w:type="dxa"/>
          </w:tblCellMar>
        </w:tblPrEx>
        <w:tc>
          <w:tcPr>
            <w:tcW w:w="1872" w:type="dxa"/>
          </w:tcPr>
          <w:p w14:paraId="303F2983" w14:textId="78F6E155"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Q12</w:t>
            </w:r>
          </w:p>
        </w:tc>
        <w:tc>
          <w:tcPr>
            <w:tcW w:w="1872" w:type="dxa"/>
          </w:tcPr>
          <w:p w14:paraId="022855F1" w14:textId="322F8373"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I can easily remember how to navigate the system after a period of non-use.</w:t>
            </w:r>
          </w:p>
        </w:tc>
        <w:tc>
          <w:tcPr>
            <w:tcW w:w="1872" w:type="dxa"/>
          </w:tcPr>
          <w:p w14:paraId="6075BFBD" w14:textId="63D29922"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4.30</w:t>
            </w:r>
          </w:p>
        </w:tc>
        <w:tc>
          <w:tcPr>
            <w:tcW w:w="1872" w:type="dxa"/>
          </w:tcPr>
          <w:p w14:paraId="2049908E" w14:textId="21499CB2"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0.67</w:t>
            </w:r>
          </w:p>
        </w:tc>
        <w:tc>
          <w:tcPr>
            <w:tcW w:w="1872" w:type="dxa"/>
          </w:tcPr>
          <w:p w14:paraId="413B485D" w14:textId="200D2F5C"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Very High</w:t>
            </w:r>
          </w:p>
        </w:tc>
      </w:tr>
      <w:tr w:rsidR="003F1DDC" w:rsidRPr="003F1DDC" w14:paraId="09C2F47E" w14:textId="77777777" w:rsidTr="003F1DDC">
        <w:tblPrEx>
          <w:tblCellMar>
            <w:top w:w="0" w:type="dxa"/>
            <w:bottom w:w="0" w:type="dxa"/>
          </w:tblCellMar>
        </w:tblPrEx>
        <w:tc>
          <w:tcPr>
            <w:tcW w:w="1872" w:type="dxa"/>
          </w:tcPr>
          <w:p w14:paraId="22D66860" w14:textId="34DE95F8"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Q13</w:t>
            </w:r>
          </w:p>
        </w:tc>
        <w:tc>
          <w:tcPr>
            <w:tcW w:w="1872" w:type="dxa"/>
          </w:tcPr>
          <w:p w14:paraId="166EEB9E" w14:textId="5A2C11C0"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On-screen guides and status indicators make workflows easy to master.</w:t>
            </w:r>
          </w:p>
        </w:tc>
        <w:tc>
          <w:tcPr>
            <w:tcW w:w="1872" w:type="dxa"/>
          </w:tcPr>
          <w:p w14:paraId="3851BD7A" w14:textId="67B1D79A"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4.30</w:t>
            </w:r>
          </w:p>
        </w:tc>
        <w:tc>
          <w:tcPr>
            <w:tcW w:w="1872" w:type="dxa"/>
          </w:tcPr>
          <w:p w14:paraId="32DECA30" w14:textId="2CA91B85"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0.48</w:t>
            </w:r>
          </w:p>
        </w:tc>
        <w:tc>
          <w:tcPr>
            <w:tcW w:w="1872" w:type="dxa"/>
          </w:tcPr>
          <w:p w14:paraId="27FF5740" w14:textId="6E91785B"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Very High</w:t>
            </w:r>
          </w:p>
        </w:tc>
      </w:tr>
      <w:tr w:rsidR="003F1DDC" w:rsidRPr="003F1DDC" w14:paraId="431C75D6" w14:textId="77777777" w:rsidTr="003F1DDC">
        <w:tblPrEx>
          <w:tblCellMar>
            <w:top w:w="0" w:type="dxa"/>
            <w:bottom w:w="0" w:type="dxa"/>
          </w:tblCellMar>
        </w:tblPrEx>
        <w:tc>
          <w:tcPr>
            <w:tcW w:w="1872" w:type="dxa"/>
          </w:tcPr>
          <w:p w14:paraId="172A28C5" w14:textId="5DC3405B"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Q14</w:t>
            </w:r>
          </w:p>
        </w:tc>
        <w:tc>
          <w:tcPr>
            <w:tcW w:w="1872" w:type="dxa"/>
          </w:tcPr>
          <w:p w14:paraId="476ABA60" w14:textId="2688C24B"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The application allows users to accomplish tasks with minimal training.</w:t>
            </w:r>
          </w:p>
        </w:tc>
        <w:tc>
          <w:tcPr>
            <w:tcW w:w="1872" w:type="dxa"/>
          </w:tcPr>
          <w:p w14:paraId="647CC02D" w14:textId="67928BEA"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4.40</w:t>
            </w:r>
          </w:p>
        </w:tc>
        <w:tc>
          <w:tcPr>
            <w:tcW w:w="1872" w:type="dxa"/>
          </w:tcPr>
          <w:p w14:paraId="20E56D3E" w14:textId="7C0E7396"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0.52</w:t>
            </w:r>
          </w:p>
        </w:tc>
        <w:tc>
          <w:tcPr>
            <w:tcW w:w="1872" w:type="dxa"/>
          </w:tcPr>
          <w:p w14:paraId="1C9CB6C5" w14:textId="51752AB1"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Very High</w:t>
            </w:r>
          </w:p>
        </w:tc>
      </w:tr>
      <w:tr w:rsidR="003F1DDC" w:rsidRPr="003F1DDC" w14:paraId="5757F7CD" w14:textId="77777777" w:rsidTr="003F1DDC">
        <w:tblPrEx>
          <w:tblCellMar>
            <w:top w:w="0" w:type="dxa"/>
            <w:bottom w:w="0" w:type="dxa"/>
          </w:tblCellMar>
        </w:tblPrEx>
        <w:tc>
          <w:tcPr>
            <w:tcW w:w="1872" w:type="dxa"/>
          </w:tcPr>
          <w:p w14:paraId="35E17D84" w14:textId="16F3A30B"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Q15</w:t>
            </w:r>
          </w:p>
        </w:tc>
        <w:tc>
          <w:tcPr>
            <w:tcW w:w="1872" w:type="dxa"/>
          </w:tcPr>
          <w:p w14:paraId="26990493" w14:textId="1BC28F33"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I feel confident in using the system after a short learning session.</w:t>
            </w:r>
          </w:p>
        </w:tc>
        <w:tc>
          <w:tcPr>
            <w:tcW w:w="1872" w:type="dxa"/>
          </w:tcPr>
          <w:p w14:paraId="57514A27" w14:textId="11FC65D5"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4.40</w:t>
            </w:r>
          </w:p>
        </w:tc>
        <w:tc>
          <w:tcPr>
            <w:tcW w:w="1872" w:type="dxa"/>
          </w:tcPr>
          <w:p w14:paraId="64969055" w14:textId="1ADB48BD"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0.52</w:t>
            </w:r>
          </w:p>
        </w:tc>
        <w:tc>
          <w:tcPr>
            <w:tcW w:w="1872" w:type="dxa"/>
          </w:tcPr>
          <w:p w14:paraId="7F2C08BB" w14:textId="69824284"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Very High</w:t>
            </w:r>
          </w:p>
        </w:tc>
      </w:tr>
    </w:tbl>
    <w:p w14:paraId="41312850" w14:textId="77777777" w:rsidR="003F1DDC" w:rsidRDefault="003F1DDC" w:rsidP="003F1DDC">
      <w:pPr>
        <w:spacing w:before="160" w:after="80" w:line="240" w:lineRule="auto"/>
        <w:rPr>
          <w:rFonts w:ascii="Calibri" w:hAnsi="Calibri" w:cs="Calibri"/>
          <w:b/>
          <w:color w:val="000000"/>
          <w:sz w:val="22"/>
        </w:rPr>
      </w:pPr>
    </w:p>
    <w:p w14:paraId="0F081F9E" w14:textId="503375F5" w:rsidR="003F1DDC" w:rsidRDefault="003F1DDC" w:rsidP="003F1DDC">
      <w:pPr>
        <w:spacing w:after="120" w:line="240" w:lineRule="auto"/>
        <w:jc w:val="both"/>
        <w:rPr>
          <w:rFonts w:ascii="Calibri" w:hAnsi="Calibri" w:cs="Calibri"/>
          <w:color w:val="000000"/>
          <w:sz w:val="22"/>
        </w:rPr>
      </w:pPr>
      <w:r>
        <w:rPr>
          <w:rFonts w:ascii="Calibri" w:hAnsi="Calibri" w:cs="Calibri"/>
          <w:color w:val="000000"/>
          <w:sz w:val="22"/>
        </w:rPr>
        <w:t>Learnability measures the cognitive effort required for novice users to achieve operational competence. The category achieved a composite mean of 4.36 (Very High), with item means spanning 4.30 to 4.40. Participants reported high self-efficacy after a single walkthrough session (Q14 = 4.40, Q15 = 4.40). The incorporation of structured stepped forms, visual status steppers, and clear bilingual labeling in Tagalog and English significantly flattened the user learning curve for community residents and newly recruited volunteer workers.</w:t>
      </w:r>
    </w:p>
    <w:p w14:paraId="1B027E5D" w14:textId="49B67972" w:rsidR="003F1DDC" w:rsidRDefault="003F1DDC" w:rsidP="003F1DDC">
      <w:pPr>
        <w:spacing w:before="160" w:after="80" w:line="240" w:lineRule="auto"/>
        <w:rPr>
          <w:rFonts w:ascii="Calibri" w:hAnsi="Calibri" w:cs="Calibri"/>
          <w:b/>
          <w:color w:val="000000"/>
          <w:sz w:val="22"/>
        </w:rPr>
      </w:pPr>
      <w:r>
        <w:rPr>
          <w:rFonts w:ascii="Calibri" w:hAnsi="Calibri" w:cs="Calibri"/>
          <w:b/>
          <w:color w:val="000000"/>
          <w:sz w:val="22"/>
        </w:rPr>
        <w:t>Table 29 System Usability Evaluation Results for Satisfaction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2"/>
        <w:gridCol w:w="1872"/>
        <w:gridCol w:w="1872"/>
        <w:gridCol w:w="1872"/>
        <w:gridCol w:w="1872"/>
      </w:tblGrid>
      <w:tr w:rsidR="003F1DDC" w:rsidRPr="003F1DDC" w14:paraId="05718DDD" w14:textId="77777777" w:rsidTr="003F1DDC">
        <w:tblPrEx>
          <w:tblCellMar>
            <w:top w:w="0" w:type="dxa"/>
            <w:bottom w:w="0" w:type="dxa"/>
          </w:tblCellMar>
        </w:tblPrEx>
        <w:tc>
          <w:tcPr>
            <w:tcW w:w="1872" w:type="dxa"/>
            <w:shd w:val="clear" w:color="auto" w:fill="E6E6E6"/>
            <w:vAlign w:val="center"/>
          </w:tcPr>
          <w:p w14:paraId="3EA6A6CD" w14:textId="7D1552A7" w:rsidR="003F1DDC" w:rsidRPr="003F1DDC" w:rsidRDefault="003F1DDC" w:rsidP="003F1DDC">
            <w:pPr>
              <w:spacing w:before="160" w:after="80" w:line="240" w:lineRule="auto"/>
              <w:rPr>
                <w:rFonts w:ascii="Calibri" w:hAnsi="Calibri" w:cs="Calibri"/>
                <w:b/>
                <w:color w:val="000000"/>
                <w:sz w:val="20"/>
              </w:rPr>
            </w:pPr>
            <w:r w:rsidRPr="003F1DDC">
              <w:rPr>
                <w:rFonts w:ascii="Calibri" w:hAnsi="Calibri" w:cs="Calibri"/>
                <w:b/>
                <w:color w:val="000000"/>
                <w:sz w:val="20"/>
              </w:rPr>
              <w:lastRenderedPageBreak/>
              <w:t>Question Code</w:t>
            </w:r>
          </w:p>
        </w:tc>
        <w:tc>
          <w:tcPr>
            <w:tcW w:w="1872" w:type="dxa"/>
            <w:shd w:val="clear" w:color="auto" w:fill="E6E6E6"/>
            <w:vAlign w:val="center"/>
          </w:tcPr>
          <w:p w14:paraId="1A59C93D" w14:textId="3610D6B7" w:rsidR="003F1DDC" w:rsidRPr="003F1DDC" w:rsidRDefault="003F1DDC" w:rsidP="003F1DDC">
            <w:pPr>
              <w:spacing w:before="160" w:after="80" w:line="240" w:lineRule="auto"/>
              <w:rPr>
                <w:rFonts w:ascii="Calibri" w:hAnsi="Calibri" w:cs="Calibri"/>
                <w:b/>
                <w:color w:val="000000"/>
                <w:sz w:val="20"/>
              </w:rPr>
            </w:pPr>
            <w:r w:rsidRPr="003F1DDC">
              <w:rPr>
                <w:rFonts w:ascii="Calibri" w:hAnsi="Calibri" w:cs="Calibri"/>
                <w:b/>
                <w:color w:val="000000"/>
                <w:sz w:val="20"/>
              </w:rPr>
              <w:t>Satisfaction Survey Indicators</w:t>
            </w:r>
          </w:p>
        </w:tc>
        <w:tc>
          <w:tcPr>
            <w:tcW w:w="1872" w:type="dxa"/>
            <w:shd w:val="clear" w:color="auto" w:fill="E6E6E6"/>
            <w:vAlign w:val="center"/>
          </w:tcPr>
          <w:p w14:paraId="0189D692" w14:textId="3F0A02AC" w:rsidR="003F1DDC" w:rsidRPr="003F1DDC" w:rsidRDefault="003F1DDC" w:rsidP="003F1DDC">
            <w:pPr>
              <w:spacing w:before="160" w:after="80" w:line="240" w:lineRule="auto"/>
              <w:rPr>
                <w:rFonts w:ascii="Calibri" w:hAnsi="Calibri" w:cs="Calibri"/>
                <w:b/>
                <w:color w:val="000000"/>
                <w:sz w:val="20"/>
              </w:rPr>
            </w:pPr>
            <w:r w:rsidRPr="003F1DDC">
              <w:rPr>
                <w:rFonts w:ascii="Calibri" w:hAnsi="Calibri" w:cs="Calibri"/>
                <w:b/>
                <w:color w:val="000000"/>
                <w:sz w:val="20"/>
              </w:rPr>
              <w:t>Mean</w:t>
            </w:r>
          </w:p>
        </w:tc>
        <w:tc>
          <w:tcPr>
            <w:tcW w:w="1872" w:type="dxa"/>
            <w:shd w:val="clear" w:color="auto" w:fill="E6E6E6"/>
            <w:vAlign w:val="center"/>
          </w:tcPr>
          <w:p w14:paraId="1FF9555D" w14:textId="7E15524D" w:rsidR="003F1DDC" w:rsidRPr="003F1DDC" w:rsidRDefault="003F1DDC" w:rsidP="003F1DDC">
            <w:pPr>
              <w:spacing w:before="160" w:after="80" w:line="240" w:lineRule="auto"/>
              <w:rPr>
                <w:rFonts w:ascii="Calibri" w:hAnsi="Calibri" w:cs="Calibri"/>
                <w:b/>
                <w:color w:val="000000"/>
                <w:sz w:val="20"/>
              </w:rPr>
            </w:pPr>
            <w:r w:rsidRPr="003F1DDC">
              <w:rPr>
                <w:rFonts w:ascii="Calibri" w:hAnsi="Calibri" w:cs="Calibri"/>
                <w:b/>
                <w:color w:val="000000"/>
                <w:sz w:val="20"/>
              </w:rPr>
              <w:t>Standard Deviation</w:t>
            </w:r>
          </w:p>
        </w:tc>
        <w:tc>
          <w:tcPr>
            <w:tcW w:w="1872" w:type="dxa"/>
            <w:shd w:val="clear" w:color="auto" w:fill="E6E6E6"/>
            <w:vAlign w:val="center"/>
          </w:tcPr>
          <w:p w14:paraId="3B4C9EB6" w14:textId="130361AA" w:rsidR="003F1DDC" w:rsidRPr="003F1DDC" w:rsidRDefault="003F1DDC" w:rsidP="003F1DDC">
            <w:pPr>
              <w:spacing w:before="160" w:after="80" w:line="240" w:lineRule="auto"/>
              <w:rPr>
                <w:rFonts w:ascii="Calibri" w:hAnsi="Calibri" w:cs="Calibri"/>
                <w:b/>
                <w:color w:val="000000"/>
                <w:sz w:val="20"/>
              </w:rPr>
            </w:pPr>
            <w:r w:rsidRPr="003F1DDC">
              <w:rPr>
                <w:rFonts w:ascii="Calibri" w:hAnsi="Calibri" w:cs="Calibri"/>
                <w:b/>
                <w:color w:val="000000"/>
                <w:sz w:val="20"/>
              </w:rPr>
              <w:t>Interpretation</w:t>
            </w:r>
          </w:p>
        </w:tc>
      </w:tr>
      <w:tr w:rsidR="003F1DDC" w:rsidRPr="003F1DDC" w14:paraId="2595CF33" w14:textId="77777777" w:rsidTr="003F1DDC">
        <w:tblPrEx>
          <w:tblCellMar>
            <w:top w:w="0" w:type="dxa"/>
            <w:bottom w:w="0" w:type="dxa"/>
          </w:tblCellMar>
        </w:tblPrEx>
        <w:tc>
          <w:tcPr>
            <w:tcW w:w="1872" w:type="dxa"/>
          </w:tcPr>
          <w:p w14:paraId="705C1C11" w14:textId="03C67CD2"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Q16</w:t>
            </w:r>
          </w:p>
        </w:tc>
        <w:tc>
          <w:tcPr>
            <w:tcW w:w="1872" w:type="dxa"/>
          </w:tcPr>
          <w:p w14:paraId="18ADAEA4" w14:textId="70AF3165"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I am satisfied with my overall experience using the MitigatePlus platform.</w:t>
            </w:r>
          </w:p>
        </w:tc>
        <w:tc>
          <w:tcPr>
            <w:tcW w:w="1872" w:type="dxa"/>
          </w:tcPr>
          <w:p w14:paraId="5A1183CC" w14:textId="0C06D6DF"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4.50</w:t>
            </w:r>
          </w:p>
        </w:tc>
        <w:tc>
          <w:tcPr>
            <w:tcW w:w="1872" w:type="dxa"/>
          </w:tcPr>
          <w:p w14:paraId="6CFA081E" w14:textId="7D6DE121"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0.53</w:t>
            </w:r>
          </w:p>
        </w:tc>
        <w:tc>
          <w:tcPr>
            <w:tcW w:w="1872" w:type="dxa"/>
          </w:tcPr>
          <w:p w14:paraId="4F164D06" w14:textId="7B62B10F"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Very High</w:t>
            </w:r>
          </w:p>
        </w:tc>
      </w:tr>
      <w:tr w:rsidR="003F1DDC" w:rsidRPr="003F1DDC" w14:paraId="6CA9A7A7" w14:textId="77777777" w:rsidTr="003F1DDC">
        <w:tblPrEx>
          <w:tblCellMar>
            <w:top w:w="0" w:type="dxa"/>
            <w:bottom w:w="0" w:type="dxa"/>
          </w:tblCellMar>
        </w:tblPrEx>
        <w:tc>
          <w:tcPr>
            <w:tcW w:w="1872" w:type="dxa"/>
          </w:tcPr>
          <w:p w14:paraId="7F3AA034" w14:textId="142F993E"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Q17</w:t>
            </w:r>
          </w:p>
        </w:tc>
        <w:tc>
          <w:tcPr>
            <w:tcW w:w="1872" w:type="dxa"/>
          </w:tcPr>
          <w:p w14:paraId="0720F271" w14:textId="01169EB1"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I feel comfortable and confident while interacting with the application.</w:t>
            </w:r>
          </w:p>
        </w:tc>
        <w:tc>
          <w:tcPr>
            <w:tcW w:w="1872" w:type="dxa"/>
          </w:tcPr>
          <w:p w14:paraId="16017CCB" w14:textId="5BD2A47F"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4.40</w:t>
            </w:r>
          </w:p>
        </w:tc>
        <w:tc>
          <w:tcPr>
            <w:tcW w:w="1872" w:type="dxa"/>
          </w:tcPr>
          <w:p w14:paraId="521D43DF" w14:textId="3AFD7ED2"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0.52</w:t>
            </w:r>
          </w:p>
        </w:tc>
        <w:tc>
          <w:tcPr>
            <w:tcW w:w="1872" w:type="dxa"/>
          </w:tcPr>
          <w:p w14:paraId="47C1B0D5" w14:textId="29F705B3"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Very High</w:t>
            </w:r>
          </w:p>
        </w:tc>
      </w:tr>
      <w:tr w:rsidR="003F1DDC" w:rsidRPr="003F1DDC" w14:paraId="72B03620" w14:textId="77777777" w:rsidTr="003F1DDC">
        <w:tblPrEx>
          <w:tblCellMar>
            <w:top w:w="0" w:type="dxa"/>
            <w:bottom w:w="0" w:type="dxa"/>
          </w:tblCellMar>
        </w:tblPrEx>
        <w:tc>
          <w:tcPr>
            <w:tcW w:w="1872" w:type="dxa"/>
          </w:tcPr>
          <w:p w14:paraId="4391AE6C" w14:textId="04A25B7A"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Q18</w:t>
            </w:r>
          </w:p>
        </w:tc>
        <w:tc>
          <w:tcPr>
            <w:tcW w:w="1872" w:type="dxa"/>
          </w:tcPr>
          <w:p w14:paraId="46DD4FB5" w14:textId="639C1AAE"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The platform meets expectations for post-disaster relief management.</w:t>
            </w:r>
          </w:p>
        </w:tc>
        <w:tc>
          <w:tcPr>
            <w:tcW w:w="1872" w:type="dxa"/>
          </w:tcPr>
          <w:p w14:paraId="3347B0DD" w14:textId="76B86A5C"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4.50</w:t>
            </w:r>
          </w:p>
        </w:tc>
        <w:tc>
          <w:tcPr>
            <w:tcW w:w="1872" w:type="dxa"/>
          </w:tcPr>
          <w:p w14:paraId="6058ED84" w14:textId="1BD553DE"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0.53</w:t>
            </w:r>
          </w:p>
        </w:tc>
        <w:tc>
          <w:tcPr>
            <w:tcW w:w="1872" w:type="dxa"/>
          </w:tcPr>
          <w:p w14:paraId="4E9CDBFC" w14:textId="61FF3CA5"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Very High</w:t>
            </w:r>
          </w:p>
        </w:tc>
      </w:tr>
      <w:tr w:rsidR="003F1DDC" w:rsidRPr="003F1DDC" w14:paraId="68A31C16" w14:textId="77777777" w:rsidTr="003F1DDC">
        <w:tblPrEx>
          <w:tblCellMar>
            <w:top w:w="0" w:type="dxa"/>
            <w:bottom w:w="0" w:type="dxa"/>
          </w:tblCellMar>
        </w:tblPrEx>
        <w:tc>
          <w:tcPr>
            <w:tcW w:w="1872" w:type="dxa"/>
          </w:tcPr>
          <w:p w14:paraId="6D1952D2" w14:textId="17C66D58"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Q19</w:t>
            </w:r>
          </w:p>
        </w:tc>
        <w:tc>
          <w:tcPr>
            <w:tcW w:w="1872" w:type="dxa"/>
          </w:tcPr>
          <w:p w14:paraId="7F8B4363" w14:textId="325D95EC"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I would recommend this system for adoption by local government units.</w:t>
            </w:r>
          </w:p>
        </w:tc>
        <w:tc>
          <w:tcPr>
            <w:tcW w:w="1872" w:type="dxa"/>
          </w:tcPr>
          <w:p w14:paraId="1CA52BF9" w14:textId="4B4D471D"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4.30</w:t>
            </w:r>
          </w:p>
        </w:tc>
        <w:tc>
          <w:tcPr>
            <w:tcW w:w="1872" w:type="dxa"/>
          </w:tcPr>
          <w:p w14:paraId="07949E71" w14:textId="6EAE0F34"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0.48</w:t>
            </w:r>
          </w:p>
        </w:tc>
        <w:tc>
          <w:tcPr>
            <w:tcW w:w="1872" w:type="dxa"/>
          </w:tcPr>
          <w:p w14:paraId="6B8F0441" w14:textId="268A3EC5"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Very High</w:t>
            </w:r>
          </w:p>
        </w:tc>
      </w:tr>
      <w:tr w:rsidR="003F1DDC" w:rsidRPr="003F1DDC" w14:paraId="44BC0B96" w14:textId="77777777" w:rsidTr="003F1DDC">
        <w:tblPrEx>
          <w:tblCellMar>
            <w:top w:w="0" w:type="dxa"/>
            <w:bottom w:w="0" w:type="dxa"/>
          </w:tblCellMar>
        </w:tblPrEx>
        <w:tc>
          <w:tcPr>
            <w:tcW w:w="1872" w:type="dxa"/>
          </w:tcPr>
          <w:p w14:paraId="5479562D" w14:textId="2096CF3B"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Q20</w:t>
            </w:r>
          </w:p>
        </w:tc>
        <w:tc>
          <w:tcPr>
            <w:tcW w:w="1872" w:type="dxa"/>
          </w:tcPr>
          <w:p w14:paraId="4DEBE28D" w14:textId="5498BEBC"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I find the digital relief distribution and reporting experience pleasant.</w:t>
            </w:r>
          </w:p>
        </w:tc>
        <w:tc>
          <w:tcPr>
            <w:tcW w:w="1872" w:type="dxa"/>
          </w:tcPr>
          <w:p w14:paraId="6D5F0BC5" w14:textId="02DA03E6"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4.50</w:t>
            </w:r>
          </w:p>
        </w:tc>
        <w:tc>
          <w:tcPr>
            <w:tcW w:w="1872" w:type="dxa"/>
          </w:tcPr>
          <w:p w14:paraId="72536885" w14:textId="00D43A9E"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0.53</w:t>
            </w:r>
          </w:p>
        </w:tc>
        <w:tc>
          <w:tcPr>
            <w:tcW w:w="1872" w:type="dxa"/>
          </w:tcPr>
          <w:p w14:paraId="04DD9C26" w14:textId="68D96B62"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Very High</w:t>
            </w:r>
          </w:p>
        </w:tc>
      </w:tr>
    </w:tbl>
    <w:p w14:paraId="452A01DD" w14:textId="77777777" w:rsidR="003F1DDC" w:rsidRDefault="003F1DDC" w:rsidP="003F1DDC">
      <w:pPr>
        <w:spacing w:before="160" w:after="80" w:line="240" w:lineRule="auto"/>
        <w:rPr>
          <w:rFonts w:ascii="Calibri" w:hAnsi="Calibri" w:cs="Calibri"/>
          <w:b/>
          <w:color w:val="000000"/>
          <w:sz w:val="22"/>
        </w:rPr>
      </w:pPr>
    </w:p>
    <w:p w14:paraId="37700083" w14:textId="4ADA1063" w:rsidR="003F1DDC" w:rsidRDefault="003F1DDC" w:rsidP="003F1DDC">
      <w:pPr>
        <w:spacing w:after="120" w:line="240" w:lineRule="auto"/>
        <w:jc w:val="both"/>
        <w:rPr>
          <w:rFonts w:ascii="Calibri" w:hAnsi="Calibri" w:cs="Calibri"/>
          <w:color w:val="000000"/>
          <w:sz w:val="22"/>
        </w:rPr>
      </w:pPr>
      <w:r>
        <w:rPr>
          <w:rFonts w:ascii="Calibri" w:hAnsi="Calibri" w:cs="Calibri"/>
          <w:color w:val="000000"/>
          <w:sz w:val="22"/>
        </w:rPr>
        <w:t>Satisfaction reflects user contentment, perceived utility, and confidence in adopting MitigatePlus for official disaster operations. This category recorded the highest composite mean at 4.44 (Very High). Both overall satisfaction (Q16 = 4.50, SD = 0.53) and functional alignment with disaster management mandates (Q18 = 4.50, SD = 0.53) received strong endorsements. Field staff and community residents specifically commended the elimination of chaotic paper logbooks, the transparency of right-sized family food pack entitlements, and the immediate visual security provided by the single-use QR pass mechanism.</w:t>
      </w:r>
    </w:p>
    <w:p w14:paraId="423DDEE3" w14:textId="5A9C953D" w:rsidR="003F1DDC" w:rsidRDefault="003F1DDC" w:rsidP="003F1DDC">
      <w:pPr>
        <w:spacing w:before="160" w:after="80" w:line="240" w:lineRule="auto"/>
        <w:rPr>
          <w:rFonts w:ascii="Calibri" w:hAnsi="Calibri" w:cs="Calibri"/>
          <w:b/>
          <w:color w:val="000000"/>
          <w:sz w:val="22"/>
        </w:rPr>
      </w:pPr>
      <w:r>
        <w:rPr>
          <w:rFonts w:ascii="Calibri" w:hAnsi="Calibri" w:cs="Calibri"/>
          <w:b/>
          <w:color w:val="000000"/>
          <w:sz w:val="22"/>
        </w:rPr>
        <w:t>Table 30 Overall Summary of System Usability Evaluation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3F1DDC" w:rsidRPr="003F1DDC" w14:paraId="49E8908D" w14:textId="77777777" w:rsidTr="003F1DDC">
        <w:tblPrEx>
          <w:tblCellMar>
            <w:top w:w="0" w:type="dxa"/>
            <w:bottom w:w="0" w:type="dxa"/>
          </w:tblCellMar>
        </w:tblPrEx>
        <w:tc>
          <w:tcPr>
            <w:tcW w:w="2340" w:type="dxa"/>
            <w:shd w:val="clear" w:color="auto" w:fill="E6E6E6"/>
            <w:vAlign w:val="center"/>
          </w:tcPr>
          <w:p w14:paraId="0099A999" w14:textId="2DA70B0C" w:rsidR="003F1DDC" w:rsidRPr="003F1DDC" w:rsidRDefault="003F1DDC" w:rsidP="003F1DDC">
            <w:pPr>
              <w:spacing w:before="160" w:after="80" w:line="240" w:lineRule="auto"/>
              <w:rPr>
                <w:rFonts w:ascii="Calibri" w:hAnsi="Calibri" w:cs="Calibri"/>
                <w:b/>
                <w:color w:val="000000"/>
                <w:sz w:val="20"/>
              </w:rPr>
            </w:pPr>
            <w:r w:rsidRPr="003F1DDC">
              <w:rPr>
                <w:rFonts w:ascii="Calibri" w:hAnsi="Calibri" w:cs="Calibri"/>
                <w:b/>
                <w:color w:val="000000"/>
                <w:sz w:val="20"/>
              </w:rPr>
              <w:t>Usability Quality Dimension</w:t>
            </w:r>
          </w:p>
        </w:tc>
        <w:tc>
          <w:tcPr>
            <w:tcW w:w="2340" w:type="dxa"/>
            <w:shd w:val="clear" w:color="auto" w:fill="E6E6E6"/>
            <w:vAlign w:val="center"/>
          </w:tcPr>
          <w:p w14:paraId="220C12CC" w14:textId="7C5F96F5" w:rsidR="003F1DDC" w:rsidRPr="003F1DDC" w:rsidRDefault="003F1DDC" w:rsidP="003F1DDC">
            <w:pPr>
              <w:spacing w:before="160" w:after="80" w:line="240" w:lineRule="auto"/>
              <w:rPr>
                <w:rFonts w:ascii="Calibri" w:hAnsi="Calibri" w:cs="Calibri"/>
                <w:b/>
                <w:color w:val="000000"/>
                <w:sz w:val="20"/>
              </w:rPr>
            </w:pPr>
            <w:r w:rsidRPr="003F1DDC">
              <w:rPr>
                <w:rFonts w:ascii="Calibri" w:hAnsi="Calibri" w:cs="Calibri"/>
                <w:b/>
                <w:color w:val="000000"/>
                <w:sz w:val="20"/>
              </w:rPr>
              <w:t>Composite Mean Score</w:t>
            </w:r>
          </w:p>
        </w:tc>
        <w:tc>
          <w:tcPr>
            <w:tcW w:w="2340" w:type="dxa"/>
            <w:shd w:val="clear" w:color="auto" w:fill="E6E6E6"/>
            <w:vAlign w:val="center"/>
          </w:tcPr>
          <w:p w14:paraId="4439E923" w14:textId="7A2F3FC5" w:rsidR="003F1DDC" w:rsidRPr="003F1DDC" w:rsidRDefault="003F1DDC" w:rsidP="003F1DDC">
            <w:pPr>
              <w:spacing w:before="160" w:after="80" w:line="240" w:lineRule="auto"/>
              <w:rPr>
                <w:rFonts w:ascii="Calibri" w:hAnsi="Calibri" w:cs="Calibri"/>
                <w:b/>
                <w:color w:val="000000"/>
                <w:sz w:val="20"/>
              </w:rPr>
            </w:pPr>
            <w:r w:rsidRPr="003F1DDC">
              <w:rPr>
                <w:rFonts w:ascii="Calibri" w:hAnsi="Calibri" w:cs="Calibri"/>
                <w:b/>
                <w:color w:val="000000"/>
                <w:sz w:val="20"/>
              </w:rPr>
              <w:t>Descriptive Interpretation</w:t>
            </w:r>
          </w:p>
        </w:tc>
        <w:tc>
          <w:tcPr>
            <w:tcW w:w="2340" w:type="dxa"/>
            <w:shd w:val="clear" w:color="auto" w:fill="E6E6E6"/>
            <w:vAlign w:val="center"/>
          </w:tcPr>
          <w:p w14:paraId="7CB1BE90" w14:textId="01AE51B2" w:rsidR="003F1DDC" w:rsidRPr="003F1DDC" w:rsidRDefault="003F1DDC" w:rsidP="003F1DDC">
            <w:pPr>
              <w:spacing w:before="160" w:after="80" w:line="240" w:lineRule="auto"/>
              <w:rPr>
                <w:rFonts w:ascii="Calibri" w:hAnsi="Calibri" w:cs="Calibri"/>
                <w:b/>
                <w:color w:val="000000"/>
                <w:sz w:val="20"/>
              </w:rPr>
            </w:pPr>
            <w:r w:rsidRPr="003F1DDC">
              <w:rPr>
                <w:rFonts w:ascii="Calibri" w:hAnsi="Calibri" w:cs="Calibri"/>
                <w:b/>
                <w:color w:val="000000"/>
                <w:sz w:val="20"/>
              </w:rPr>
              <w:t>Overall Performance Level</w:t>
            </w:r>
          </w:p>
        </w:tc>
      </w:tr>
      <w:tr w:rsidR="003F1DDC" w:rsidRPr="003F1DDC" w14:paraId="7191B12B" w14:textId="77777777" w:rsidTr="003F1DDC">
        <w:tblPrEx>
          <w:tblCellMar>
            <w:top w:w="0" w:type="dxa"/>
            <w:bottom w:w="0" w:type="dxa"/>
          </w:tblCellMar>
        </w:tblPrEx>
        <w:tc>
          <w:tcPr>
            <w:tcW w:w="2340" w:type="dxa"/>
          </w:tcPr>
          <w:p w14:paraId="79FE3CF9" w14:textId="1780C726"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Ease of Use</w:t>
            </w:r>
          </w:p>
        </w:tc>
        <w:tc>
          <w:tcPr>
            <w:tcW w:w="2340" w:type="dxa"/>
          </w:tcPr>
          <w:p w14:paraId="29760ECD" w14:textId="4264BA19"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4.32</w:t>
            </w:r>
          </w:p>
        </w:tc>
        <w:tc>
          <w:tcPr>
            <w:tcW w:w="2340" w:type="dxa"/>
          </w:tcPr>
          <w:p w14:paraId="31228925" w14:textId="2D4431E4"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Very High</w:t>
            </w:r>
          </w:p>
        </w:tc>
        <w:tc>
          <w:tcPr>
            <w:tcW w:w="2340" w:type="dxa"/>
          </w:tcPr>
          <w:p w14:paraId="14F40C89" w14:textId="2C3AC561"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Exceeds 85% Benchmark</w:t>
            </w:r>
          </w:p>
        </w:tc>
      </w:tr>
      <w:tr w:rsidR="003F1DDC" w:rsidRPr="003F1DDC" w14:paraId="008615DA" w14:textId="77777777" w:rsidTr="003F1DDC">
        <w:tblPrEx>
          <w:tblCellMar>
            <w:top w:w="0" w:type="dxa"/>
            <w:bottom w:w="0" w:type="dxa"/>
          </w:tblCellMar>
        </w:tblPrEx>
        <w:tc>
          <w:tcPr>
            <w:tcW w:w="2340" w:type="dxa"/>
          </w:tcPr>
          <w:p w14:paraId="7D46B0CF" w14:textId="65B2F400"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Performance and Efficiency</w:t>
            </w:r>
          </w:p>
        </w:tc>
        <w:tc>
          <w:tcPr>
            <w:tcW w:w="2340" w:type="dxa"/>
          </w:tcPr>
          <w:p w14:paraId="1BF9EE83" w14:textId="1D479512"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4.32</w:t>
            </w:r>
          </w:p>
        </w:tc>
        <w:tc>
          <w:tcPr>
            <w:tcW w:w="2340" w:type="dxa"/>
          </w:tcPr>
          <w:p w14:paraId="5E3FCE10" w14:textId="5E2E8AAF"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Very High</w:t>
            </w:r>
          </w:p>
        </w:tc>
        <w:tc>
          <w:tcPr>
            <w:tcW w:w="2340" w:type="dxa"/>
          </w:tcPr>
          <w:p w14:paraId="50D117AD" w14:textId="3A8B4FCA"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Exceeds 85% Benchmark</w:t>
            </w:r>
          </w:p>
        </w:tc>
      </w:tr>
      <w:tr w:rsidR="003F1DDC" w:rsidRPr="003F1DDC" w14:paraId="60002801" w14:textId="77777777" w:rsidTr="003F1DDC">
        <w:tblPrEx>
          <w:tblCellMar>
            <w:top w:w="0" w:type="dxa"/>
            <w:bottom w:w="0" w:type="dxa"/>
          </w:tblCellMar>
        </w:tblPrEx>
        <w:tc>
          <w:tcPr>
            <w:tcW w:w="2340" w:type="dxa"/>
          </w:tcPr>
          <w:p w14:paraId="3301030B" w14:textId="0D80C7A9"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Learnability</w:t>
            </w:r>
          </w:p>
        </w:tc>
        <w:tc>
          <w:tcPr>
            <w:tcW w:w="2340" w:type="dxa"/>
          </w:tcPr>
          <w:p w14:paraId="48DE9556" w14:textId="2078589E"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4.36</w:t>
            </w:r>
          </w:p>
        </w:tc>
        <w:tc>
          <w:tcPr>
            <w:tcW w:w="2340" w:type="dxa"/>
          </w:tcPr>
          <w:p w14:paraId="1E13EF81" w14:textId="43EC5E0B"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Very High</w:t>
            </w:r>
          </w:p>
        </w:tc>
        <w:tc>
          <w:tcPr>
            <w:tcW w:w="2340" w:type="dxa"/>
          </w:tcPr>
          <w:p w14:paraId="7DD7EF31" w14:textId="5DE0B21F"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Exceeds 85% Benchmark</w:t>
            </w:r>
          </w:p>
        </w:tc>
      </w:tr>
      <w:tr w:rsidR="003F1DDC" w:rsidRPr="003F1DDC" w14:paraId="1124B042" w14:textId="77777777" w:rsidTr="003F1DDC">
        <w:tblPrEx>
          <w:tblCellMar>
            <w:top w:w="0" w:type="dxa"/>
            <w:bottom w:w="0" w:type="dxa"/>
          </w:tblCellMar>
        </w:tblPrEx>
        <w:tc>
          <w:tcPr>
            <w:tcW w:w="2340" w:type="dxa"/>
          </w:tcPr>
          <w:p w14:paraId="010B9C4A" w14:textId="101E3F35"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lastRenderedPageBreak/>
              <w:t>Satisfaction</w:t>
            </w:r>
          </w:p>
        </w:tc>
        <w:tc>
          <w:tcPr>
            <w:tcW w:w="2340" w:type="dxa"/>
          </w:tcPr>
          <w:p w14:paraId="357761E7" w14:textId="736B95F7"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4.44</w:t>
            </w:r>
          </w:p>
        </w:tc>
        <w:tc>
          <w:tcPr>
            <w:tcW w:w="2340" w:type="dxa"/>
          </w:tcPr>
          <w:p w14:paraId="3FF3BC67" w14:textId="01650A0A"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Very High</w:t>
            </w:r>
          </w:p>
        </w:tc>
        <w:tc>
          <w:tcPr>
            <w:tcW w:w="2340" w:type="dxa"/>
          </w:tcPr>
          <w:p w14:paraId="048F866D" w14:textId="1C3EC4ED"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Exceeds 85% Benchmark</w:t>
            </w:r>
          </w:p>
        </w:tc>
      </w:tr>
      <w:tr w:rsidR="003F1DDC" w:rsidRPr="003F1DDC" w14:paraId="385B9D1C" w14:textId="77777777" w:rsidTr="003F1DDC">
        <w:tblPrEx>
          <w:tblCellMar>
            <w:top w:w="0" w:type="dxa"/>
            <w:bottom w:w="0" w:type="dxa"/>
          </w:tblCellMar>
        </w:tblPrEx>
        <w:tc>
          <w:tcPr>
            <w:tcW w:w="2340" w:type="dxa"/>
          </w:tcPr>
          <w:p w14:paraId="478A9158" w14:textId="2F1580C8"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Overall System Usability Grand Mean</w:t>
            </w:r>
          </w:p>
        </w:tc>
        <w:tc>
          <w:tcPr>
            <w:tcW w:w="2340" w:type="dxa"/>
          </w:tcPr>
          <w:p w14:paraId="29F6ADBE" w14:textId="66FA3EF9"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4.36</w:t>
            </w:r>
          </w:p>
        </w:tc>
        <w:tc>
          <w:tcPr>
            <w:tcW w:w="2340" w:type="dxa"/>
          </w:tcPr>
          <w:p w14:paraId="77742484" w14:textId="294ED580"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Very High</w:t>
            </w:r>
          </w:p>
        </w:tc>
        <w:tc>
          <w:tcPr>
            <w:tcW w:w="2340" w:type="dxa"/>
          </w:tcPr>
          <w:p w14:paraId="3DA9DBA2" w14:textId="50615508" w:rsidR="003F1DDC" w:rsidRPr="003F1DDC" w:rsidRDefault="003F1DDC" w:rsidP="003F1DDC">
            <w:pPr>
              <w:spacing w:before="160" w:after="80" w:line="240" w:lineRule="auto"/>
              <w:rPr>
                <w:rFonts w:ascii="Calibri" w:hAnsi="Calibri" w:cs="Calibri"/>
                <w:color w:val="000000"/>
                <w:sz w:val="20"/>
              </w:rPr>
            </w:pPr>
            <w:r w:rsidRPr="003F1DDC">
              <w:rPr>
                <w:rFonts w:ascii="Calibri" w:hAnsi="Calibri" w:cs="Calibri"/>
                <w:color w:val="000000"/>
                <w:sz w:val="20"/>
              </w:rPr>
              <w:t>87.20% Usability Readiness</w:t>
            </w:r>
          </w:p>
        </w:tc>
      </w:tr>
    </w:tbl>
    <w:p w14:paraId="1EC17F69" w14:textId="77777777" w:rsidR="003F1DDC" w:rsidRDefault="003F1DDC" w:rsidP="003F1DDC">
      <w:pPr>
        <w:spacing w:before="160" w:after="80" w:line="240" w:lineRule="auto"/>
        <w:rPr>
          <w:rFonts w:ascii="Calibri" w:hAnsi="Calibri" w:cs="Calibri"/>
          <w:b/>
          <w:color w:val="000000"/>
          <w:sz w:val="22"/>
        </w:rPr>
      </w:pPr>
    </w:p>
    <w:p w14:paraId="6B7464CF" w14:textId="5CCA6AD9" w:rsidR="003F1DDC" w:rsidRDefault="003F1DDC" w:rsidP="003F1DDC">
      <w:pPr>
        <w:spacing w:after="120" w:line="240" w:lineRule="auto"/>
        <w:jc w:val="both"/>
        <w:rPr>
          <w:rFonts w:ascii="Calibri" w:hAnsi="Calibri" w:cs="Calibri"/>
          <w:color w:val="000000"/>
          <w:sz w:val="22"/>
        </w:rPr>
      </w:pPr>
      <w:r>
        <w:rPr>
          <w:rFonts w:ascii="Calibri" w:hAnsi="Calibri" w:cs="Calibri"/>
          <w:color w:val="000000"/>
          <w:sz w:val="22"/>
        </w:rPr>
        <w:t>As summarized in Table 30, the MitigatePlus platform achieved an overall usability grand mean of 4.36 out of 5.00, interpreted as Very High across all evaluated dimensions. Converting this composite score to an overall percentage yield demonstrates an 87.20 percent usability readiness rating, successfully surpassing the 85.00 percent benchmark target established in Specific Objective 5 of Chapter 1. Satisfaction achieved the highest evaluation (4.44), followed by Learnability (4.36), while Ease of Use and Performance and Efficiency each recorded robust scores of 4.32.</w:t>
      </w:r>
    </w:p>
    <w:p w14:paraId="17ED3659" w14:textId="07DD61CD" w:rsidR="003F1DDC" w:rsidRDefault="003F1DDC" w:rsidP="003F1DDC">
      <w:pPr>
        <w:spacing w:after="120" w:line="240" w:lineRule="auto"/>
        <w:jc w:val="both"/>
        <w:rPr>
          <w:rFonts w:ascii="Calibri" w:hAnsi="Calibri" w:cs="Calibri"/>
          <w:color w:val="000000"/>
          <w:sz w:val="22"/>
        </w:rPr>
      </w:pPr>
      <w:r>
        <w:rPr>
          <w:rFonts w:ascii="Calibri" w:hAnsi="Calibri" w:cs="Calibri"/>
          <w:color w:val="000000"/>
          <w:sz w:val="22"/>
        </w:rPr>
        <w:t>The empirical findings demonstrate that MitigatePlus effectively bridges the operational divide between municipal disaster planners and community beneficiaries. The combination of lightweight mobile forms, offline QR pass persistence, sub-second WebSocket anti-duplicate detection, and automated vulnerability-weighted prioritization delivers a resilient, human-centered software infrastructure that significantly enhances disaster recovery governance across the City of Manila.</w:t>
      </w:r>
    </w:p>
    <w:p w14:paraId="6A4703EC" w14:textId="77777777" w:rsidR="003F1DDC" w:rsidRPr="003F1DDC" w:rsidRDefault="003F1DDC" w:rsidP="003F1DDC">
      <w:pPr>
        <w:spacing w:after="120" w:line="240" w:lineRule="auto"/>
        <w:jc w:val="both"/>
        <w:rPr>
          <w:rFonts w:ascii="Calibri" w:hAnsi="Calibri" w:cs="Calibri"/>
          <w:color w:val="000000"/>
          <w:sz w:val="22"/>
        </w:rPr>
      </w:pPr>
    </w:p>
    <w:sectPr w:rsidR="003F1DDC" w:rsidRPr="003F1DDC" w:rsidSect="003F1D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DDC"/>
    <w:rsid w:val="003F1DDC"/>
    <w:rsid w:val="0042756B"/>
    <w:rsid w:val="00A30EE3"/>
    <w:rsid w:val="00D2369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22B23"/>
  <w15:chartTrackingRefBased/>
  <w15:docId w15:val="{3140B641-DC23-41FA-8CC8-A01922CDB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D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D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D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D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D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D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D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D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D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D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DDC"/>
    <w:rPr>
      <w:rFonts w:eastAsiaTheme="majorEastAsia" w:cstheme="majorBidi"/>
      <w:color w:val="272727" w:themeColor="text1" w:themeTint="D8"/>
    </w:rPr>
  </w:style>
  <w:style w:type="paragraph" w:styleId="Title">
    <w:name w:val="Title"/>
    <w:basedOn w:val="Normal"/>
    <w:next w:val="Normal"/>
    <w:link w:val="TitleChar"/>
    <w:uiPriority w:val="10"/>
    <w:qFormat/>
    <w:rsid w:val="003F1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DDC"/>
    <w:pPr>
      <w:spacing w:before="160"/>
      <w:jc w:val="center"/>
    </w:pPr>
    <w:rPr>
      <w:i/>
      <w:iCs/>
      <w:color w:val="404040" w:themeColor="text1" w:themeTint="BF"/>
    </w:rPr>
  </w:style>
  <w:style w:type="character" w:customStyle="1" w:styleId="QuoteChar">
    <w:name w:val="Quote Char"/>
    <w:basedOn w:val="DefaultParagraphFont"/>
    <w:link w:val="Quote"/>
    <w:uiPriority w:val="29"/>
    <w:rsid w:val="003F1DDC"/>
    <w:rPr>
      <w:i/>
      <w:iCs/>
      <w:color w:val="404040" w:themeColor="text1" w:themeTint="BF"/>
    </w:rPr>
  </w:style>
  <w:style w:type="paragraph" w:styleId="ListParagraph">
    <w:name w:val="List Paragraph"/>
    <w:basedOn w:val="Normal"/>
    <w:uiPriority w:val="34"/>
    <w:qFormat/>
    <w:rsid w:val="003F1DDC"/>
    <w:pPr>
      <w:ind w:left="720"/>
      <w:contextualSpacing/>
    </w:pPr>
  </w:style>
  <w:style w:type="character" w:styleId="IntenseEmphasis">
    <w:name w:val="Intense Emphasis"/>
    <w:basedOn w:val="DefaultParagraphFont"/>
    <w:uiPriority w:val="21"/>
    <w:qFormat/>
    <w:rsid w:val="003F1DDC"/>
    <w:rPr>
      <w:i/>
      <w:iCs/>
      <w:color w:val="2F5496" w:themeColor="accent1" w:themeShade="BF"/>
    </w:rPr>
  </w:style>
  <w:style w:type="paragraph" w:styleId="IntenseQuote">
    <w:name w:val="Intense Quote"/>
    <w:basedOn w:val="Normal"/>
    <w:next w:val="Normal"/>
    <w:link w:val="IntenseQuoteChar"/>
    <w:uiPriority w:val="30"/>
    <w:qFormat/>
    <w:rsid w:val="003F1D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DDC"/>
    <w:rPr>
      <w:i/>
      <w:iCs/>
      <w:color w:val="2F5496" w:themeColor="accent1" w:themeShade="BF"/>
    </w:rPr>
  </w:style>
  <w:style w:type="character" w:styleId="IntenseReference">
    <w:name w:val="Intense Reference"/>
    <w:basedOn w:val="DefaultParagraphFont"/>
    <w:uiPriority w:val="32"/>
    <w:qFormat/>
    <w:rsid w:val="003F1D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1991</Words>
  <Characters>11352</Characters>
  <Application>Microsoft Office Word</Application>
  <DocSecurity>0</DocSecurity>
  <Lines>94</Lines>
  <Paragraphs>26</Paragraphs>
  <ScaleCrop>false</ScaleCrop>
  <Company/>
  <LinksUpToDate>false</LinksUpToDate>
  <CharactersWithSpaces>13317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ellica onggoco</dc:creator>
  <cp:keywords/>
  <dc:description/>
  <cp:lastModifiedBy>ellica onggoco</cp:lastModifiedBy>
  <cp:revision>1</cp:revision>
  <dcterms:created xsi:type="dcterms:W3CDTF">2026-09-11T05:39:00Z</dcterms:created>
  <dcterms:modified xsi:type="dcterms:W3CDTF">2026-09-11T05:39:00Z</dcterms:modified>
</cp:coreProperties>
</file>