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makes you approach strangers? Why or why not?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Tell me about the last time you made a connection (anything that could be classified as an interaction, direct or indirect, even if not mutual) with someone completely by chance. How did that happen?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Follow-up if they can’t think of an example:</w:t>
        <w:br w:type="textWrapping"/>
        <w:t xml:space="preserve">Would you want to? What stops you?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Follow up on what kinds of questions/things they learnt about them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found something left by a stranger on campus, e.g., graffiti on a desk, message or drawing on whiteboards, even notes in the bathroom? How did it make you feel, and did you respond in any way? If not, anywhere else?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there a time a stranger started a conversation with you unprompted on campus (in class, or not in class, specify). How did you feel and how did it turn out? If not on campus, anywhere else?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 there anything about meeting strangers on campus you wish were different?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Let’s do the same naming conventions as deco2800 or whatever course we just did i honestly can’t remember and keep our participant coding consistent across the interview rounds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Bianca participants: B[number]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Ellie participants: E[number]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Emily participants: H[1]: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https://drive.google.com/file/d/1Uxcy1RSlQzaVtHIQwtYzLja2DYovdPhp/view?usp=share_link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Reyana participants: R[number]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Ruby participants: L[number]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Double ups on first names now so I went alphabetical by first name and then used surname ;-;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8w4l327s7hyu" w:id="0"/>
      <w:bookmarkEnd w:id="0"/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Claude prompt: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Generate a coding scheme using COM-B for this interview transcript.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 opposed to last year, I wonder if it’s better for one person to submit all the transcripts to Claude so the COM-B codes it develops are consistent across participants -Bianca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Uxcy1RSlQzaVtHIQwtYzLja2DYovdPhp/view?usp=share_link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