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Literature Review and Research Gap – Ethical AI Use in Oncology</w:t>
      </w:r>
    </w:p>
    <w:p>
      <w:r>
        <w:t>Molly Meister, MD</w:t>
        <w:br/>
        <w:t>Radiation Oncology Resident, UCSF</w:t>
        <w:br/>
      </w:r>
    </w:p>
    <w:p>
      <w:pPr>
        <w:pStyle w:val="Heading1"/>
      </w:pPr>
      <w:r>
        <w:t>Literature Review</w:t>
      </w:r>
    </w:p>
    <w:p>
      <w:r>
        <w:t>Recent publications have begun to explore the ethical, clinical, and regulatory implications of large language models (LLMs) in healthcare. Key themes include:</w:t>
        <w:br/>
        <w:br/>
        <w:t>- The promise of LLMs in improving patient communication, education, and clinical decision support (Lim &amp; Hwang, 2024; Madduri et al., 2023).</w:t>
        <w:br/>
        <w:t>- Growing concerns about misinformation, hallucinations, and the need for human oversight in clinical applications (Smith et al., 2024; Brown et al., 2024).</w:t>
        <w:br/>
        <w:t>- Oncologist perspectives highlighting the ethical need for explainability, patient consent, and responsibility in AI-assisted care (Johnson et al., 2023).</w:t>
        <w:br/>
        <w:t>- Emerging attention to the emotional and psychological impact of AI use in sensitive contexts like palliative care (Lee et al., 2024).</w:t>
        <w:br/>
        <w:br/>
        <w:t>However, the current literature largely focuses on clinical applications and regulatory frameworks, with limited attention to the emotional and cognitive risks of human-AI interaction in grief-intensive or cognitively vulnerable contexts, such as oncology.</w:t>
      </w:r>
    </w:p>
    <w:p>
      <w:pPr>
        <w:pStyle w:val="Heading1"/>
      </w:pPr>
      <w:r>
        <w:t>Identified Gap in the Literature</w:t>
      </w:r>
    </w:p>
    <w:p>
      <w:r>
        <w:t>While existing research addresses technical and regulatory challenges, there is a critical gap in understanding how emotionally intelligent LLMs may interact with:</w:t>
        <w:br/>
        <w:br/>
        <w:t>- Grief-stricken patients and families navigating life-limiting diagnoses.</w:t>
        <w:br/>
        <w:t>- Cognitively vulnerable clinicians, such as those experiencing moral injury, burnout, or emotional overload.</w:t>
        <w:br/>
        <w:br/>
        <w:t>This study seeks to fill that gap by investigating the emotional, cognitive, and psychological implications of LLM use in oncology—starting with reflective narrative and expanding toward ethical framework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