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3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solstice-competitor-report"/>
    <w:p>
      <w:pPr>
        <w:pStyle w:val="Heading1"/>
      </w:pPr>
      <w:r>
        <w:t xml:space="preserve">Solstice Competitor Report</w:t>
      </w:r>
    </w:p>
    <w:p>
      <w:pPr>
        <w:pStyle w:val="FirstParagraph"/>
      </w:pPr>
      <w:r>
        <w:t xml:space="preserve">Meridian Solstice vs. Anchorline Trevino, VSI Castellan &amp; Ferrum — 2025 vs. 2026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Solstice recorded 304 project specs in full-year 2025 and has already</w:t>
      </w:r>
      <w:r>
        <w:t xml:space="preserve"> </w:t>
      </w:r>
      <w:r>
        <w:t xml:space="preserve">reached 367 through mid-2026 — ahead of last year's full total with</w:t>
      </w:r>
      <w:r>
        <w:t xml:space="preserve"> </w:t>
      </w:r>
      <w:r>
        <w:t xml:space="preserve">roughly five months still remaining, an acceleration of about 21% year</w:t>
      </w:r>
      <w:r>
        <w:t xml:space="preserve"> </w:t>
      </w:r>
      <w:r>
        <w:t xml:space="preserve">over year. Across the two years combined, Solstice holds 82–84% of all</w:t>
      </w:r>
      <w:r>
        <w:t xml:space="preserve"> </w:t>
      </w:r>
      <w:r>
        <w:t xml:space="preserve">comparable Solstice/Trevino/Castellan specs; Trevino holds the next largest share</w:t>
      </w:r>
      <w:r>
        <w:t xml:space="preserve"> </w:t>
      </w:r>
      <w:r>
        <w:t xml:space="preserve">at 13%; Castellan trails at 2–6% and is shrinking. Solstice leads Trevino</w:t>
      </w:r>
      <w:r>
        <w:t xml:space="preserve"> </w:t>
      </w:r>
      <w:r>
        <w:t xml:space="preserve">outright in 6 of 8 directly comparable product categories, trailing only</w:t>
      </w:r>
      <w:r>
        <w:t xml:space="preserve"> </w:t>
      </w:r>
      <w:r>
        <w:t xml:space="preserve">in Sanitary Disposal (7 vs. 34) and Soap Dispenser/Faucet (0 vs. 33 —</w:t>
      </w:r>
      <w:r>
        <w:t xml:space="preserve"> </w:t>
      </w:r>
      <w:r>
        <w:t xml:space="preserve">see the launch-timing note below).</w:t>
      </w:r>
    </w:p>
    <w:p>
      <w:pPr>
        <w:pStyle w:val="BodyText"/>
      </w:pPr>
      <w:r>
        <w:t xml:space="preserve">Meridian's Matte Black (NOIR) finish shows the same lead: 251 specs</w:t>
      </w:r>
      <w:r>
        <w:t xml:space="preserve"> </w:t>
      </w:r>
      <w:r>
        <w:t xml:space="preserve">combined across 2025–2026 vs. VSI's 48, an 84%/16% split. VSI's matte</w:t>
      </w:r>
      <w:r>
        <w:t xml:space="preserve"> </w:t>
      </w:r>
      <w:r>
        <w:t xml:space="preserve">black share for this year alone is real and measurable (18.6% in 2025,</w:t>
      </w:r>
      <w:r>
        <w:t xml:space="preserve"> </w:t>
      </w:r>
      <w:r>
        <w:t xml:space="preserve">13.9% in 2026 to date) — close to the ~20% figure recalled for 2025.</w:t>
      </w:r>
      <w:r>
        <w:t xml:space="preserve"> </w:t>
      </w:r>
      <w:r>
        <w:t xml:space="preserve">However, this cannot be reliably compared to the 6.6% VSI held in the</w:t>
      </w:r>
      <w:r>
        <w:t xml:space="preserve"> </w:t>
      </w:r>
      <w:r>
        <w:t xml:space="preserve">2024–2025 call-out, because that older number was pulled with a single</w:t>
      </w:r>
      <w:r>
        <w:t xml:space="preserve"> </w:t>
      </w:r>
      <w:r>
        <w:t xml:space="preserve">whole-collection search formula while this year's pull searched matte</w:t>
      </w:r>
      <w:r>
        <w:t xml:space="preserve"> </w:t>
      </w:r>
      <w:r>
        <w:t xml:space="preserve">black by individual product — the two aren't measured the same way,</w:t>
      </w:r>
      <w:r>
        <w:t xml:space="preserve"> </w:t>
      </w:r>
      <w:r>
        <w:t xml:space="preserve">so an apparent</w:t>
      </w:r>
      <w:r>
        <w:t xml:space="preserve"> </w:t>
      </w:r>
      <w:r>
        <w:t xml:space="preserve">“</w:t>
      </w:r>
      <w:r>
        <w:t xml:space="preserve">tripling</w:t>
      </w:r>
      <w:r>
        <w:t xml:space="preserve">”</w:t>
      </w:r>
      <w:r>
        <w:t xml:space="preserve"> </w:t>
      </w:r>
      <w:r>
        <w:t xml:space="preserve">of VSI's share is not a trend we can</w:t>
      </w:r>
      <w:r>
        <w:t xml:space="preserve"> </w:t>
      </w:r>
      <w:r>
        <w:t xml:space="preserve">responsibly claim (see the Year-over-Year section for detail).</w:t>
      </w:r>
    </w:p>
    <w:p>
      <w:pPr>
        <w:pStyle w:val="BodyText"/>
      </w:pPr>
      <w:r>
        <w:t xml:space="preserve">By building type, Solstice's activity concentrates in Education (28%),</w:t>
      </w:r>
      <w:r>
        <w:t xml:space="preserve"> </w:t>
      </w:r>
      <w:r>
        <w:t xml:space="preserve">Government (18%), and Core Office (12%), which together mirror the same</w:t>
      </w:r>
      <w:r>
        <w:t xml:space="preserve"> </w:t>
      </w:r>
      <w:r>
        <w:t xml:space="preserve">three categories that led Solstice in the 2024–2025 call-out — a</w:t>
      </w:r>
      <w:r>
        <w:t xml:space="preserve"> </w:t>
      </w:r>
      <w:r>
        <w:t xml:space="preserve">consistent pattern across both periods.</w:t>
      </w:r>
    </w:p>
    <w:bookmarkEnd w:id="20"/>
    <w:bookmarkStart w:id="21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rPr>
          <w:iCs/>
          <w:i/>
        </w:rPr>
        <w:t xml:space="preserve">Brands map to manufacturers as follows: Solstice, NOIR, and LED Mirrors are</w:t>
      </w:r>
      <w:r>
        <w:rPr>
          <w:iCs/>
          <w:i/>
        </w:rPr>
        <w:t xml:space="preserve"> </w:t>
      </w:r>
      <w:r>
        <w:rPr>
          <w:iCs/>
          <w:i/>
        </w:rPr>
        <w:t xml:space="preserve">Meridian; Trevino is Anchorline; Castellan, VSI LED, and VSI Matte Black are VSI</w:t>
      </w:r>
      <w:r>
        <w:rPr>
          <w:iCs/>
          <w:i/>
        </w:rPr>
        <w:t xml:space="preserve"> </w:t>
      </w:r>
      <w:r>
        <w:rPr>
          <w:iCs/>
          <w:i/>
        </w:rPr>
        <w:t xml:space="preserve">(Vantage Specialties); Ferrum is a presumed competitor brand with no</w:t>
      </w:r>
      <w:r>
        <w:rPr>
          <w:iCs/>
          <w:i/>
        </w:rPr>
        <w:t xml:space="preserve"> </w:t>
      </w:r>
      <w:r>
        <w:rPr>
          <w:iCs/>
          <w:i/>
        </w:rPr>
        <w:t xml:space="preserve">confirmed specs to date.</w:t>
      </w:r>
    </w:p>
    <w:p>
      <w:pPr>
        <w:pStyle w:val="BodyText"/>
      </w:pPr>
      <w:r>
        <w:t xml:space="preserve">This year's call-out (see Appendix B) uses the same core approach as</w:t>
      </w:r>
      <w:r>
        <w:t xml:space="preserve"> </w:t>
      </w:r>
      <w:r>
        <w:t xml:space="preserve">the 2024–2025 call-out for each collection: one combined search formula</w:t>
      </w:r>
      <w:r>
        <w:t xml:space="preserve"> </w:t>
      </w:r>
      <w:r>
        <w:t xml:space="preserve">per brand that includes both the collection/brand name (e.g.</w:t>
      </w:r>
      <w:r>
        <w:t xml:space="preserve"> </w:t>
      </w:r>
      <w:r>
        <w:t xml:space="preserve">NEAR(</w:t>
      </w:r>
      <w:r>
        <w:t xml:space="preserve">“</w:t>
      </w:r>
      <w:r>
        <w:t xml:space="preserve">Solstice</w:t>
      </w:r>
      <w:r>
        <w:t xml:space="preserve">”</w:t>
      </w:r>
      <w:r>
        <w:t xml:space="preserve">,</w:t>
      </w:r>
      <w:r>
        <w:t xml:space="preserve">“</w:t>
      </w:r>
      <w:r>
        <w:t xml:space="preserve">Meridian</w:t>
      </w:r>
      <w:r>
        <w:t xml:space="preserve">”</w:t>
      </w:r>
      <w:r>
        <w:t xml:space="preserve">)) and known model numbers, run together as a</w:t>
      </w:r>
      <w:r>
        <w:t xml:space="preserve"> </w:t>
      </w:r>
      <w:r>
        <w:t xml:space="preserve">single search — not a product-only search. What changed this year is</w:t>
      </w:r>
      <w:r>
        <w:t xml:space="preserve"> </w:t>
      </w:r>
      <w:r>
        <w:t xml:space="preserve">that those formulas were expanded with additional model numbers and, for</w:t>
      </w:r>
      <w:r>
        <w:t xml:space="preserve"> </w:t>
      </w:r>
      <w:r>
        <w:t xml:space="preserve">several brands, layered with a further set of separate per-category</w:t>
      </w:r>
      <w:r>
        <w:t xml:space="preserve"> </w:t>
      </w:r>
      <w:r>
        <w:t xml:space="preserve">searches (Grab Bars, Hooks, Dispensers, etc.) on top of the combined</w:t>
      </w:r>
      <w:r>
        <w:t xml:space="preserve"> </w:t>
      </w:r>
      <w:r>
        <w:t xml:space="preserve">collection formula. This is what produced substantially more data than</w:t>
      </w:r>
      <w:r>
        <w:t xml:space="preserve"> </w:t>
      </w:r>
      <w:r>
        <w:t xml:space="preserve">last year, not a switch away from collection-name search.</w:t>
      </w:r>
    </w:p>
    <w:p>
      <w:pPr>
        <w:pStyle w:val="BodyText"/>
      </w:pPr>
      <w:r>
        <w:rPr>
          <w:bCs/>
          <w:b/>
        </w:rPr>
        <w:t xml:space="preserve">This more granular approach also surfaced real, brand-specific</w:t>
      </w:r>
      <w:r>
        <w:rPr>
          <w:bCs/>
          <w:b/>
        </w:rPr>
        <w:t xml:space="preserve"> </w:t>
      </w:r>
      <w:r>
        <w:rPr>
          <w:bCs/>
          <w:b/>
        </w:rPr>
        <w:t xml:space="preserve">patterns worth flagging:</w:t>
      </w:r>
    </w:p>
    <w:p>
      <w:pPr>
        <w:numPr>
          <w:ilvl w:val="0"/>
          <w:numId w:val="1001"/>
        </w:numPr>
      </w:pPr>
      <w:r>
        <w:t xml:space="preserve">Castellan's combined formula (collection name + 10 specific VSI SKU</w:t>
      </w:r>
      <w:r>
        <w:t xml:space="preserve"> </w:t>
      </w:r>
      <w:r>
        <w:t xml:space="preserve">codes) returns 34 results this year, all from one code — the</w:t>
      </w:r>
      <w:r>
        <w:t xml:space="preserve"> </w:t>
      </w:r>
      <w:r>
        <w:t xml:space="preserve">Single Hook (7308). The collection-name portion alone</w:t>
      </w:r>
      <w:r>
        <w:t xml:space="preserve"> </w:t>
      </w:r>
      <w:r>
        <w:t xml:space="preserve">(NEAR(</w:t>
      </w:r>
      <w:r>
        <w:t xml:space="preserve">“</w:t>
      </w:r>
      <w:r>
        <w:t xml:space="preserve">VSI</w:t>
      </w:r>
      <w:r>
        <w:t xml:space="preserve">”</w:t>
      </w:r>
      <w:r>
        <w:t xml:space="preserve">,</w:t>
      </w:r>
      <w:r>
        <w:t xml:space="preserve">“</w:t>
      </w:r>
      <w:r>
        <w:t xml:space="preserve">castellan</w:t>
      </w:r>
      <w:r>
        <w:t xml:space="preserve">”</w:t>
      </w:r>
      <w:r>
        <w:t xml:space="preserve">)) still returns 0, exactly as in 2024–2025.</w:t>
      </w:r>
      <w:r>
        <w:t xml:space="preserve"> </w:t>
      </w:r>
      <w:r>
        <w:t xml:space="preserve">Castellan is only visible in specs through that one SKU code, not its</w:t>
      </w:r>
      <w:r>
        <w:t xml:space="preserve"> </w:t>
      </w:r>
      <w:r>
        <w:t xml:space="preserve">collection name.</w:t>
      </w:r>
    </w:p>
    <w:p>
      <w:pPr>
        <w:numPr>
          <w:ilvl w:val="0"/>
          <w:numId w:val="1001"/>
        </w:numPr>
      </w:pPr>
      <w:r>
        <w:t xml:space="preserve">VSI Matte Black's combined formula this year adds 41 new specific</w:t>
      </w:r>
      <w:r>
        <w:t xml:space="preserve"> </w:t>
      </w:r>
      <w:r>
        <w:t xml:space="preserve">VSI SKU codes that were never searched in 2024–2025, contributing</w:t>
      </w:r>
      <w:r>
        <w:t xml:space="preserve"> </w:t>
      </w:r>
      <w:r>
        <w:t xml:space="preserve">34 of this year's 48 results; the like-for-like collection-name</w:t>
      </w:r>
      <w:r>
        <w:t xml:space="preserve"> </w:t>
      </w:r>
      <w:r>
        <w:t xml:space="preserve">portion (NEAR(</w:t>
      </w:r>
      <w:r>
        <w:t xml:space="preserve">“</w:t>
      </w:r>
      <w:r>
        <w:t xml:space="preserve">VSI</w:t>
      </w:r>
      <w:r>
        <w:t xml:space="preserve">”</w:t>
      </w:r>
      <w:r>
        <w:t xml:space="preserve">,</w:t>
      </w:r>
      <w:r>
        <w:t xml:space="preserve">“</w:t>
      </w:r>
      <w:r>
        <w:t xml:space="preserve">Matte Black</w:t>
      </w:r>
      <w:r>
        <w:t xml:space="preserve">”</w:t>
      </w:r>
      <w:r>
        <w:t xml:space="preserve">)) still returns 14, flat versus</w:t>
      </w:r>
      <w:r>
        <w:t xml:space="preserve"> </w:t>
      </w:r>
      <w:r>
        <w:t xml:space="preserve">last year (see Year-over-Year section).</w:t>
      </w:r>
    </w:p>
    <w:p>
      <w:pPr>
        <w:numPr>
          <w:ilvl w:val="0"/>
          <w:numId w:val="1001"/>
        </w:numPr>
      </w:pPr>
      <w:r>
        <w:t xml:space="preserve">Trevino's separate per-category searches (Soap Dispenser, Grab Bars,</w:t>
      </w:r>
      <w:r>
        <w:t xml:space="preserve"> </w:t>
      </w:r>
      <w:r>
        <w:t xml:space="preserve">Robe Hook, etc.) sum to 224 — more than double the 105 returned by</w:t>
      </w:r>
      <w:r>
        <w:t xml:space="preserve"> </w:t>
      </w:r>
      <w:r>
        <w:t xml:space="preserve">Trevino's own combined collection formula — because many specs</w:t>
      </w:r>
      <w:r>
        <w:t xml:space="preserve"> </w:t>
      </w:r>
      <w:r>
        <w:t xml:space="preserve">cite a model/series code (e.g. </w:t>
      </w:r>
      <w:r>
        <w:t xml:space="preserve">“</w:t>
      </w:r>
      <w:r>
        <w:t xml:space="preserve">9T1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6T1</w:t>
      </w:r>
      <w:r>
        <w:t xml:space="preserve">”</w:t>
      </w:r>
      <w:r>
        <w:t xml:space="preserve">) without</w:t>
      </w:r>
      <w:r>
        <w:t xml:space="preserve"> </w:t>
      </w:r>
      <w:r>
        <w:t xml:space="preserve">“</w:t>
      </w:r>
      <w:r>
        <w:t xml:space="preserve">Trevino</w:t>
      </w:r>
      <w:r>
        <w:t xml:space="preserve">”</w:t>
      </w:r>
      <w:r>
        <w:t xml:space="preserve"> </w:t>
      </w:r>
      <w:r>
        <w:t xml:space="preserve">appearing nearby. A collection-only search would miss more than half</w:t>
      </w:r>
      <w:r>
        <w:t xml:space="preserve"> </w:t>
      </w:r>
      <w:r>
        <w:t xml:space="preserve">of Trevino's true volume; the same is true for Solstice, where</w:t>
      </w:r>
      <w:r>
        <w:t xml:space="preserve"> </w:t>
      </w:r>
      <w:r>
        <w:t xml:space="preserve">per-category searches add substantially to the 671-project total.</w:t>
      </w:r>
    </w:p>
    <w:p>
      <w:pPr>
        <w:numPr>
          <w:ilvl w:val="0"/>
          <w:numId w:val="1001"/>
        </w:numPr>
      </w:pPr>
      <w:r>
        <w:t xml:space="preserve">Solstice Faucets was searched this year as its own new line (30 model</w:t>
      </w:r>
      <w:r>
        <w:t xml:space="preserve"> </w:t>
      </w:r>
      <w:r>
        <w:t xml:space="preserve">codes, e.g. M-908, M-905, M-960) and returned 0 — consistent with</w:t>
      </w:r>
      <w:r>
        <w:t xml:space="preserve"> </w:t>
      </w:r>
      <w:r>
        <w:t xml:space="preserve">this being a newly launched series rather than a search gap.</w:t>
      </w:r>
    </w:p>
    <w:bookmarkEnd w:id="21"/>
    <w:bookmarkStart w:id="22" w:name="year-over-year-window-comparison"/>
    <w:p>
      <w:pPr>
        <w:pStyle w:val="Heading2"/>
      </w:pPr>
      <w:r>
        <w:t xml:space="preserve">Year-over-Year Window Comparison</w:t>
      </w:r>
    </w:p>
    <w:p>
      <w:pPr>
        <w:pStyle w:val="FirstParagraph"/>
      </w:pPr>
      <w:r>
        <w:t xml:space="preserve">Same ~19-month window, one year apart (Jan '24–Jul '25 vs. Jan</w:t>
      </w:r>
      <w:r>
        <w:t xml:space="preserve"> </w:t>
      </w:r>
      <w:r>
        <w:t xml:space="preserve">'25–Jul '26), per the call-out documents in Appendices A and B: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1881"/>
        <w:gridCol w:w="1188"/>
        <w:gridCol w:w="1188"/>
        <w:gridCol w:w="1287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'24–Jul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'25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'25–Jul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'26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formula,</w:t>
            </w:r>
            <w:r>
              <w:t xml:space="preserve"> </w:t>
            </w:r>
            <w:r>
              <w:t xml:space="preserve">expanded model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NOIR (Meridian)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formula, +2</w:t>
            </w:r>
            <w:r>
              <w:t xml:space="preserve"> </w:t>
            </w:r>
            <w:r>
              <w:t xml:space="preserve">model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Mirrors</w:t>
            </w:r>
            <w:r>
              <w:t xml:space="preserve"> </w:t>
            </w:r>
            <w:r>
              <w:t xml:space="preserve">(Meridian)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formula, +2</w:t>
            </w:r>
            <w:r>
              <w:t xml:space="preserve"> </w:t>
            </w:r>
            <w:r>
              <w:t xml:space="preserve">model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Trevino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formula, +7</w:t>
            </w:r>
            <w:r>
              <w:t xml:space="preserve"> </w:t>
            </w:r>
            <w:r>
              <w:t xml:space="preserve">model terms merged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Castellan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 34 from 10 new</w:t>
            </w:r>
            <w:r>
              <w:t xml:space="preserve"> </w:t>
            </w:r>
            <w:r>
              <w:t xml:space="preserve">SKU codes; name-only</w:t>
            </w:r>
            <w:r>
              <w:t xml:space="preserve"> </w:t>
            </w:r>
            <w:r>
              <w:t xml:space="preserve">search still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VSI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VSI Matte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flat (same</w:t>
            </w:r>
            <w:r>
              <w:t xml:space="preserve"> </w:t>
            </w:r>
            <w:r>
              <w:t xml:space="preserve">formula) + 34 from 41</w:t>
            </w:r>
            <w:r>
              <w:t xml:space="preserve"> </w:t>
            </w:r>
            <w:r>
              <w:t xml:space="preserve">new SKU codes</w:t>
            </w:r>
          </w:p>
        </w:tc>
      </w:tr>
    </w:tbl>
    <w:p>
      <w:pPr>
        <w:pStyle w:val="BodyText"/>
      </w:pPr>
      <w:r>
        <w:t xml:space="preserve">Bottom line: Solstice's +44% and NOIR's +15% are real, like-for-like</w:t>
      </w:r>
      <w:r>
        <w:t xml:space="preserve"> </w:t>
      </w:r>
      <w:r>
        <w:t xml:space="preserve">growth. Castellan's and VSI Matte Black's jumps are driven entirely by</w:t>
      </w:r>
      <w:r>
        <w:t xml:space="preserve"> </w:t>
      </w:r>
      <w:r>
        <w:t xml:space="preserve">newly added SKU codes, not market change — their</w:t>
      </w:r>
      <w:r>
        <w:t xml:space="preserve"> </w:t>
      </w:r>
      <w:r>
        <w:t xml:space="preserve">name-only/original-formula volume is flat (0 and 14).</w:t>
      </w:r>
    </w:p>
    <w:bookmarkEnd w:id="22"/>
    <w:bookmarkStart w:id="32" w:name="solstice-performance-2026-vs.-2025"/>
    <w:p>
      <w:pPr>
        <w:pStyle w:val="Heading2"/>
      </w:pPr>
      <w:r>
        <w:t xml:space="preserve">Solstice Performance: 2026 vs. 2025</w:t>
      </w:r>
    </w:p>
    <w:p>
      <w:pPr>
        <w:pStyle w:val="FirstParagraph"/>
      </w:pPr>
      <w:r>
        <w:t xml:space="preserve">Solstice recorded 304 specs in full-year 2025, and has already reached 367</w:t>
      </w:r>
      <w:r>
        <w:t xml:space="preserve"> </w:t>
      </w:r>
      <w:r>
        <w:t xml:space="preserve">through mid-2026 — already ahead of last year's full-year total with</w:t>
      </w:r>
      <w:r>
        <w:t xml:space="preserve"> </w:t>
      </w:r>
      <w:r>
        <w:t xml:space="preserve">roughly five months still to go.</w:t>
      </w:r>
    </w:p>
    <w:p>
      <w:pPr>
        <w:pStyle w:val="CaptionedFigure"/>
      </w:pPr>
      <w:r>
        <w:drawing>
          <wp:inline>
            <wp:extent cx="4000500" cy="2400300"/>
            <wp:effectExtent b="0" l="0" r="0" t="0"/>
            <wp:docPr descr="Chart" title="Chart" id="24" name="Picture"/>
            <a:graphic>
              <a:graphicData uri="http://schemas.openxmlformats.org/drawingml/2006/picture">
                <pic:pic>
                  <pic:nvPicPr>
                    <pic:cNvPr descr="/home/claude/charts/01_monthly_spec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CaptionedFigure"/>
      </w:pPr>
      <w:r>
        <w:drawing>
          <wp:inline>
            <wp:extent cx="4000500" cy="1866900"/>
            <wp:effectExtent b="0" l="0" r="0" t="0"/>
            <wp:docPr descr="Chart" title="Chart" id="27" name="Picture"/>
            <a:graphic>
              <a:graphicData uri="http://schemas.openxmlformats.org/drawingml/2006/picture">
                <pic:pic>
                  <pic:nvPicPr>
                    <pic:cNvPr descr="/home/claude/charts/02_cumulative_spec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BodyText"/>
      </w:pPr>
      <w:r>
        <w:t xml:space="preserve">Solstice's share of the comparable Solstice/Trevino/Castellan pool actually grew</w:t>
      </w:r>
      <w:r>
        <w:t xml:space="preserve"> </w:t>
      </w:r>
      <w:r>
        <w:t xml:space="preserve">from 81% (2025) to 84% (2026 to date), even as Trevino also grew slightly</w:t>
      </w:r>
      <w:r>
        <w:t xml:space="preserve"> </w:t>
      </w:r>
      <w:r>
        <w:t xml:space="preserve">(48→57). Castellan's share fell from 6% to 3% — it isn't just flat,</w:t>
      </w:r>
      <w:r>
        <w:t xml:space="preserve"> </w:t>
      </w:r>
      <w:r>
        <w:t xml:space="preserve">it's losing relative ground while the other two grow.</w:t>
      </w:r>
    </w:p>
    <w:p>
      <w:pPr>
        <w:pStyle w:val="CaptionedFigure"/>
      </w:pPr>
      <w:r>
        <w:drawing>
          <wp:inline>
            <wp:extent cx="3238500" cy="3238500"/>
            <wp:effectExtent b="0" l="0" r="0" t="0"/>
            <wp:docPr descr="Chart" title="Chart" id="30" name="Picture"/>
            <a:graphic>
              <a:graphicData uri="http://schemas.openxmlformats.org/drawingml/2006/picture">
                <pic:pic>
                  <pic:nvPicPr>
                    <pic:cNvPr descr="/home/claude/charts/03_share_pie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bookmarkEnd w:id="32"/>
    <w:bookmarkStart w:id="39" w:name="solstice-vs.-competitors-by-product-type"/>
    <w:p>
      <w:pPr>
        <w:pStyle w:val="Heading2"/>
      </w:pPr>
      <w:r>
        <w:t xml:space="preserve">Solstice vs. Competitors — By Product Type</w:t>
      </w:r>
    </w:p>
    <w:p>
      <w:pPr>
        <w:pStyle w:val="FirstParagraph"/>
      </w:pPr>
      <w:r>
        <w:t xml:space="preserve">Limiting this to categories with real competitor data (skipping</w:t>
      </w:r>
      <w:r>
        <w:t xml:space="preserve"> </w:t>
      </w:r>
      <w:r>
        <w:t xml:space="preserve">empty/not-applicable combinations) keeps the comparison readable:</w:t>
      </w:r>
    </w:p>
    <w:p>
      <w:pPr>
        <w:pStyle w:val="CaptionedFigure"/>
      </w:pPr>
      <w:r>
        <w:drawing>
          <wp:inline>
            <wp:extent cx="4762500" cy="2381250"/>
            <wp:effectExtent b="0" l="0" r="0" t="0"/>
            <wp:docPr descr="Chart" title="Chart" id="34" name="Picture"/>
            <a:graphic>
              <a:graphicData uri="http://schemas.openxmlformats.org/drawingml/2006/picture">
                <pic:pic>
                  <pic:nvPicPr>
                    <pic:cNvPr descr="/home/claude/charts/04_category_count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BodyText"/>
      </w:pPr>
      <w:r>
        <w:t xml:space="preserve">The same data as market share — what proportion of comparable specs in</w:t>
      </w:r>
      <w:r>
        <w:t xml:space="preserve"> </w:t>
      </w:r>
      <w:r>
        <w:t xml:space="preserve">each category go to each brand:</w:t>
      </w:r>
    </w:p>
    <w:p>
      <w:pPr>
        <w:pStyle w:val="CaptionedFigure"/>
      </w:pPr>
      <w:r>
        <w:drawing>
          <wp:inline>
            <wp:extent cx="4572000" cy="2543175"/>
            <wp:effectExtent b="0" l="0" r="0" t="0"/>
            <wp:docPr descr="Chart" title="Chart" id="37" name="Picture"/>
            <a:graphic>
              <a:graphicData uri="http://schemas.openxmlformats.org/drawingml/2006/picture">
                <pic:pic>
                  <pic:nvPicPr>
                    <pic:cNvPr descr="/home/claude/charts/05_category_shar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BodyText"/>
      </w:pPr>
      <w:r>
        <w:t xml:space="preserve">Solstice leads outright in 6 of 8 directly comparable categories, several by</w:t>
      </w:r>
      <w:r>
        <w:t xml:space="preserve"> </w:t>
      </w:r>
      <w:r>
        <w:t xml:space="preserve">wide margins (Paper Towel Dispenser and Hand Dryer are Solstice-only; Grab</w:t>
      </w:r>
      <w:r>
        <w:t xml:space="preserve"> </w:t>
      </w:r>
      <w:r>
        <w:t xml:space="preserve">Bars 71/29, Coat Hooks/Robe Hook 72/18/10 across all three brands).</w:t>
      </w:r>
      <w:r>
        <w:t xml:space="preserve"> </w:t>
      </w:r>
      <w:r>
        <w:t xml:space="preserve">Trevino's two wins are Sanitary Disposal (83% share, 34 vs. Solstice's 7)</w:t>
      </w:r>
      <w:r>
        <w:t xml:space="preserve"> </w:t>
      </w:r>
      <w:r>
        <w:t xml:space="preserve">and Soap Dispenser (100% share, 33 vs. Solstice's 0 — see the Faucet note</w:t>
      </w:r>
      <w:r>
        <w:t xml:space="preserve"> </w:t>
      </w:r>
      <w:r>
        <w:t xml:space="preserve">below). Castellan's only real presence is Coat Hooks/Robe Hook, where its</w:t>
      </w:r>
      <w:r>
        <w:t xml:space="preserve"> </w:t>
      </w:r>
      <w:r>
        <w:t xml:space="preserve">10% share still trails both Solstice and Trevino.</w:t>
      </w:r>
    </w:p>
    <w:p>
      <w:pPr>
        <w:pStyle w:val="BodyText"/>
      </w:pPr>
      <w:r>
        <w:rPr>
          <w:bCs/>
          <w:b/>
        </w:rPr>
        <w:t xml:space="preserve">Categories not shown above (raw counts, not chart-worthy given</w:t>
      </w:r>
      <w:r>
        <w:rPr>
          <w:bCs/>
          <w:b/>
        </w:rPr>
        <w:t xml:space="preserve"> </w:t>
      </w:r>
      <w:r>
        <w:rPr>
          <w:bCs/>
          <w:b/>
        </w:rPr>
        <w:t xml:space="preserve">missing/not-applicable data on one or more sides):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605"/>
        <w:gridCol w:w="1250"/>
        <w:gridCol w:w="1354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Solstice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**Trevino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 **Caste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llan**</w:t>
            </w:r>
            <w:r>
              <w:t xml:space="preserve"> </w:t>
            </w:r>
            <w:r>
              <w:rPr>
                <w:bCs/>
                <w:b/>
              </w:rPr>
              <w:t xml:space="preserve">Ferrum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Dryer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 Receptacle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9"/>
    <w:bookmarkStart w:id="52" w:name="X3be9456ee50e0a78dc51e24e6e9053e57180c4b"/>
    <w:p>
      <w:pPr>
        <w:pStyle w:val="Heading2"/>
      </w:pPr>
      <w:r>
        <w:t xml:space="preserve">Solstice vs. Competitors — By Spec Type (Building Type)</w:t>
      </w:r>
    </w:p>
    <w:p>
      <w:pPr>
        <w:pStyle w:val="FirstParagraph"/>
      </w:pPr>
      <w:r>
        <w:t xml:space="preserve">This is a separate cut from product type: which kinds of buildings each</w:t>
      </w:r>
      <w:r>
        <w:t xml:space="preserve"> </w:t>
      </w:r>
      <w:r>
        <w:t xml:space="preserve">brand's specs come from. Comparing at the whole-collection level first:</w:t>
      </w:r>
    </w:p>
    <w:p>
      <w:pPr>
        <w:pStyle w:val="CaptionedFigure"/>
      </w:pPr>
      <w:r>
        <w:drawing>
          <wp:inline>
            <wp:extent cx="3238500" cy="2314575"/>
            <wp:effectExtent b="0" l="0" r="0" t="0"/>
            <wp:docPr descr="Chart" title="Chart" id="41" name="Picture"/>
            <a:graphic>
              <a:graphicData uri="http://schemas.openxmlformats.org/drawingml/2006/picture">
                <pic:pic>
                  <pic:nvPicPr>
                    <pic:cNvPr descr="/home/claude/charts/06_bt_solstic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CaptionedFigure"/>
      </w:pPr>
      <w:r>
        <w:drawing>
          <wp:inline>
            <wp:extent cx="3238500" cy="2314575"/>
            <wp:effectExtent b="0" l="0" r="0" t="0"/>
            <wp:docPr descr="Chart" title="Chart" id="44" name="Picture"/>
            <a:graphic>
              <a:graphicData uri="http://schemas.openxmlformats.org/drawingml/2006/picture">
                <pic:pic>
                  <pic:nvPicPr>
                    <pic:cNvPr descr="/home/claude/charts/07_bt_trevino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CaptionedFigure"/>
      </w:pPr>
      <w:r>
        <w:drawing>
          <wp:inline>
            <wp:extent cx="3238500" cy="2314575"/>
            <wp:effectExtent b="0" l="0" r="0" t="0"/>
            <wp:docPr descr="Chart" title="Chart" id="47" name="Picture"/>
            <a:graphic>
              <a:graphicData uri="http://schemas.openxmlformats.org/drawingml/2006/picture">
                <pic:pic>
                  <pic:nvPicPr>
                    <pic:cNvPr descr="/home/claude/charts/08_bt_castella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BodyText"/>
      </w:pPr>
      <w:r>
        <w:t xml:space="preserve">Solstice's building-type mix (Education 28%, Government 18%, Core Office</w:t>
      </w:r>
      <w:r>
        <w:t xml:space="preserve"> </w:t>
      </w:r>
      <w:r>
        <w:t xml:space="preserve">12%) closely tracks the same top-three segments the 2024–2025 call-out</w:t>
      </w:r>
      <w:r>
        <w:t xml:space="preserve"> </w:t>
      </w:r>
      <w:r>
        <w:t xml:space="preserve">identified for Solstice (Core Office, Education, and Government led both</w:t>
      </w:r>
      <w:r>
        <w:t xml:space="preserve"> </w:t>
      </w:r>
      <w:r>
        <w:t xml:space="preserve">2024 and 2025) — a consistent, stable pattern rather than a shift.</w:t>
      </w:r>
      <w:r>
        <w:t xml:space="preserve"> </w:t>
      </w:r>
      <w:r>
        <w:t xml:space="preserve">Trevino's mix is similar in shape (Education 33%, Core Office 21%,</w:t>
      </w:r>
      <w:r>
        <w:t xml:space="preserve"> </w:t>
      </w:r>
      <w:r>
        <w:t xml:space="preserve">Government 20%) but noticeably lighter in Healthcare (3% vs. Solstice's</w:t>
      </w:r>
      <w:r>
        <w:t xml:space="preserve"> </w:t>
      </w:r>
      <w:r>
        <w:t xml:space="preserve">7%). Castellan is the most concentrated in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(mixed/miscellaneous use,</w:t>
      </w:r>
      <w:r>
        <w:t xml:space="preserve"> </w:t>
      </w:r>
      <w:r>
        <w:t xml:space="preserve">34%) and comparatively thin in Core Office and Healthcare.</w:t>
      </w:r>
    </w:p>
    <w:p>
      <w:pPr>
        <w:pStyle w:val="BodyText"/>
      </w:pPr>
      <w:r>
        <w:rPr>
          <w:bCs/>
          <w:b/>
        </w:rPr>
        <w:t xml:space="preserve">Building type comparison also holds up at the individual</w:t>
      </w:r>
      <w:r>
        <w:rPr>
          <w:bCs/>
          <w:b/>
        </w:rPr>
        <w:t xml:space="preserve"> </w:t>
      </w:r>
      <w:r>
        <w:rPr>
          <w:bCs/>
          <w:b/>
        </w:rPr>
        <w:t xml:space="preserve">product-category level, where both Solstice and a competitor have enough</w:t>
      </w:r>
      <w:r>
        <w:rPr>
          <w:bCs/>
          <w:b/>
        </w:rPr>
        <w:t xml:space="preserve"> </w:t>
      </w:r>
      <w:r>
        <w:rPr>
          <w:bCs/>
          <w:b/>
        </w:rPr>
        <w:t xml:space="preserve">data to compare meaningfully:</w:t>
      </w:r>
    </w:p>
    <w:p>
      <w:pPr>
        <w:pStyle w:val="CaptionedFigure"/>
      </w:pPr>
      <w:r>
        <w:drawing>
          <wp:inline>
            <wp:extent cx="5905500" cy="3152775"/>
            <wp:effectExtent b="0" l="0" r="0" t="0"/>
            <wp:docPr descr="Chart" title="Chart" id="50" name="Picture"/>
            <a:graphic>
              <a:graphicData uri="http://schemas.openxmlformats.org/drawingml/2006/picture">
                <pic:pic>
                  <pic:nvPicPr>
                    <pic:cNvPr descr="/home/claude/charts/09_bt_category_detai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BodyText"/>
      </w:pPr>
      <w:r>
        <w:t xml:space="preserve">A few patterns stand out: in Grab Bars and Coat Hooks/Robe Hook, Solstice</w:t>
      </w:r>
      <w:r>
        <w:t xml:space="preserve"> </w:t>
      </w:r>
      <w:r>
        <w:t xml:space="preserve">leads Trevino (and Castellan, where applicable) in every building type shown</w:t>
      </w:r>
      <w:r>
        <w:t xml:space="preserve"> </w:t>
      </w:r>
      <w:r>
        <w:t xml:space="preserve">— there's no segment where a competitor is ahead. Sanitary Disposal</w:t>
      </w:r>
      <w:r>
        <w:t xml:space="preserve"> </w:t>
      </w:r>
      <w:r>
        <w:t xml:space="preserve">flips this entirely: Trevino outpaces Solstice in every segment shown, most</w:t>
      </w:r>
      <w:r>
        <w:t xml:space="preserve"> </w:t>
      </w:r>
      <w:r>
        <w:t xml:space="preserve">sharply in Education and Other (10 vs. 2 in both). Toilet Roll Holder is</w:t>
      </w:r>
      <w:r>
        <w:t xml:space="preserve"> </w:t>
      </w:r>
      <w:r>
        <w:t xml:space="preserve">mixed — Trevino leads heavily in Government (13 vs. 2) while the two</w:t>
      </w:r>
      <w:r>
        <w:t xml:space="preserve"> </w:t>
      </w:r>
      <w:r>
        <w:t xml:space="preserve">are tied in Education and close in Core Office. This confirms the</w:t>
      </w:r>
      <w:r>
        <w:t xml:space="preserve"> </w:t>
      </w:r>
      <w:r>
        <w:t xml:space="preserve">category-level finding from the Product Type section (Trevino's real</w:t>
      </w:r>
      <w:r>
        <w:t xml:space="preserve"> </w:t>
      </w:r>
      <w:r>
        <w:t xml:space="preserve">strength is Sanitary Disposal) while showing it isn't confined to one</w:t>
      </w:r>
      <w:r>
        <w:t xml:space="preserve"> </w:t>
      </w:r>
      <w:r>
        <w:t xml:space="preserve">segment — it holds across building types.</w:t>
      </w:r>
    </w:p>
    <w:bookmarkEnd w:id="52"/>
    <w:bookmarkStart w:id="59" w:name="solstice-vs.-competitors-by-state"/>
    <w:p>
      <w:pPr>
        <w:pStyle w:val="Heading2"/>
      </w:pPr>
      <w:r>
        <w:t xml:space="preserve">Solstice vs. Competitors — By State</w:t>
      </w:r>
    </w:p>
    <w:p>
      <w:pPr>
        <w:pStyle w:val="FirstParagraph"/>
      </w:pPr>
      <w:r>
        <w:t xml:space="preserve">Solstice's top states (NY, TX, CA, ON, MA) each individually out-produce</w:t>
      </w:r>
      <w:r>
        <w:t xml:space="preserve"> </w:t>
      </w:r>
      <w:r>
        <w:t xml:space="preserve">Trevino's or Castellan's entire state list in most cases. Showing only the</w:t>
      </w:r>
      <w:r>
        <w:t xml:space="preserve"> </w:t>
      </w:r>
      <w:r>
        <w:t xml:space="preserve">states that rank in the top tier for at least one brand, rather than all</w:t>
      </w:r>
      <w:r>
        <w:t xml:space="preserve"> </w:t>
      </w:r>
      <w:r>
        <w:t xml:space="preserve">54 Solstice / 40 Trevino / 20 Castellan states, keeps this legible:</w:t>
      </w:r>
    </w:p>
    <w:p>
      <w:pPr>
        <w:pStyle w:val="CaptionedFigure"/>
      </w:pPr>
      <w:r>
        <w:drawing>
          <wp:inline>
            <wp:extent cx="4762500" cy="2143125"/>
            <wp:effectExtent b="0" l="0" r="0" t="0"/>
            <wp:docPr descr="Chart" title="Chart" id="54" name="Picture"/>
            <a:graphic>
              <a:graphicData uri="http://schemas.openxmlformats.org/drawingml/2006/picture">
                <pic:pic>
                  <pic:nvPicPr>
                    <pic:cNvPr descr="/home/claude/charts/10_top_stat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BodyText"/>
      </w:pPr>
      <w:r>
        <w:rPr>
          <w:bCs/>
          <w:b/>
        </w:rPr>
        <w:t xml:space="preserve">Full state breakdowns (raw data, not chart-worthy given the long</w:t>
      </w:r>
      <w:r>
        <w:rPr>
          <w:bCs/>
          <w:b/>
        </w:rPr>
        <w:t xml:space="preserve"> </w:t>
      </w:r>
      <w:r>
        <w:rPr>
          <w:bCs/>
          <w:b/>
        </w:rPr>
        <w:t xml:space="preserve">tail):</w:t>
      </w:r>
    </w:p>
    <w:bookmarkStart w:id="56" w:name="solstice-all-states"/>
    <w:p>
      <w:pPr>
        <w:pStyle w:val="Heading3"/>
      </w:pPr>
      <w:r>
        <w:t xml:space="preserve">Solstice — All States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284"/>
        <w:gridCol w:w="1284"/>
        <w:gridCol w:w="1284"/>
        <w:gridCol w:w="1284"/>
        <w:gridCol w:w="1284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56"/>
    <w:bookmarkStart w:id="57" w:name="trevino-all-states"/>
    <w:p>
      <w:pPr>
        <w:pStyle w:val="Heading3"/>
      </w:pPr>
      <w:r>
        <w:t xml:space="preserve">Trevino — All States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284"/>
        <w:gridCol w:w="1284"/>
        <w:gridCol w:w="1284"/>
        <w:gridCol w:w="1284"/>
        <w:gridCol w:w="1284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castellan-all-states"/>
    <w:p>
      <w:pPr>
        <w:pStyle w:val="Heading3"/>
      </w:pPr>
      <w:r>
        <w:t xml:space="preserve">Castellan — All States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284"/>
        <w:gridCol w:w="1284"/>
        <w:gridCol w:w="1284"/>
        <w:gridCol w:w="1284"/>
        <w:gridCol w:w="1284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8"/>
    <w:bookmarkEnd w:id="59"/>
    <w:bookmarkStart w:id="72" w:name="matte-black-finish-meridian-vs.-vsi"/>
    <w:p>
      <w:pPr>
        <w:pStyle w:val="Heading2"/>
      </w:pPr>
      <w:r>
        <w:t xml:space="preserve">Matte Black Finish: Meridian vs. VSI</w:t>
      </w:r>
    </w:p>
    <w:p>
      <w:pPr>
        <w:pStyle w:val="FirstParagraph"/>
      </w:pPr>
      <w:r>
        <w:t xml:space="preserve">Meridian's Matte Black (NOIR) finish shows the same overall pattern as</w:t>
      </w:r>
      <w:r>
        <w:t xml:space="preserve"> </w:t>
      </w:r>
      <w:r>
        <w:t xml:space="preserve">Solstice — a dominant lead over VSI's matte black equivalent — with VSI</w:t>
      </w:r>
      <w:r>
        <w:t xml:space="preserve"> </w:t>
      </w:r>
      <w:r>
        <w:t xml:space="preserve">holding a larger share here than in any other product line in this</w:t>
      </w:r>
      <w:r>
        <w:t xml:space="preserve"> </w:t>
      </w:r>
      <w:r>
        <w:t xml:space="preserve">report:</w:t>
      </w:r>
    </w:p>
    <w:p>
      <w:pPr>
        <w:pStyle w:val="CaptionedFigure"/>
      </w:pPr>
      <w:r>
        <w:drawing>
          <wp:inline>
            <wp:extent cx="3619500" cy="2228850"/>
            <wp:effectExtent b="0" l="0" r="0" t="0"/>
            <wp:docPr descr="Chart" title="Chart" id="61" name="Picture"/>
            <a:graphic>
              <a:graphicData uri="http://schemas.openxmlformats.org/drawingml/2006/picture">
                <pic:pic>
                  <pic:nvPicPr>
                    <pic:cNvPr descr="/home/claude/charts/11_noir_by_yea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CaptionedFigure"/>
      </w:pPr>
      <w:r>
        <w:drawing>
          <wp:inline>
            <wp:extent cx="3048000" cy="3048000"/>
            <wp:effectExtent b="0" l="0" r="0" t="0"/>
            <wp:docPr descr="Chart" title="Chart" id="64" name="Picture"/>
            <a:graphic>
              <a:graphicData uri="http://schemas.openxmlformats.org/drawingml/2006/picture">
                <pic:pic>
                  <pic:nvPicPr>
                    <pic:cNvPr descr="/home/claude/charts/12_noir_combined_shar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BodyText"/>
      </w:pPr>
      <w:r>
        <w:t xml:space="preserve">Within this year's data alone (both brands searched the same way, so</w:t>
      </w:r>
      <w:r>
        <w:t xml:space="preserve"> </w:t>
      </w:r>
      <w:r>
        <w:t xml:space="preserve">this comparison is sound): VSI held 18.6% of combined NOIR specs in 2025</w:t>
      </w:r>
      <w:r>
        <w:t xml:space="preserve"> </w:t>
      </w:r>
      <w:r>
        <w:t xml:space="preserve">(26 of 140) — close to the ~20% figure recalled — dipping to 13.9%</w:t>
      </w:r>
      <w:r>
        <w:t xml:space="preserve"> </w:t>
      </w:r>
      <w:r>
        <w:t xml:space="preserve">in 2026 to date (22 of 158), for a combined 16.1% across both years (48</w:t>
      </w:r>
      <w:r>
        <w:t xml:space="preserve"> </w:t>
      </w:r>
      <w:r>
        <w:t xml:space="preserve">of 299). As noted in the Year-over-Year section, this cannot be reliably</w:t>
      </w:r>
      <w:r>
        <w:t xml:space="preserve"> </w:t>
      </w:r>
      <w:r>
        <w:t xml:space="preserve">compared back to the 6.6% VSI held in the 2024–2025 call-out, since</w:t>
      </w:r>
      <w:r>
        <w:t xml:space="preserve"> </w:t>
      </w:r>
      <w:r>
        <w:t xml:space="preserve">that figure came from a different (whole-collection) search method —</w:t>
      </w:r>
      <w:r>
        <w:t xml:space="preserve"> </w:t>
      </w:r>
      <w:r>
        <w:t xml:space="preserve">so while VSI's current ~16-19% share is real, we can't responsibly</w:t>
      </w:r>
      <w:r>
        <w:t xml:space="preserve"> </w:t>
      </w:r>
      <w:r>
        <w:t xml:space="preserve">claim it has grown from 6.6%; that would be comparing two different</w:t>
      </w:r>
      <w:r>
        <w:t xml:space="preserve"> </w:t>
      </w:r>
      <w:r>
        <w:t xml:space="preserve">measurement methods, not a real trend.</w:t>
      </w:r>
    </w:p>
    <w:p>
      <w:pPr>
        <w:pStyle w:val="BodyText"/>
      </w:pPr>
      <w:r>
        <w:t xml:space="preserve">Matte black doesn't have item-level product-type sub-searches the way</w:t>
      </w:r>
      <w:r>
        <w:t xml:space="preserve"> </w:t>
      </w:r>
      <w:r>
        <w:t xml:space="preserve">Solstice/Trevino do (it's a finish applied across a product line, not a</w:t>
      </w:r>
      <w:r>
        <w:t xml:space="preserve"> </w:t>
      </w:r>
      <w:r>
        <w:t xml:space="preserve">single item), so the closest available breakdown is by building type:</w:t>
      </w:r>
    </w:p>
    <w:p>
      <w:pPr>
        <w:pStyle w:val="CaptionedFigure"/>
      </w:pPr>
      <w:r>
        <w:drawing>
          <wp:inline>
            <wp:extent cx="5905500" cy="2476500"/>
            <wp:effectExtent b="0" l="0" r="0" t="0"/>
            <wp:docPr descr="Chart" title="Chart" id="67" name="Picture"/>
            <a:graphic>
              <a:graphicData uri="http://schemas.openxmlformats.org/drawingml/2006/picture">
                <pic:pic>
                  <pic:nvPicPr>
                    <pic:cNvPr descr="/home/claude/charts/13_noir_bt_grouped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CaptionedFigure"/>
      </w:pPr>
      <w:r>
        <w:drawing>
          <wp:inline>
            <wp:extent cx="4572000" cy="2286000"/>
            <wp:effectExtent b="0" l="0" r="0" t="0"/>
            <wp:docPr descr="Chart" title="Chart" id="70" name="Picture"/>
            <a:graphic>
              <a:graphicData uri="http://schemas.openxmlformats.org/drawingml/2006/picture">
                <pic:pic>
                  <pic:nvPicPr>
                    <pic:cNvPr descr="/home/claude/charts/14_vsi_bt_donu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BodyText"/>
      </w:pPr>
      <w:r>
        <w:t xml:space="preserve">Meridian NOIR leads across every building-type segment; VSI's matte</w:t>
      </w:r>
      <w:r>
        <w:t xml:space="preserve"> </w:t>
      </w:r>
      <w:r>
        <w:t xml:space="preserve">black activity is comparatively concentrated in Food/Beverage Retail</w:t>
      </w:r>
      <w:r>
        <w:t xml:space="preserve"> </w:t>
      </w:r>
      <w:r>
        <w:t xml:space="preserve">(21% of its total) and Other/mixed-use segments (58%), and nearly absent</w:t>
      </w:r>
      <w:r>
        <w:t xml:space="preserve"> </w:t>
      </w:r>
      <w:r>
        <w:t xml:space="preserve">in Healthcare and Government — sectors where Meridian has a broad</w:t>
      </w:r>
      <w:r>
        <w:t xml:space="preserve"> </w:t>
      </w:r>
      <w:r>
        <w:t xml:space="preserve">footprint.</w:t>
      </w:r>
    </w:p>
    <w:bookmarkEnd w:id="72"/>
    <w:bookmarkStart w:id="73" w:name="X9162ed5892022c6841a5389da8a530ae691649a"/>
    <w:p>
      <w:pPr>
        <w:pStyle w:val="Heading2"/>
      </w:pPr>
      <w:r>
        <w:t xml:space="preserve">Data Note: Solstice Soap Dispenser/Faucet Category</w:t>
      </w:r>
    </w:p>
    <w:p>
      <w:pPr>
        <w:pStyle w:val="FirstParagraph"/>
      </w:pPr>
      <w:r>
        <w:t xml:space="preserve">Solstice's Soap Dispenser/Faucet search returned zero specs, the one</w:t>
      </w:r>
      <w:r>
        <w:t xml:space="preserve"> </w:t>
      </w:r>
      <w:r>
        <w:t xml:space="preserve">category where Solstice shows no presence at all while Trevino shows</w:t>
      </w:r>
      <w:r>
        <w:t xml:space="preserve"> </w:t>
      </w:r>
      <w:r>
        <w:t xml:space="preserve">meaningful volume (33). The most likely explanation is timing, not</w:t>
      </w:r>
      <w:r>
        <w:t xml:space="preserve"> </w:t>
      </w:r>
      <w:r>
        <w:t xml:space="preserve">competitive weakness: this appears to be a newly launched Solstice series,</w:t>
      </w:r>
      <w:r>
        <w:t xml:space="preserve"> </w:t>
      </w:r>
      <w:r>
        <w:t xml:space="preserve">introduced at the start of 2026. Dodge Report specs typically lag a</w:t>
      </w:r>
      <w:r>
        <w:t xml:space="preserve"> </w:t>
      </w:r>
      <w:r>
        <w:t xml:space="preserve">product launch by several months as new SKUs work their way into active</w:t>
      </w:r>
      <w:r>
        <w:t xml:space="preserve"> </w:t>
      </w:r>
      <w:r>
        <w:t xml:space="preserve">bid documents, so zero mentions this early isn't unusual for a</w:t>
      </w:r>
      <w:r>
        <w:t xml:space="preserve"> </w:t>
      </w:r>
      <w:r>
        <w:t xml:space="preserve">brand-new product.</w:t>
      </w:r>
    </w:p>
    <w:p>
      <w:pPr>
        <w:numPr>
          <w:ilvl w:val="0"/>
          <w:numId w:val="1002"/>
        </w:numPr>
        <w:pStyle w:val="Compact"/>
      </w:pPr>
      <w:r>
        <w:t xml:space="preserve">Recommended: re-run this specific search again in Q4 2026 or Q1</w:t>
      </w:r>
      <w:r>
        <w:t xml:space="preserve"> </w:t>
      </w:r>
      <w:r>
        <w:t xml:space="preserve">2027, once the product has had two to three quarters in market,</w:t>
      </w:r>
      <w:r>
        <w:t xml:space="preserve"> </w:t>
      </w:r>
      <w:r>
        <w:t xml:space="preserve">before drawing any conclusion about competitive standing here.</w:t>
      </w:r>
    </w:p>
    <w:bookmarkEnd w:id="73"/>
    <w:bookmarkStart w:id="74" w:name="data-note-ferrum-competitor-analysis"/>
    <w:p>
      <w:pPr>
        <w:pStyle w:val="Heading2"/>
      </w:pPr>
      <w:r>
        <w:t xml:space="preserve">Data Note: Ferrum Competitor Analysis</w:t>
      </w:r>
    </w:p>
    <w:p>
      <w:pPr>
        <w:pStyle w:val="FirstParagraph"/>
      </w:pPr>
      <w:r>
        <w:t xml:space="preserve">A full competitor analysis for Ferrum was completed this year, searching</w:t>
      </w:r>
      <w:r>
        <w:t xml:space="preserve"> </w:t>
      </w:r>
      <w:r>
        <w:t xml:space="preserve">every Ferrum series number listed against the Solstice product line (see</w:t>
      </w:r>
      <w:r>
        <w:t xml:space="preserve"> </w:t>
      </w:r>
      <w:r>
        <w:t xml:space="preserve">Appendix B). No specs were found for any Ferrum series. This may indicate</w:t>
      </w:r>
      <w:r>
        <w:t xml:space="preserve"> </w:t>
      </w:r>
      <w:r>
        <w:t xml:space="preserve">that Ferrum's sales volume in these categories is genuinely low, or that</w:t>
      </w:r>
      <w:r>
        <w:t xml:space="preserve"> </w:t>
      </w:r>
      <w:r>
        <w:t xml:space="preserve">their specs simply aren't being saved/captured by Dodge Reports as a</w:t>
      </w:r>
      <w:r>
        <w:t xml:space="preserve"> </w:t>
      </w:r>
      <w:r>
        <w:t xml:space="preserve">named specification — not necessarily that Ferrum has no market presence</w:t>
      </w:r>
      <w:r>
        <w:t xml:space="preserve"> </w:t>
      </w:r>
      <w:r>
        <w:t xml:space="preserve">at all.</w:t>
      </w:r>
    </w:p>
    <w:bookmarkEnd w:id="74"/>
    <w:bookmarkStart w:id="75" w:name="whats-next"/>
    <w:p>
      <w:pPr>
        <w:pStyle w:val="Heading2"/>
      </w:pPr>
      <w:r>
        <w:t xml:space="preserve">What's Next</w:t>
      </w:r>
    </w:p>
    <w:p>
      <w:pPr>
        <w:numPr>
          <w:ilvl w:val="0"/>
          <w:numId w:val="1003"/>
        </w:numPr>
      </w:pPr>
      <w:r>
        <w:t xml:space="preserve">Double down where the gap is real and widening: Solstice's 2026 pace</w:t>
      </w:r>
      <w:r>
        <w:t xml:space="preserve"> </w:t>
      </w:r>
      <w:r>
        <w:t xml:space="preserve">(already past all of 2025, and gaining share against Trevino/Castellan)</w:t>
      </w:r>
      <w:r>
        <w:t xml:space="preserve"> </w:t>
      </w:r>
      <w:r>
        <w:t xml:space="preserve">suggests current positioning is working — protect and reinforce</w:t>
      </w:r>
      <w:r>
        <w:t xml:space="preserve"> </w:t>
      </w:r>
      <w:r>
        <w:t xml:space="preserve">whatever channel/spec activity is driving that, rather than treating</w:t>
      </w:r>
      <w:r>
        <w:t xml:space="preserve"> </w:t>
      </w:r>
      <w:r>
        <w:t xml:space="preserve">it as steady-state.</w:t>
      </w:r>
    </w:p>
    <w:p>
      <w:pPr>
        <w:numPr>
          <w:ilvl w:val="0"/>
          <w:numId w:val="1003"/>
        </w:numPr>
      </w:pPr>
      <w:r>
        <w:t xml:space="preserve">Watch Trevino's Sanitary Disposal and Soap Dispenser categories</w:t>
      </w:r>
      <w:r>
        <w:t xml:space="preserve"> </w:t>
      </w:r>
      <w:r>
        <w:t xml:space="preserve">specifically — these are the only two spots where a competitor</w:t>
      </w:r>
      <w:r>
        <w:t xml:space="preserve"> </w:t>
      </w:r>
      <w:r>
        <w:t xml:space="preserve">beats Solstice outright, and the building-type breakdown shows Trevino's</w:t>
      </w:r>
      <w:r>
        <w:t xml:space="preserve"> </w:t>
      </w:r>
      <w:r>
        <w:t xml:space="preserve">Sanitary Disposal lead holds across every segment, not just one. If</w:t>
      </w:r>
      <w:r>
        <w:t xml:space="preserve"> </w:t>
      </w:r>
      <w:r>
        <w:t xml:space="preserve">Solstice's Soap Dispenser/Faucet series ramps as expected post-launch,</w:t>
      </w:r>
      <w:r>
        <w:t xml:space="preserve"> </w:t>
      </w:r>
      <w:r>
        <w:t xml:space="preserve">that gap should close on its own; Sanitary Disposal (7 vs.</w:t>
      </w:r>
      <w:r>
        <w:t xml:space="preserve"> </w:t>
      </w:r>
      <w:r>
        <w:t xml:space="preserve">Trevino's 34) has no such explanation and may be worth a targeted</w:t>
      </w:r>
      <w:r>
        <w:t xml:space="preserve"> </w:t>
      </w:r>
      <w:r>
        <w:t xml:space="preserve">push or a pricing/spec-writer outreach review.</w:t>
      </w:r>
    </w:p>
    <w:p>
      <w:pPr>
        <w:numPr>
          <w:ilvl w:val="0"/>
          <w:numId w:val="1003"/>
        </w:numPr>
      </w:pPr>
      <w:r>
        <w:t xml:space="preserve">Standardize this year's matte black search to match the per-product</w:t>
      </w:r>
      <w:r>
        <w:t xml:space="preserve"> </w:t>
      </w:r>
      <w:r>
        <w:t xml:space="preserve">method used for Solstice/Trevino before drawing any conclusion about</w:t>
      </w:r>
      <w:r>
        <w:t xml:space="preserve"> </w:t>
      </w:r>
      <w:r>
        <w:t xml:space="preserve">VSI's trend. Right now the 14→48 change is not usable as a growth</w:t>
      </w:r>
      <w:r>
        <w:t xml:space="preserve"> </w:t>
      </w:r>
      <w:r>
        <w:t xml:space="preserve">signal because the two years used different search methods;</w:t>
      </w:r>
      <w:r>
        <w:t xml:space="preserve"> </w:t>
      </w:r>
      <w:r>
        <w:t xml:space="preserve">re-running the 2024–2025 window with this year's item-level method</w:t>
      </w:r>
      <w:r>
        <w:t xml:space="preserve"> </w:t>
      </w:r>
      <w:r>
        <w:t xml:space="preserve">(or vice versa) would settle whether VSI is actually gaining ground</w:t>
      </w:r>
      <w:r>
        <w:t xml:space="preserve"> </w:t>
      </w:r>
      <w:r>
        <w:t xml:space="preserve">in matte black or whether this is purely a measurement artifact.</w:t>
      </w:r>
    </w:p>
    <w:p>
      <w:pPr>
        <w:numPr>
          <w:ilvl w:val="0"/>
          <w:numId w:val="1003"/>
        </w:numPr>
      </w:pPr>
      <w:r>
        <w:t xml:space="preserve">Re-check the Faucet category in Q4 2026/Q1 2027 specifically —</w:t>
      </w:r>
      <w:r>
        <w:t xml:space="preserve"> </w:t>
      </w:r>
      <w:r>
        <w:t xml:space="preserve">don't let</w:t>
      </w:r>
      <w:r>
        <w:t xml:space="preserve"> </w:t>
      </w:r>
      <w:r>
        <w:t xml:space="preserve">“</w:t>
      </w:r>
      <w:r>
        <w:t xml:space="preserve">zero</w:t>
      </w:r>
      <w:r>
        <w:t xml:space="preserve">”</w:t>
      </w:r>
      <w:r>
        <w:t xml:space="preserve"> </w:t>
      </w:r>
      <w:r>
        <w:t xml:space="preserve">sit in a dashboard unexplained for two more</w:t>
      </w:r>
      <w:r>
        <w:t xml:space="preserve"> </w:t>
      </w:r>
      <w:r>
        <w:t xml:space="preserve">quarters without a follow-up pull.</w:t>
      </w:r>
    </w:p>
    <w:p>
      <w:pPr>
        <w:numPr>
          <w:ilvl w:val="0"/>
          <w:numId w:val="1003"/>
        </w:numPr>
      </w:pPr>
      <w:r>
        <w:t xml:space="preserve">Keep using item-level search for Trevino and Castellan going forward —</w:t>
      </w:r>
      <w:r>
        <w:t xml:space="preserve"> </w:t>
      </w:r>
      <w:r>
        <w:t xml:space="preserve">a collection-name-only search would understate Trevino by more than</w:t>
      </w:r>
      <w:r>
        <w:t xml:space="preserve"> </w:t>
      </w:r>
      <w:r>
        <w:t xml:space="preserve">half and would show Castellan as zero even though it isn't. Solstice should</w:t>
      </w:r>
      <w:r>
        <w:t xml:space="preserve"> </w:t>
      </w:r>
      <w:r>
        <w:t xml:space="preserve">be tracked the same way for consistency.</w:t>
      </w:r>
    </w:p>
    <w:p>
      <w:pPr>
        <w:numPr>
          <w:ilvl w:val="0"/>
          <w:numId w:val="1003"/>
        </w:numPr>
      </w:pPr>
      <w:r>
        <w:t xml:space="preserve">Castellan's declining share (6%→3% of the comparable pool) and narrow</w:t>
      </w:r>
      <w:r>
        <w:t xml:space="preserve"> </w:t>
      </w:r>
      <w:r>
        <w:t xml:space="preserve">one-category footprint suggest it's a low-priority competitive</w:t>
      </w:r>
      <w:r>
        <w:t xml:space="preserve"> </w:t>
      </w:r>
      <w:r>
        <w:t xml:space="preserve">threat right now — not worth heavy monitoring investment beyond a</w:t>
      </w:r>
      <w:r>
        <w:t xml:space="preserve"> </w:t>
      </w:r>
      <w:r>
        <w:t xml:space="preserve">periodic check-in.</w:t>
      </w:r>
    </w:p>
    <w:p>
      <w:pPr>
        <w:numPr>
          <w:ilvl w:val="0"/>
          <w:numId w:val="1003"/>
        </w:numPr>
      </w:pPr>
      <w:r>
        <w:t xml:space="preserve">Ferrum now has a confirmed zero, not just an unresolved search gap:</w:t>
      </w:r>
      <w:r>
        <w:t xml:space="preserve"> </w:t>
      </w:r>
      <w:r>
        <w:t xml:space="preserve">this year's per-series NEAR search (see Appendix B) checked every</w:t>
      </w:r>
      <w:r>
        <w:t xml:space="preserve"> </w:t>
      </w:r>
      <w:r>
        <w:t xml:space="preserve">Ferrum series number against Dodge Reports directly and still found</w:t>
      </w:r>
      <w:r>
        <w:t xml:space="preserve"> </w:t>
      </w:r>
      <w:r>
        <w:t xml:space="preserve">nothing. Treat Ferrum as low competitive risk for now, but keep an eye</w:t>
      </w:r>
      <w:r>
        <w:t xml:space="preserve"> </w:t>
      </w:r>
      <w:r>
        <w:t xml:space="preserve">out for it in the field, since a real zero could mean either</w:t>
      </w:r>
      <w:r>
        <w:t xml:space="preserve"> </w:t>
      </w:r>
      <w:r>
        <w:t xml:space="preserve">genuinely low sales or specs that simply aren't captured by Dodge</w:t>
      </w:r>
      <w:r>
        <w:t xml:space="preserve"> </w:t>
      </w:r>
      <w:r>
        <w:t xml:space="preserve">(see the Data Note).</w:t>
      </w:r>
    </w:p>
    <w:bookmarkEnd w:id="75"/>
    <w:bookmarkStart w:id="76" w:name="X9f7e2d5ee365c4436516ab244977eb8c48bad38"/>
    <w:p>
      <w:pPr>
        <w:pStyle w:val="Heading2"/>
      </w:pPr>
      <w:r>
        <w:t xml:space="preserve">Appendix A: 2024–2025 Call-Out — Full Search Formulas</w:t>
      </w:r>
    </w:p>
    <w:p>
      <w:pPr>
        <w:pStyle w:val="FirstParagraph"/>
      </w:pPr>
      <w:r>
        <w:t xml:space="preserve">Search Publish Range: Jan 1, 2024 - Jul 31, 2025. Complete,</w:t>
      </w:r>
      <w:r>
        <w:t xml:space="preserve"> </w:t>
      </w:r>
      <w:r>
        <w:t xml:space="preserve">unabbreviated search formulas as documented in the original call-out: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641"/>
        <w:gridCol w:w="5119"/>
        <w:gridCol w:w="9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 of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M-7179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M-9262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M-9279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M-9541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M-9542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M-9543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M-9547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M-9890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M-9806</w:t>
            </w:r>
            <w:r>
              <w:t xml:space="preserve">”</w:t>
            </w:r>
            <w:r>
              <w:t xml:space="preserve"> </w:t>
            </w:r>
            <w:r>
              <w:t xml:space="preserve">| NEAR((</w:t>
            </w:r>
            <w:r>
              <w:t xml:space="preserve">“</w:t>
            </w:r>
            <w:r>
              <w:t xml:space="preserve">Solstice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Solstice</w:t>
            </w:r>
            <w:r>
              <w:t xml:space="preserve">”</w:t>
            </w:r>
            <w:r>
              <w:t xml:space="preserve">),10,true)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150CX18.NOIR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150CX24.noir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150CX36.NOIR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150CX42.NOIR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150CX48.noir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2012.NOIR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2013.NOIR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221.NOIR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290 1830.NOIR</w:t>
            </w:r>
            <w:r>
              <w:t xml:space="preserve">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matte black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noir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“</w:t>
            </w:r>
            <w:r>
              <w:t xml:space="preserve">290 1836.NOIR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290 2430.NOIR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290 2436.NOIR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290</w:t>
            </w:r>
            <w:r>
              <w:t xml:space="preserve"> </w:t>
            </w:r>
            <w:r>
              <w:t xml:space="preserve">2448.NOIR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290 2460.NOIR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290 2472.NOIR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3013.NOIR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306.NOIR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3091.noir</w:t>
            </w:r>
            <w:r>
              <w:t xml:space="preserve">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</w:t>
            </w:r>
            <w:r>
              <w:t xml:space="preserve">30919.NOIR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3092.NOIR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30929.NOIR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3479.noir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3513.NOIR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35139.NOIR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35303.NOIR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35633.NOIR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35639.NOIR</w:t>
            </w:r>
            <w:r>
              <w:t xml:space="preserve">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</w:t>
            </w:r>
            <w:r>
              <w:t xml:space="preserve">35643.NOIR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35649.NOIR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357.NOIR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3571.NOIR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35715.NOIR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3579.noir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3588.NOIR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35883.NOIR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35903.NOIR</w:t>
            </w:r>
            <w:r>
              <w:t xml:space="preserve">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</w:t>
            </w:r>
            <w:r>
              <w:t xml:space="preserve">359033.noir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359039.NOIR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36903.NOIR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37063.noir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370634.noir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3725.NOIR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3803.NOIR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38032.NOIR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38034.NOIR</w:t>
            </w:r>
            <w:r>
              <w:t xml:space="preserve">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</w:t>
            </w:r>
            <w:r>
              <w:t xml:space="preserve">380349.NOIR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39003.noir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540.NOIR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7671.NOIR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Mirrors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M-164 1830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M-164 2436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M-164 2442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M-164 2739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M-167 1844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M-167 2436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M-167 2448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M-167 2632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M-167 2739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M-167 5442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M-167 5626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M-167 6642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M-169 2448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M-168 2739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M-169 2436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M-169 3040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M-167 2436.NOIR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M-104</w:t>
            </w:r>
            <w:r>
              <w:t xml:space="preserve"> </w:t>
            </w:r>
            <w:r>
              <w:t xml:space="preserve">2448.NOIR</w:t>
            </w:r>
            <w:r>
              <w:t xml:space="preserve">”</w:t>
            </w:r>
            <w:r>
              <w:t xml:space="preserve"> </w:t>
            </w:r>
            <w:r>
              <w:t xml:space="preserve">| NEAR((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LED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LED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),10,true)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Trevino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NEAR((</w:t>
            </w:r>
            <w:r>
              <w:t xml:space="preserve">“</w:t>
            </w:r>
            <w:r>
              <w:t xml:space="preserve">Anchorline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Trevino</w:t>
            </w:r>
            <w:r>
              <w:t xml:space="preserve">”</w:t>
            </w:r>
            <w:r>
              <w:t xml:space="preserve">),5,true)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Trevino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Anchorline</w:t>
            </w:r>
            <w:r>
              <w:t xml:space="preserve">”</w:t>
            </w:r>
            <w:r>
              <w:t xml:space="preserve">),5,true) |</w:t>
            </w:r>
            <w:r>
              <w:t xml:space="preserve"> </w:t>
            </w:r>
            <w:r>
              <w:t xml:space="preserve">“</w:t>
            </w:r>
            <w:r>
              <w:t xml:space="preserve">Trevino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Castellan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castellan</w:t>
            </w:r>
            <w:r>
              <w:t xml:space="preserve">”</w:t>
            </w:r>
            <w:r>
              <w:t xml:space="preserve">),10,true)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VSI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0640-2436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0640-3036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0640-4836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0640-6036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0641-2436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0641-3036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0641-4836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0641-6036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VSI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Matte Black</w:t>
            </w:r>
            <w:r>
              <w:t xml:space="preserve">”</w:t>
            </w:r>
            <w:r>
              <w:t xml:space="preserve">),10,true)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</w:tbl>
    <w:bookmarkEnd w:id="76"/>
    <w:bookmarkStart w:id="78" w:name="X3409a8f53160c458599c1c206f9077279115db2"/>
    <w:p>
      <w:pPr>
        <w:pStyle w:val="Heading2"/>
      </w:pPr>
      <w:r>
        <w:t xml:space="preserve">Appendix B: 2025–2026 Call-Out (Spec.4) — Full Search Formulas</w:t>
      </w:r>
    </w:p>
    <w:p>
      <w:pPr>
        <w:pStyle w:val="FirstParagraph"/>
      </w:pPr>
      <w:r>
        <w:t xml:space="preserve">Search Publish Range: Jan 1, 2025 - Jul 10, 2026. Complete,</w:t>
      </w:r>
      <w:r>
        <w:t xml:space="preserve"> </w:t>
      </w:r>
      <w:r>
        <w:t xml:space="preserve">unabbreviated search formulas as documented in this year's call-out: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641"/>
        <w:gridCol w:w="5022"/>
        <w:gridCol w:w="10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 of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M-7179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M-9262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M-9279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M-9541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M-9542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M-9543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M-9547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M-9890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M-9806</w:t>
            </w:r>
            <w:r>
              <w:t xml:space="preserve">”</w:t>
            </w:r>
            <w:r>
              <w:t xml:space="preserve"> </w:t>
            </w:r>
            <w:r>
              <w:t xml:space="preserve">| NEAR((</w:t>
            </w:r>
            <w:r>
              <w:t xml:space="preserve">“</w:t>
            </w:r>
            <w:r>
              <w:t xml:space="preserve">Solstice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Solstice</w:t>
            </w:r>
            <w:r>
              <w:t xml:space="preserve">”</w:t>
            </w:r>
            <w:r>
              <w:t xml:space="preserve">),10,true)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Faucets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M-908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M-905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M-902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M-901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</w:t>
            </w:r>
            <w:r>
              <w:t xml:space="preserve"> </w:t>
            </w:r>
            <w:r>
              <w:t xml:space="preserve">OR</w:t>
            </w:r>
            <w:r>
              <w:t xml:space="preserve">”</w:t>
            </w:r>
            <w:r>
              <w:t xml:space="preserve">M-968” OR</w:t>
            </w:r>
            <w:r>
              <w:t xml:space="preserve"> </w:t>
            </w:r>
            <w:r>
              <w:t xml:space="preserve">“</w:t>
            </w:r>
            <w:r>
              <w:t xml:space="preserve">M-965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M-962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M-961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M-960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M-998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M-995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M-991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M-990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M-958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M-955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M-951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M-950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M-9918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M-9915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M-9912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M-9911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M-9910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M-9958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M-9955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M-9952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M-9951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M-9950</w:t>
            </w:r>
            <w:r>
              <w:t xml:space="preserve">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M-xxx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),10,true)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00”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[Same 39 model codes as the 2024–2025 formula,</w:t>
            </w:r>
            <w:r>
              <w:t xml:space="preserve"> </w:t>
            </w:r>
            <w:r>
              <w:t xml:space="preserve">see Appendix A] | NEAR((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matte</w:t>
            </w:r>
            <w:r>
              <w:t xml:space="preserve"> </w:t>
            </w:r>
            <w:r>
              <w:t xml:space="preserve">black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noir</w:t>
            </w:r>
            <w:r>
              <w:t xml:space="preserve">”</w:t>
            </w:r>
            <w:r>
              <w:t xml:space="preserve">),10,true) | plus new codes:</w:t>
            </w:r>
            <w:r>
              <w:t xml:space="preserve"> </w:t>
            </w:r>
            <w:r>
              <w:t xml:space="preserve">“</w:t>
            </w:r>
            <w:r>
              <w:t xml:space="preserve">M-9890.NOIR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M-3013.NOIR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Mirrors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[Same 16 model codes as the 2024–2025 formula,</w:t>
            </w:r>
            <w:r>
              <w:t xml:space="preserve"> </w:t>
            </w:r>
            <w:r>
              <w:t xml:space="preserve">see Appendix A] | plus new codes:</w:t>
            </w:r>
            <w:r>
              <w:t xml:space="preserve"> </w:t>
            </w:r>
            <w:r>
              <w:t xml:space="preserve">“</w:t>
            </w:r>
            <w:r>
              <w:t xml:space="preserve">M-105</w:t>
            </w:r>
            <w:r>
              <w:t xml:space="preserve"> </w:t>
            </w:r>
            <w:r>
              <w:t xml:space="preserve">2448.NOIR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M-167 3226</w:t>
            </w:r>
            <w:r>
              <w:t xml:space="preserve">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LED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LED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Meridian</w:t>
            </w:r>
            <w:r>
              <w:t xml:space="preserve">”</w:t>
            </w:r>
            <w:r>
              <w:t xml:space="preserve">),10,true)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Trevino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NEAR((</w:t>
            </w:r>
            <w:r>
              <w:t xml:space="preserve">“</w:t>
            </w:r>
            <w:r>
              <w:t xml:space="preserve">Anchorline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Trevino</w:t>
            </w:r>
            <w:r>
              <w:t xml:space="preserve">”</w:t>
            </w:r>
            <w:r>
              <w:t xml:space="preserve">),5,true)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Trevino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Anchorline</w:t>
            </w:r>
            <w:r>
              <w:t xml:space="preserve">”</w:t>
            </w:r>
            <w:r>
              <w:t xml:space="preserve">),5,true) |</w:t>
            </w:r>
            <w:r>
              <w:t xml:space="preserve"> </w:t>
            </w:r>
            <w:r>
              <w:t xml:space="preserve">“</w:t>
            </w:r>
            <w:r>
              <w:t xml:space="preserve">Trevino</w:t>
            </w:r>
            <w:r>
              <w:t xml:space="preserve">”</w:t>
            </w:r>
            <w:r>
              <w:br/>
            </w:r>
            <w:r>
              <w:t xml:space="preserve">plus new terms: NEAR((</w:t>
            </w:r>
            <w:r>
              <w:t xml:space="preserve">“</w:t>
            </w:r>
            <w:r>
              <w:t xml:space="preserve">Anchorline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7T1-50</w:t>
            </w:r>
            <w:r>
              <w:t xml:space="preserve">”</w:t>
            </w:r>
            <w:r>
              <w:t xml:space="preserve">),10,true</w:t>
            </w:r>
            <w:r>
              <w:t xml:space="preserve"> </w:t>
            </w:r>
            <w:r>
              <w:t xml:space="preserve">| NEAR((</w:t>
            </w:r>
            <w:r>
              <w:t xml:space="preserve">“</w:t>
            </w:r>
            <w:r>
              <w:t xml:space="preserve">Anchorline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7T1-60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Anchorline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7T1-70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Anchorline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2T1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Anchorline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3T1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Anchorline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2T4-211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Anchorline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6T1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Anchorline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8T1</w:t>
            </w:r>
            <w:r>
              <w:t xml:space="preserve">”</w:t>
            </w:r>
            <w:r>
              <w:t xml:space="preserve">),10,true)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Castellan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castellan</w:t>
            </w:r>
            <w:r>
              <w:t xml:space="preserve">”</w:t>
            </w:r>
            <w:r>
              <w:t xml:space="preserve">),10,true) | NEAR((</w:t>
            </w:r>
            <w:r>
              <w:t xml:space="preserve">“</w:t>
            </w:r>
            <w:r>
              <w:t xml:space="preserve">Amer</w:t>
            </w:r>
            <w:r>
              <w:t xml:space="preserve"> </w:t>
            </w:r>
            <w:r>
              <w:t xml:space="preserve">Specialties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castellan</w:t>
            </w:r>
            <w:r>
              <w:t xml:space="preserve">”</w:t>
            </w:r>
            <w:r>
              <w:t xml:space="preserve">),10,true) | plus new codes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7313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7308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7312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7314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7317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7387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7306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0712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7307</w:t>
            </w:r>
            <w:r>
              <w:t xml:space="preserve">”</w:t>
            </w:r>
            <w:r>
              <w:t xml:space="preserve">),10,true) |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1201</w:t>
            </w:r>
            <w:r>
              <w:t xml:space="preserve">”</w:t>
            </w:r>
            <w:r>
              <w:t xml:space="preserve">),10,true)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ican 0 + 34 =</w:t>
            </w:r>
            <w:r>
              <w:t xml:space="preserve"> </w:t>
            </w:r>
            <w:r>
              <w:t xml:space="preserve">: 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VSI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0640-2436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0640-3036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0640-4836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0640-6036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0641-2436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0641-3036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0641-4836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0641-6036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VSI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NEAR((</w:t>
            </w:r>
            <w:r>
              <w:t xml:space="preserve">“</w:t>
            </w:r>
            <w:r>
              <w:t xml:space="preserve">VSI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Matte Black</w:t>
            </w:r>
            <w:r>
              <w:t xml:space="preserve">”</w:t>
            </w:r>
            <w:r>
              <w:t xml:space="preserve">),10,true) | plus new</w:t>
            </w:r>
            <w:r>
              <w:t xml:space="preserve"> </w:t>
            </w:r>
            <w:r>
              <w:t xml:space="preserve">codes: 0030-41, 0042-41, 0192-1-41, 0196-1-41,</w:t>
            </w:r>
            <w:r>
              <w:t xml:space="preserve"> </w:t>
            </w:r>
            <w:r>
              <w:t xml:space="preserve">0196-2-41, 0199-1-41, 0199-2-41, 0210-41, 0345-41,</w:t>
            </w:r>
            <w:r>
              <w:t xml:space="preserve"> </w:t>
            </w:r>
            <w:r>
              <w:t xml:space="preserve">0347-41, 0362-41, 0390, 0390-(n), 0390-41,</w:t>
            </w:r>
            <w:r>
              <w:t xml:space="preserve"> </w:t>
            </w:r>
            <w:r>
              <w:t xml:space="preserve">0391-(n), 0393-(n), 0394-(n), 0397, 0477-SM-41,</w:t>
            </w:r>
            <w:r>
              <w:t xml:space="preserve"> </w:t>
            </w:r>
            <w:r>
              <w:t xml:space="preserve">0600-41, 0839-41, 0852-41, 0864-41, 1201-41,</w:t>
            </w:r>
            <w:r>
              <w:t xml:space="preserve"> </w:t>
            </w:r>
            <w:r>
              <w:t xml:space="preserve">3801-41, 64623-41PC, 64623-9-41PC, 6467-41PC,</w:t>
            </w:r>
            <w:r>
              <w:t xml:space="preserve"> </w:t>
            </w:r>
            <w:r>
              <w:t xml:space="preserve">6467-9-41PC, 64672-41PC, 6474-2-41PC, 6474-41PC,</w:t>
            </w:r>
            <w:r>
              <w:t xml:space="preserve"> </w:t>
            </w:r>
            <w:r>
              <w:t xml:space="preserve">7305-2-41, 7305-41, 7340-41, 7355-24-41, 7385-41,</w:t>
            </w:r>
            <w:r>
              <w:t xml:space="preserve"> </w:t>
            </w:r>
            <w:r>
              <w:t xml:space="preserve">9014-41, 9018-41, 9018-9-41, 9024-41, 9026-41,</w:t>
            </w:r>
            <w:r>
              <w:t xml:space="preserve"> </w:t>
            </w:r>
            <w:r>
              <w:t xml:space="preserve">9343-41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+ 34 =</w:t>
            </w:r>
            <w:r>
              <w:t xml:space="preserve"> </w:t>
            </w: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FRM 104</w:t>
            </w:r>
            <w:r>
              <w:t xml:space="preserve">”</w:t>
            </w:r>
            <w:r>
              <w:t xml:space="preserve">),10,true) OR NEAR((</w:t>
            </w:r>
            <w:r>
              <w:t xml:space="preserve">“</w:t>
            </w:r>
            <w:r>
              <w:t xml:space="preserve">Ferr</w:t>
            </w:r>
            <w:r>
              <w:t xml:space="preserve"> </w:t>
            </w:r>
            <w:r>
              <w:t xml:space="preserve">105</w:t>
            </w:r>
            <w:r>
              <w:t xml:space="preserve">”</w:t>
            </w:r>
            <w:r>
              <w:t xml:space="preserve">),10,true) OR 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FRM 106</w:t>
            </w:r>
            <w:r>
              <w:t xml:space="preserve">”</w:t>
            </w:r>
            <w:r>
              <w:t xml:space="preserve">),10,true)</w:t>
            </w:r>
            <w:r>
              <w:t xml:space="preserve"> </w:t>
            </w:r>
            <w:r>
              <w:t xml:space="preserve">OR 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FRM 107</w:t>
            </w:r>
            <w:r>
              <w:t xml:space="preserve">”</w:t>
            </w:r>
            <w:r>
              <w:t xml:space="preserve">),10,true) OR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FRM 108</w:t>
            </w:r>
            <w:r>
              <w:t xml:space="preserve">”</w:t>
            </w:r>
            <w:r>
              <w:t xml:space="preserve">),10,true) OR 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 </w:t>
            </w:r>
            <w:r>
              <w:t xml:space="preserve">109”),10,true) OR 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FRM 110</w:t>
            </w:r>
            <w:r>
              <w:t xml:space="preserve">”</w:t>
            </w:r>
            <w:r>
              <w:t xml:space="preserve">),10,true)</w:t>
            </w:r>
            <w:r>
              <w:t xml:space="preserve"> </w:t>
            </w:r>
            <w:r>
              <w:t xml:space="preserve">OR 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FRM 111</w:t>
            </w:r>
            <w:r>
              <w:t xml:space="preserve">”</w:t>
            </w:r>
            <w:r>
              <w:t xml:space="preserve">),10,true) OR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FRM 112</w:t>
            </w:r>
            <w:r>
              <w:t xml:space="preserve">”</w:t>
            </w:r>
            <w:r>
              <w:t xml:space="preserve">),10,true) OR 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 </w:t>
            </w:r>
            <w:r>
              <w:t xml:space="preserve">113”),10,true) OR 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FRM 114</w:t>
            </w:r>
            <w:r>
              <w:t xml:space="preserve">”</w:t>
            </w:r>
            <w:r>
              <w:t xml:space="preserve">),10,true)</w:t>
            </w:r>
            <w:r>
              <w:t xml:space="preserve"> </w:t>
            </w:r>
            <w:r>
              <w:t xml:space="preserve">OR 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FRM 115</w:t>
            </w:r>
            <w:r>
              <w:t xml:space="preserve">”</w:t>
            </w:r>
            <w:r>
              <w:t xml:space="preserve">),10,true) OR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FRM 116</w:t>
            </w:r>
            <w:r>
              <w:t xml:space="preserve">”</w:t>
            </w:r>
            <w:r>
              <w:t xml:space="preserve">),10,true) OR 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 </w:t>
            </w:r>
            <w:r>
              <w:t xml:space="preserve">117”),10,true) OR 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FRM 129</w:t>
            </w:r>
            <w:r>
              <w:t xml:space="preserve">”</w:t>
            </w:r>
            <w:r>
              <w:t xml:space="preserve">),10,true)</w:t>
            </w:r>
            <w:r>
              <w:t xml:space="preserve"> </w:t>
            </w:r>
            <w:r>
              <w:t xml:space="preserve">OR 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FRM 440</w:t>
            </w:r>
            <w:r>
              <w:t xml:space="preserve">”</w:t>
            </w:r>
            <w:r>
              <w:t xml:space="preserve">),10,true) OR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4FS440</w:t>
            </w:r>
            <w:r>
              <w:t xml:space="preserve">”</w:t>
            </w:r>
            <w:r>
              <w:t xml:space="preserve">),10,true) OR</w:t>
            </w:r>
            <w:r>
              <w:t xml:space="preserve"> </w:t>
            </w:r>
            <w:r>
              <w:t xml:space="preserve">NEAR((</w:t>
            </w:r>
            <w:r>
              <w:t xml:space="preserve">“</w:t>
            </w:r>
            <w:r>
              <w:t xml:space="preserve">Ferrum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4FS442</w:t>
            </w:r>
            <w:r>
              <w:t xml:space="preserve">”</w:t>
            </w:r>
            <w:r>
              <w:t xml:space="preserve">),10,true) — one NEAR searc</w:t>
            </w:r>
            <w:r>
              <w:t xml:space="preserve"> </w:t>
            </w:r>
            <w:r>
              <w:t xml:space="preserve">per series number, matching the series listed in</w:t>
            </w:r>
            <w:r>
              <w:t xml:space="preserve"> </w:t>
            </w:r>
            <w:r>
              <w:t xml:space="preserve">the Solstice v.s. Ferrum crosswalk table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um”,“FRM 0</w:t>
            </w:r>
          </w:p>
        </w:tc>
      </w:tr>
    </w:tbl>
    <w:bookmarkStart w:id="77" w:name="X03cb1f4e626ef230fd509bb4e7d06ade5e2e6b3"/>
    <w:p>
      <w:pPr>
        <w:pStyle w:val="Heading3"/>
      </w:pPr>
      <w:r>
        <w:t xml:space="preserve">Appendix B (cont'd): Category Crosswalk Tables</w:t>
      </w:r>
    </w:p>
    <w:p>
      <w:pPr>
        <w:pStyle w:val="FirstParagraph"/>
      </w:pPr>
      <w:r>
        <w:rPr>
          <w:bCs/>
          <w:b/>
        </w:rPr>
        <w:t xml:space="preserve">VSI Castellan Collection x Solstice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421"/>
        <w:gridCol w:w="1116"/>
        <w:gridCol w:w="1015"/>
        <w:gridCol w:w="1929"/>
        <w:gridCol w:w="1116"/>
        <w:gridCol w:w="1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Solstice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</w:t>
            </w:r>
            <w:r>
              <w:t xml:space="preserve"> 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Solstice **VSI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roducts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VSI</w:t>
            </w:r>
            <w:r>
              <w:rPr>
                <w:bCs/>
                <w:b/>
              </w:rPr>
              <w:t xml:space="preserve"> </w:t>
            </w:r>
            <w:r>
              <w:t xml:space="preserve">VSI</w:t>
            </w:r>
            <w:r>
              <w:t xml:space="preserve"> </w:t>
            </w:r>
            <w:r>
              <w:t xml:space="preserve">Specs**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Hooks &amp; Shelf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9541, 9542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Robe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Toilet</w:t>
            </w:r>
            <w:r>
              <w:t xml:space="preserve"> </w:t>
            </w:r>
            <w:r>
              <w:t xml:space="preserve">Roll 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M-9543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Toilet</w:t>
            </w:r>
            <w:r>
              <w:t xml:space="preserve"> </w:t>
            </w:r>
            <w:r>
              <w:t xml:space="preserve">Paper Roll 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Solstice v.s. Ferrum</w:t>
      </w:r>
    </w:p>
    <w:tbl>
      <w:tblPr>
        <w:tblStyle w:val="Table"/>
        <w:tblW w:type="pct" w:w="4900"/>
        <w:tblLook w:firstRow="1" w:lastRow="0" w:firstColumn="0" w:lastColumn="0" w:noHBand="0" w:noVBand="0" w:val="0020"/>
        <w:jc w:val="start"/>
      </w:tblPr>
      <w:tblGrid>
        <w:gridCol w:w="1346"/>
        <w:gridCol w:w="1267"/>
        <w:gridCol w:w="871"/>
        <w:gridCol w:w="1584"/>
        <w:gridCol w:w="1821"/>
        <w:gridCol w:w="8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Solstice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**Spec*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**Ferrum Compara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tive**</w:t>
            </w:r>
            <w:r>
              <w:t xml:space="preserve"> </w:t>
            </w:r>
            <w:r>
              <w:rPr>
                <w:bCs/>
                <w:b/>
              </w:rPr>
              <w:t xml:space="preserve">Series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Towel</w:t>
            </w:r>
            <w:r>
              <w:t xml:space="preserve"> </w:t>
            </w:r>
            <w:r>
              <w:t xml:space="preserve">Dispensers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M-9262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Towel</w:t>
            </w:r>
            <w:r>
              <w:t xml:space="preserve"> </w:t>
            </w:r>
            <w:r>
              <w:t xml:space="preserve">Dispenser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 104,105,106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Soap Dispensers</w:t>
            </w:r>
            <w:r>
              <w:t xml:space="preserve"> </w:t>
            </w:r>
            <w:r>
              <w:t xml:space="preserve">&amp; Faucets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see Faucets 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 Dispenser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 107,108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Toilet Seat</w:t>
            </w:r>
            <w:r>
              <w:t xml:space="preserve"> </w:t>
            </w:r>
            <w:r>
              <w:t xml:space="preserve">Cover Dispenser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M-9221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Toilet Seat Cover</w:t>
            </w:r>
            <w:r>
              <w:t xml:space="preserve"> </w:t>
            </w:r>
            <w:r>
              <w:t xml:space="preserve">Dispenser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FRM.115,116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Sanitary</w:t>
            </w:r>
            <w:r>
              <w:t xml:space="preserve"> </w:t>
            </w:r>
            <w:r>
              <w:t xml:space="preserve">Disposals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M-9254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Sanitary</w:t>
            </w:r>
            <w:r>
              <w:t xml:space="preserve"> </w:t>
            </w:r>
            <w:r>
              <w:t xml:space="preserve">Napkin/Tampon Waste</w:t>
            </w:r>
            <w:r>
              <w:t xml:space="preserve"> </w:t>
            </w: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Grab Bars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M-9806,9807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Stainless Steel</w:t>
            </w:r>
            <w:r>
              <w:t xml:space="preserve"> </w:t>
            </w:r>
            <w:r>
              <w:t xml:space="preserve">Grab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FRM440,4FS440,4FS442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Dryer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M-7179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Coat Hooks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M-9541,M-9542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Toilet Roll</w:t>
            </w:r>
            <w:r>
              <w:t xml:space="preserve"> </w:t>
            </w:r>
            <w:r>
              <w:t xml:space="preserve">Holder - Single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M-9543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Toilet Tissue</w:t>
            </w:r>
            <w:r>
              <w:t xml:space="preserve"> </w:t>
            </w:r>
            <w:r>
              <w:t xml:space="preserve">Dispenser Single</w:t>
            </w:r>
            <w:r>
              <w:t xml:space="preserve"> </w:t>
            </w:r>
            <w:r>
              <w:t xml:space="preserve">Small 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FRM.109,110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Toilet Roll</w:t>
            </w:r>
            <w:r>
              <w:t xml:space="preserve"> </w:t>
            </w:r>
            <w:r>
              <w:t xml:space="preserve">Holder - Double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M-9547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Toilet Tissue</w:t>
            </w:r>
            <w:r>
              <w:t xml:space="preserve"> </w:t>
            </w:r>
            <w:r>
              <w:t xml:space="preserve">Dispenser Double</w:t>
            </w:r>
            <w:r>
              <w:t xml:space="preserve"> </w:t>
            </w:r>
            <w:r>
              <w:t xml:space="preserve">Small 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FRM.111,113,114,129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Jumbo Toilet</w:t>
            </w:r>
            <w:r>
              <w:t xml:space="preserve"> </w:t>
            </w:r>
            <w:r>
              <w:t xml:space="preserve">Roll Holder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M-9890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Toilet Tissue</w:t>
            </w:r>
            <w:r>
              <w:t xml:space="preserve"> </w:t>
            </w:r>
            <w:r>
              <w:t xml:space="preserve">Dispenser Large</w:t>
            </w:r>
            <w:r>
              <w:t xml:space="preserve"> </w:t>
            </w:r>
            <w:r>
              <w:t xml:space="preserve">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FRM.112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 Receptacle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M-9279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Towel</w:t>
            </w:r>
            <w:r>
              <w:t xml:space="preserve"> </w:t>
            </w:r>
            <w:r>
              <w:t xml:space="preserve">Disp. &amp; Waste</w:t>
            </w:r>
            <w:r>
              <w:t xml:space="preserve"> </w:t>
            </w:r>
            <w:r>
              <w:t xml:space="preserve">Combo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M-9944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Combo Paper Towel</w:t>
            </w:r>
            <w:r>
              <w:t xml:space="preserve"> </w:t>
            </w:r>
            <w:r>
              <w:t xml:space="preserve">Dispenser/Waste</w:t>
            </w:r>
            <w:r>
              <w:t xml:space="preserve"> </w:t>
            </w: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FRM.101,102,105,106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Anchorline Trevino x Solstice</w:t>
      </w:r>
    </w:p>
    <w:tbl>
      <w:tblPr>
        <w:tblStyle w:val="Table"/>
        <w:tblW w:type="pct" w:w="4897"/>
        <w:tblLook w:firstRow="1" w:lastRow="0" w:firstColumn="0" w:lastColumn="0" w:noHBand="0" w:noVBand="0" w:val="0020"/>
        <w:jc w:val="start"/>
      </w:tblPr>
      <w:tblGrid>
        <w:gridCol w:w="1388"/>
        <w:gridCol w:w="1388"/>
        <w:gridCol w:w="898"/>
        <w:gridCol w:w="1632"/>
        <w:gridCol w:w="1551"/>
        <w:gridCol w:w="8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Trevino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Series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**Solstice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  <w:r>
              <w:t xml:space="preserve"> </w:t>
            </w:r>
            <w:r>
              <w:rPr>
                <w:bCs/>
                <w:b/>
              </w:rPr>
              <w:t xml:space="preserve">Series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Mirror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7T1-50,-60,-70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Towel Dispenser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2T1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Paper Towel</w:t>
            </w:r>
            <w:r>
              <w:t xml:space="preserve"> </w:t>
            </w:r>
            <w:r>
              <w:t xml:space="preserve">Dispenser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M-9262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 Receptacle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3T1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Waste Receptacle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M-9279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Dryer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2T4-211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Hand Dryer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M-7179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Soap Dispenser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6T1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Soap Dispensers &amp;</w:t>
            </w:r>
            <w:r>
              <w:t xml:space="preserve"> </w:t>
            </w:r>
            <w:r>
              <w:t xml:space="preserve">Faucets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Faucets 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Grab Bars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8T1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Grab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M-9806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Towel/Waste</w:t>
            </w:r>
            <w:r>
              <w:t xml:space="preserve"> </w:t>
            </w:r>
            <w:r>
              <w:t xml:space="preserve">Combo Unit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2T5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Paper Towel Disp. &amp;</w:t>
            </w:r>
            <w:r>
              <w:t xml:space="preserve"> </w:t>
            </w:r>
            <w:r>
              <w:t xml:space="preserve">Waste Combo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M-9944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Napkin Disposal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Sanitary 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M-9254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 Cover</w:t>
            </w:r>
            <w:r>
              <w:t xml:space="preserve"> </w:t>
            </w:r>
            <w:r>
              <w:t xml:space="preserve">Dispenser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5T1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Toilet Seat Cover</w:t>
            </w:r>
            <w:r>
              <w:t xml:space="preserve"> </w:t>
            </w:r>
            <w:r>
              <w:t xml:space="preserve">Dispenser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M-9221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Toilet Tissue</w:t>
            </w:r>
            <w:r>
              <w:t xml:space="preserve"> </w:t>
            </w:r>
            <w:r>
              <w:t xml:space="preserve">Dispenser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Toilet Roll Holder</w:t>
            </w:r>
            <w:r>
              <w:t xml:space="preserve"> </w:t>
            </w:r>
            <w:r>
              <w:t xml:space="preserve">(S/D/Jumbo)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M-9543,9547,9890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Hook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9T1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Coat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M-9541,M-9542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</w:tr>
    </w:tbl>
    <w:bookmarkEnd w:id="77"/>
    <w:bookmarkEnd w:id="78"/>
    <w:bookmarkStart w:id="79" w:name="Xb6c73d6584113bcdbf0250ddb66c65015a28dbf"/>
    <w:p>
      <w:pPr>
        <w:pStyle w:val="Heading2"/>
      </w:pPr>
      <w:r>
        <w:t xml:space="preserve">Appendix C: 2025–2026 Search Summary — Complete List</w:t>
      </w:r>
    </w:p>
    <w:p>
      <w:pPr>
        <w:pStyle w:val="FirstParagraph"/>
      </w:pPr>
      <w:r>
        <w:t xml:space="preserve">The workbook's per-sheet totals (compiled from the raw data,</w:t>
      </w:r>
      <w:r>
        <w:t xml:space="preserve"> </w:t>
      </w:r>
      <w:r>
        <w:t xml:space="preserve">complementing the call-out formulas in Appendix B above). This is the</w:t>
      </w:r>
      <w:r>
        <w:t xml:space="preserve"> </w:t>
      </w:r>
      <w:r>
        <w:t xml:space="preserve">complete list of every sheet searched and its result count: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4174"/>
        <w:gridCol w:w="2033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Sheet /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 of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(collection-level)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Paper Towel Dispenser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Toilet Seat Paper Dispenser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Sanitary 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Grab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Hand Dryer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Tissue Dispenser (single roll)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Tissue Dispenser (double)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Jumbo Tissue Dispenser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Waste Receptacle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Solstice Dispenser+Waste Combo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NOIR (collection-level)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Mirrors (collection-level)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Trevino (collection-level)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Trevino Dispenser+Waste Combo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Trevino Napkin/Sanitary Disposal</w:t>
            </w:r>
            <w:r>
              <w:t xml:space="preserve"> </w:t>
            </w:r>
            <w:r>
              <w:t xml:space="preserve">Dispenser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Trevino Seat Cover Dispenser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Trevino Toilet Paper Dispenser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Trevino Shelf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Trevino Robe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Trevino Soap Dispenser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Trevino Grab 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Castellan (collection-level)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Castellan Single Hook (item-level)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VSI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VSI Matte Black (item-level)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</w:tbl>
    <w:p>
      <w:pPr>
        <w:pStyle w:val="BodyText"/>
      </w:pPr>
      <w:r>
        <w:rPr>
          <w:iCs/>
          <w:i/>
        </w:rPr>
        <w:t xml:space="preserve">*Per the 2024–2025 call-out formula (NEAR(</w:t>
      </w:r>
      <w:r>
        <w:rPr>
          <w:iCs/>
          <w:i/>
        </w:rPr>
        <w:t xml:space="preserve">“</w:t>
      </w:r>
      <w:r>
        <w:rPr>
          <w:iCs/>
          <w:i/>
        </w:rPr>
        <w:t xml:space="preserve">VSI</w:t>
      </w:r>
      <w:r>
        <w:rPr>
          <w:iCs/>
          <w:i/>
        </w:rPr>
        <w:t xml:space="preserve">”</w:t>
      </w:r>
      <w:r>
        <w:rPr>
          <w:iCs/>
          <w:i/>
        </w:rPr>
        <w:t xml:space="preserve">,</w:t>
      </w:r>
      <w:r>
        <w:rPr>
          <w:iCs/>
          <w:i/>
        </w:rPr>
        <w:t xml:space="preserve">“</w:t>
      </w:r>
      <w:r>
        <w:rPr>
          <w:iCs/>
          <w:i/>
        </w:rPr>
        <w:t xml:space="preserve">castellan</w:t>
      </w:r>
      <w:r>
        <w:rPr>
          <w:iCs/>
          <w:i/>
        </w:rPr>
        <w:t xml:space="preserve">”</w:t>
      </w:r>
      <w:r>
        <w:rPr>
          <w:iCs/>
          <w:i/>
        </w:rPr>
        <w:t xml:space="preserve">)), the true</w:t>
      </w:r>
      <w:r>
        <w:rPr>
          <w:iCs/>
          <w:i/>
        </w:rPr>
        <w:t xml:space="preserve"> </w:t>
      </w:r>
      <w:r>
        <w:rPr>
          <w:iCs/>
          <w:i/>
        </w:rPr>
        <w:t xml:space="preserve">collection-name-only search returns 0; the 35 figure on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Castellan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row</w:t>
      </w:r>
      <w:r>
        <w:rPr>
          <w:iCs/>
          <w:i/>
        </w:rPr>
        <w:t xml:space="preserve"> </w:t>
      </w:r>
      <w:r>
        <w:rPr>
          <w:iCs/>
          <w:i/>
        </w:rPr>
        <w:t xml:space="preserve">reflects a broader pull method used for this sheet this year, not the</w:t>
      </w:r>
      <w:r>
        <w:rPr>
          <w:iCs/>
          <w:i/>
        </w:rPr>
        <w:t xml:space="preserve"> </w:t>
      </w:r>
      <w:r>
        <w:rPr>
          <w:iCs/>
          <w:i/>
        </w:rPr>
        <w:t xml:space="preserve">strict collection-name formula. See the Methodology section for detail</w:t>
      </w:r>
      <w:r>
        <w:rPr>
          <w:iCs/>
          <w:i/>
        </w:rPr>
        <w:t xml:space="preserve"> </w:t>
      </w:r>
      <w:r>
        <w:rPr>
          <w:iCs/>
          <w:i/>
        </w:rPr>
        <w:t xml:space="preserve">on why Castellan's real volume comes from the item-level Single Hook search</w:t>
      </w:r>
      <w:r>
        <w:rPr>
          <w:iCs/>
          <w:i/>
        </w:rPr>
        <w:t xml:space="preserve"> </w:t>
      </w:r>
      <w:r>
        <w:rPr>
          <w:iCs/>
          <w:i/>
        </w:rPr>
        <w:t xml:space="preserve">(34), not the collection name.</w:t>
      </w:r>
    </w:p>
    <w:bookmarkEnd w:id="79"/>
    <w:bookmarkEnd w:id="80"/>
    <w:sectPr>
      <w:headerReference r:id="rId9" w:type="default"/>
      <w:footerReference r:id="rId10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Meridian Solstice — Competitor Report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2026-07-29T19:01:04Z</dcterms:created>
  <dcterms:modified xsi:type="dcterms:W3CDTF">2026-07-29T19:01:04Z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