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286D8" w14:textId="63AFC663" w:rsidR="00286740" w:rsidRPr="00286740" w:rsidRDefault="00286740" w:rsidP="00CE2E16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286740">
        <w:rPr>
          <w:rFonts w:ascii="Arial" w:hAnsi="Arial" w:cs="Arial"/>
          <w:b/>
          <w:bCs/>
          <w:sz w:val="24"/>
          <w:szCs w:val="24"/>
          <w:lang w:val="es-ES"/>
        </w:rPr>
        <w:t>Portafolio de IA (</w:t>
      </w:r>
      <w:r w:rsidRPr="00CE2E16">
        <w:rPr>
          <w:rFonts w:ascii="Arial" w:hAnsi="Arial" w:cs="Arial"/>
          <w:b/>
          <w:bCs/>
          <w:sz w:val="24"/>
          <w:szCs w:val="24"/>
          <w:lang w:val="es-ES"/>
        </w:rPr>
        <w:t xml:space="preserve">Quinta </w:t>
      </w:r>
      <w:r w:rsidRPr="00286740">
        <w:rPr>
          <w:rFonts w:ascii="Arial" w:hAnsi="Arial" w:cs="Arial"/>
          <w:b/>
          <w:bCs/>
          <w:sz w:val="24"/>
          <w:szCs w:val="24"/>
          <w:lang w:val="es-ES"/>
        </w:rPr>
        <w:t xml:space="preserve">Clase) : </w:t>
      </w:r>
    </w:p>
    <w:p w14:paraId="7F9BD1A0" w14:textId="77777777" w:rsidR="00286740" w:rsidRPr="00286740" w:rsidRDefault="00286740" w:rsidP="00CE2E16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286740">
        <w:rPr>
          <w:rFonts w:ascii="Arial" w:hAnsi="Arial" w:cs="Arial"/>
          <w:b/>
          <w:bCs/>
          <w:sz w:val="24"/>
          <w:szCs w:val="24"/>
          <w:lang w:val="es-ES"/>
        </w:rPr>
        <w:t>Actividad #1 :</w:t>
      </w:r>
    </w:p>
    <w:tbl>
      <w:tblPr>
        <w:tblStyle w:val="Tablaconcuadrcula"/>
        <w:tblW w:w="8849" w:type="dxa"/>
        <w:tblLook w:val="04A0" w:firstRow="1" w:lastRow="0" w:firstColumn="1" w:lastColumn="0" w:noHBand="0" w:noVBand="1"/>
      </w:tblPr>
      <w:tblGrid>
        <w:gridCol w:w="2399"/>
        <w:gridCol w:w="2150"/>
        <w:gridCol w:w="2150"/>
        <w:gridCol w:w="2150"/>
      </w:tblGrid>
      <w:tr w:rsidR="00286740" w:rsidRPr="00CE2E16" w14:paraId="49A2E7E5" w14:textId="79C53FDE" w:rsidTr="00286740">
        <w:trPr>
          <w:trHeight w:val="714"/>
        </w:trPr>
        <w:tc>
          <w:tcPr>
            <w:tcW w:w="2399" w:type="dxa"/>
          </w:tcPr>
          <w:p w14:paraId="7FB73655" w14:textId="5E398D42" w:rsidR="00286740" w:rsidRPr="00CE2E16" w:rsidRDefault="00286740" w:rsidP="00CE2E16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E2E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Elemento </w:t>
            </w:r>
          </w:p>
        </w:tc>
        <w:tc>
          <w:tcPr>
            <w:tcW w:w="2150" w:type="dxa"/>
          </w:tcPr>
          <w:p w14:paraId="32AC6439" w14:textId="00BFA44E" w:rsidR="00286740" w:rsidRPr="00CE2E16" w:rsidRDefault="00286740" w:rsidP="00CE2E16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E2E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Tipo </w:t>
            </w:r>
          </w:p>
        </w:tc>
        <w:tc>
          <w:tcPr>
            <w:tcW w:w="2150" w:type="dxa"/>
          </w:tcPr>
          <w:p w14:paraId="1A8DB69A" w14:textId="5114DA06" w:rsidR="00286740" w:rsidRPr="00CE2E16" w:rsidRDefault="00286740" w:rsidP="00CE2E16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E2E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Semántico /Presentacional </w:t>
            </w:r>
          </w:p>
        </w:tc>
        <w:tc>
          <w:tcPr>
            <w:tcW w:w="2150" w:type="dxa"/>
          </w:tcPr>
          <w:p w14:paraId="1F302E5F" w14:textId="386AC15C" w:rsidR="00286740" w:rsidRPr="00CE2E16" w:rsidRDefault="00286740" w:rsidP="00CE2E16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E2E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Uso real </w:t>
            </w:r>
          </w:p>
        </w:tc>
      </w:tr>
      <w:tr w:rsidR="00286740" w:rsidRPr="00CE2E16" w14:paraId="26DBD30C" w14:textId="166FBCC5" w:rsidTr="00286740">
        <w:trPr>
          <w:trHeight w:val="714"/>
        </w:trPr>
        <w:tc>
          <w:tcPr>
            <w:tcW w:w="2399" w:type="dxa"/>
          </w:tcPr>
          <w:p w14:paraId="09A70DA4" w14:textId="574018D4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>&lt;blockquote&gt;</w:t>
            </w:r>
          </w:p>
        </w:tc>
        <w:tc>
          <w:tcPr>
            <w:tcW w:w="2150" w:type="dxa"/>
          </w:tcPr>
          <w:p w14:paraId="68C3110F" w14:textId="6CD4A4A6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Bloque </w:t>
            </w:r>
          </w:p>
        </w:tc>
        <w:tc>
          <w:tcPr>
            <w:tcW w:w="2150" w:type="dxa"/>
          </w:tcPr>
          <w:p w14:paraId="1E726D67" w14:textId="2408438E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Semántico </w:t>
            </w:r>
          </w:p>
        </w:tc>
        <w:tc>
          <w:tcPr>
            <w:tcW w:w="2150" w:type="dxa"/>
          </w:tcPr>
          <w:p w14:paraId="57A98544" w14:textId="409AB115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Citas largas de un libro </w:t>
            </w:r>
          </w:p>
        </w:tc>
      </w:tr>
      <w:tr w:rsidR="00286740" w:rsidRPr="00CE2E16" w14:paraId="2995CCAD" w14:textId="1D6A6848" w:rsidTr="00286740">
        <w:trPr>
          <w:trHeight w:val="365"/>
        </w:trPr>
        <w:tc>
          <w:tcPr>
            <w:tcW w:w="2399" w:type="dxa"/>
          </w:tcPr>
          <w:p w14:paraId="5A3C49E6" w14:textId="0DCD5CE7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>&lt;span&gt;</w:t>
            </w:r>
          </w:p>
        </w:tc>
        <w:tc>
          <w:tcPr>
            <w:tcW w:w="2150" w:type="dxa"/>
          </w:tcPr>
          <w:p w14:paraId="55EBF4E3" w14:textId="40799695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En línea </w:t>
            </w:r>
          </w:p>
        </w:tc>
        <w:tc>
          <w:tcPr>
            <w:tcW w:w="2150" w:type="dxa"/>
          </w:tcPr>
          <w:p w14:paraId="581E9DBA" w14:textId="3758F643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Presentacional </w:t>
            </w:r>
          </w:p>
        </w:tc>
        <w:tc>
          <w:tcPr>
            <w:tcW w:w="2150" w:type="dxa"/>
          </w:tcPr>
          <w:p w14:paraId="162F5F2F" w14:textId="65A9DBEF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Aplicación de estilos </w:t>
            </w:r>
          </w:p>
        </w:tc>
      </w:tr>
      <w:tr w:rsidR="00286740" w:rsidRPr="00CE2E16" w14:paraId="3A8946B7" w14:textId="32635D6D" w:rsidTr="00286740">
        <w:trPr>
          <w:trHeight w:val="348"/>
        </w:trPr>
        <w:tc>
          <w:tcPr>
            <w:tcW w:w="2399" w:type="dxa"/>
          </w:tcPr>
          <w:p w14:paraId="72D9D619" w14:textId="0A687971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>&lt;strong&gt;</w:t>
            </w:r>
          </w:p>
        </w:tc>
        <w:tc>
          <w:tcPr>
            <w:tcW w:w="2150" w:type="dxa"/>
          </w:tcPr>
          <w:p w14:paraId="29F76156" w14:textId="646C1DBF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>En línea</w:t>
            </w:r>
          </w:p>
        </w:tc>
        <w:tc>
          <w:tcPr>
            <w:tcW w:w="2150" w:type="dxa"/>
          </w:tcPr>
          <w:p w14:paraId="125DFB95" w14:textId="0CC50391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Semántico </w:t>
            </w:r>
          </w:p>
        </w:tc>
        <w:tc>
          <w:tcPr>
            <w:tcW w:w="2150" w:type="dxa"/>
          </w:tcPr>
          <w:p w14:paraId="2903DFC9" w14:textId="2C711F3C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Indicación clara de importancia </w:t>
            </w:r>
          </w:p>
        </w:tc>
      </w:tr>
      <w:tr w:rsidR="00286740" w:rsidRPr="00CE2E16" w14:paraId="594720A6" w14:textId="14ACFCE9" w:rsidTr="00286740">
        <w:trPr>
          <w:trHeight w:val="348"/>
        </w:trPr>
        <w:tc>
          <w:tcPr>
            <w:tcW w:w="2399" w:type="dxa"/>
          </w:tcPr>
          <w:p w14:paraId="3F6AAE2D" w14:textId="138FBAEA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>&lt;article&gt;</w:t>
            </w:r>
          </w:p>
        </w:tc>
        <w:tc>
          <w:tcPr>
            <w:tcW w:w="2150" w:type="dxa"/>
          </w:tcPr>
          <w:p w14:paraId="7AA8CA10" w14:textId="032AB280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Bloque </w:t>
            </w:r>
          </w:p>
        </w:tc>
        <w:tc>
          <w:tcPr>
            <w:tcW w:w="2150" w:type="dxa"/>
          </w:tcPr>
          <w:p w14:paraId="385CC039" w14:textId="7092DE95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Semántico </w:t>
            </w:r>
          </w:p>
        </w:tc>
        <w:tc>
          <w:tcPr>
            <w:tcW w:w="2150" w:type="dxa"/>
          </w:tcPr>
          <w:p w14:paraId="4B6F36C8" w14:textId="332A8459" w:rsidR="00286740" w:rsidRPr="00CE2E16" w:rsidRDefault="00C21A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>Mostrar c</w:t>
            </w:r>
            <w:r w:rsidR="00286740" w:rsidRPr="00CE2E16">
              <w:rPr>
                <w:rFonts w:ascii="Arial" w:hAnsi="Arial" w:cs="Arial"/>
                <w:sz w:val="24"/>
                <w:szCs w:val="24"/>
              </w:rPr>
              <w:t xml:space="preserve">ontenido de tipo independiente </w:t>
            </w:r>
          </w:p>
        </w:tc>
      </w:tr>
      <w:tr w:rsidR="00286740" w:rsidRPr="00CE2E16" w14:paraId="41F1B9CF" w14:textId="04958315" w:rsidTr="00286740">
        <w:trPr>
          <w:trHeight w:val="365"/>
        </w:trPr>
        <w:tc>
          <w:tcPr>
            <w:tcW w:w="2399" w:type="dxa"/>
          </w:tcPr>
          <w:p w14:paraId="18BC6742" w14:textId="14724A4B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>&lt;b&gt;</w:t>
            </w:r>
          </w:p>
        </w:tc>
        <w:tc>
          <w:tcPr>
            <w:tcW w:w="2150" w:type="dxa"/>
          </w:tcPr>
          <w:p w14:paraId="0ED2187C" w14:textId="65CE296C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En línea </w:t>
            </w:r>
          </w:p>
        </w:tc>
        <w:tc>
          <w:tcPr>
            <w:tcW w:w="2150" w:type="dxa"/>
          </w:tcPr>
          <w:p w14:paraId="2D0207CB" w14:textId="2AE0AB6E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Presentacional </w:t>
            </w:r>
          </w:p>
        </w:tc>
        <w:tc>
          <w:tcPr>
            <w:tcW w:w="2150" w:type="dxa"/>
          </w:tcPr>
          <w:p w14:paraId="76D269BC" w14:textId="05579F6A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>Casos en los que se debe de utilizar negrita visual</w:t>
            </w:r>
          </w:p>
        </w:tc>
      </w:tr>
      <w:tr w:rsidR="00286740" w:rsidRPr="00CE2E16" w14:paraId="40D6790B" w14:textId="77777777" w:rsidTr="00286740">
        <w:trPr>
          <w:trHeight w:val="365"/>
        </w:trPr>
        <w:tc>
          <w:tcPr>
            <w:tcW w:w="2399" w:type="dxa"/>
          </w:tcPr>
          <w:p w14:paraId="1AD5222C" w14:textId="4246125D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>&lt;time&gt;</w:t>
            </w:r>
          </w:p>
        </w:tc>
        <w:tc>
          <w:tcPr>
            <w:tcW w:w="2150" w:type="dxa"/>
          </w:tcPr>
          <w:p w14:paraId="7D8CB21F" w14:textId="4236664D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En línea </w:t>
            </w:r>
          </w:p>
        </w:tc>
        <w:tc>
          <w:tcPr>
            <w:tcW w:w="2150" w:type="dxa"/>
          </w:tcPr>
          <w:p w14:paraId="199A3BB0" w14:textId="566D93B4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Semántico </w:t>
            </w:r>
          </w:p>
        </w:tc>
        <w:tc>
          <w:tcPr>
            <w:tcW w:w="2150" w:type="dxa"/>
          </w:tcPr>
          <w:p w14:paraId="4CF07C1E" w14:textId="79F5A109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Para el formato de fechas y horas </w:t>
            </w:r>
          </w:p>
        </w:tc>
      </w:tr>
      <w:tr w:rsidR="00286740" w:rsidRPr="00CE2E16" w14:paraId="40A80C0D" w14:textId="77777777" w:rsidTr="00286740">
        <w:trPr>
          <w:trHeight w:val="365"/>
        </w:trPr>
        <w:tc>
          <w:tcPr>
            <w:tcW w:w="2399" w:type="dxa"/>
          </w:tcPr>
          <w:p w14:paraId="7928DA9D" w14:textId="20086414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>&lt;ul&gt;</w:t>
            </w:r>
          </w:p>
        </w:tc>
        <w:tc>
          <w:tcPr>
            <w:tcW w:w="2150" w:type="dxa"/>
          </w:tcPr>
          <w:p w14:paraId="2F57AD8D" w14:textId="0F06BCFA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Bloque </w:t>
            </w:r>
          </w:p>
        </w:tc>
        <w:tc>
          <w:tcPr>
            <w:tcW w:w="2150" w:type="dxa"/>
          </w:tcPr>
          <w:p w14:paraId="51A9BF15" w14:textId="4FD99C3F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Semántico </w:t>
            </w:r>
          </w:p>
        </w:tc>
        <w:tc>
          <w:tcPr>
            <w:tcW w:w="2150" w:type="dxa"/>
          </w:tcPr>
          <w:p w14:paraId="78145FB1" w14:textId="402E4B51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Realización de listas sin orden previo </w:t>
            </w:r>
          </w:p>
        </w:tc>
      </w:tr>
      <w:tr w:rsidR="00286740" w:rsidRPr="00CE2E16" w14:paraId="687CE400" w14:textId="77777777" w:rsidTr="00286740">
        <w:trPr>
          <w:trHeight w:val="365"/>
        </w:trPr>
        <w:tc>
          <w:tcPr>
            <w:tcW w:w="2399" w:type="dxa"/>
          </w:tcPr>
          <w:p w14:paraId="02DFB71A" w14:textId="6AA4BEE5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>&lt;mark&gt;</w:t>
            </w:r>
          </w:p>
        </w:tc>
        <w:tc>
          <w:tcPr>
            <w:tcW w:w="2150" w:type="dxa"/>
          </w:tcPr>
          <w:p w14:paraId="5B8000E3" w14:textId="0D874B9B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>En línea</w:t>
            </w:r>
          </w:p>
        </w:tc>
        <w:tc>
          <w:tcPr>
            <w:tcW w:w="2150" w:type="dxa"/>
          </w:tcPr>
          <w:p w14:paraId="58AEF742" w14:textId="7657DBE4" w:rsidR="00286740" w:rsidRPr="00CE2E16" w:rsidRDefault="002867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Semántico </w:t>
            </w:r>
          </w:p>
        </w:tc>
        <w:tc>
          <w:tcPr>
            <w:tcW w:w="2150" w:type="dxa"/>
          </w:tcPr>
          <w:p w14:paraId="4B5073F2" w14:textId="79C36D0E" w:rsidR="00286740" w:rsidRPr="00CE2E16" w:rsidRDefault="00C21A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Resaltar texto importante </w:t>
            </w:r>
          </w:p>
        </w:tc>
      </w:tr>
      <w:tr w:rsidR="00286740" w:rsidRPr="00CE2E16" w14:paraId="0502D8DD" w14:textId="77777777" w:rsidTr="00286740">
        <w:trPr>
          <w:trHeight w:val="365"/>
        </w:trPr>
        <w:tc>
          <w:tcPr>
            <w:tcW w:w="2399" w:type="dxa"/>
          </w:tcPr>
          <w:p w14:paraId="471C1371" w14:textId="57BAFBE4" w:rsidR="00286740" w:rsidRPr="00CE2E16" w:rsidRDefault="00C21A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>&lt;code&gt;</w:t>
            </w:r>
          </w:p>
        </w:tc>
        <w:tc>
          <w:tcPr>
            <w:tcW w:w="2150" w:type="dxa"/>
          </w:tcPr>
          <w:p w14:paraId="1B22BAE8" w14:textId="26FB6A09" w:rsidR="00286740" w:rsidRPr="00CE2E16" w:rsidRDefault="00C21A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En línea </w:t>
            </w:r>
          </w:p>
        </w:tc>
        <w:tc>
          <w:tcPr>
            <w:tcW w:w="2150" w:type="dxa"/>
          </w:tcPr>
          <w:p w14:paraId="1E691C7E" w14:textId="44E1EFBA" w:rsidR="00286740" w:rsidRPr="00CE2E16" w:rsidRDefault="00C21A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Semántico </w:t>
            </w:r>
          </w:p>
        </w:tc>
        <w:tc>
          <w:tcPr>
            <w:tcW w:w="2150" w:type="dxa"/>
          </w:tcPr>
          <w:p w14:paraId="4176C8D1" w14:textId="561AB4ED" w:rsidR="00286740" w:rsidRPr="00CE2E16" w:rsidRDefault="00C21A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Código fuente </w:t>
            </w:r>
          </w:p>
        </w:tc>
      </w:tr>
      <w:tr w:rsidR="00286740" w:rsidRPr="00CE2E16" w14:paraId="78FB942F" w14:textId="77777777" w:rsidTr="00286740">
        <w:trPr>
          <w:trHeight w:val="365"/>
        </w:trPr>
        <w:tc>
          <w:tcPr>
            <w:tcW w:w="2399" w:type="dxa"/>
          </w:tcPr>
          <w:p w14:paraId="6F88D7C5" w14:textId="17A48A43" w:rsidR="00286740" w:rsidRPr="00CE2E16" w:rsidRDefault="00C21A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>&lt;section&gt;</w:t>
            </w:r>
          </w:p>
        </w:tc>
        <w:tc>
          <w:tcPr>
            <w:tcW w:w="2150" w:type="dxa"/>
          </w:tcPr>
          <w:p w14:paraId="6FCA984D" w14:textId="319B8F9D" w:rsidR="00286740" w:rsidRPr="00CE2E16" w:rsidRDefault="00C21A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Bloque </w:t>
            </w:r>
          </w:p>
        </w:tc>
        <w:tc>
          <w:tcPr>
            <w:tcW w:w="2150" w:type="dxa"/>
          </w:tcPr>
          <w:p w14:paraId="4A41A600" w14:textId="7BADDA78" w:rsidR="00286740" w:rsidRPr="00CE2E16" w:rsidRDefault="00C21A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 xml:space="preserve">Semántico </w:t>
            </w:r>
          </w:p>
        </w:tc>
        <w:tc>
          <w:tcPr>
            <w:tcW w:w="2150" w:type="dxa"/>
          </w:tcPr>
          <w:p w14:paraId="538A3AB8" w14:textId="6538D9A6" w:rsidR="00286740" w:rsidRPr="00CE2E16" w:rsidRDefault="00C21A40" w:rsidP="00CE2E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2E16">
              <w:rPr>
                <w:rFonts w:ascii="Arial" w:hAnsi="Arial" w:cs="Arial"/>
                <w:sz w:val="24"/>
                <w:szCs w:val="24"/>
              </w:rPr>
              <w:t>Organización de contenidos por temas.</w:t>
            </w:r>
          </w:p>
        </w:tc>
      </w:tr>
    </w:tbl>
    <w:p w14:paraId="523B8650" w14:textId="77777777" w:rsidR="001F54F6" w:rsidRPr="00CE2E16" w:rsidRDefault="001F54F6" w:rsidP="00CE2E16">
      <w:pPr>
        <w:jc w:val="both"/>
        <w:rPr>
          <w:rFonts w:ascii="Arial" w:hAnsi="Arial" w:cs="Arial"/>
          <w:sz w:val="24"/>
          <w:szCs w:val="24"/>
        </w:rPr>
      </w:pPr>
    </w:p>
    <w:p w14:paraId="7CF04EA4" w14:textId="44CB5136" w:rsidR="00CE2E16" w:rsidRPr="00CE2E16" w:rsidRDefault="00CE2E16" w:rsidP="00CE2E1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E2E16">
        <w:rPr>
          <w:rFonts w:ascii="Arial" w:hAnsi="Arial" w:cs="Arial"/>
          <w:b/>
          <w:bCs/>
          <w:sz w:val="24"/>
          <w:szCs w:val="24"/>
        </w:rPr>
        <w:t xml:space="preserve">¿Semántico o Presentacional? </w:t>
      </w:r>
    </w:p>
    <w:p w14:paraId="6F8F4125" w14:textId="2F6F7382" w:rsidR="00CE2E16" w:rsidRPr="00CE2E16" w:rsidRDefault="00CE2E16" w:rsidP="00CE2E16">
      <w:pPr>
        <w:jc w:val="both"/>
        <w:rPr>
          <w:rFonts w:ascii="Arial" w:hAnsi="Arial" w:cs="Arial"/>
          <w:sz w:val="24"/>
          <w:szCs w:val="24"/>
        </w:rPr>
      </w:pPr>
      <w:r w:rsidRPr="00CE2E16">
        <w:rPr>
          <w:rFonts w:ascii="Arial" w:hAnsi="Arial" w:cs="Arial"/>
          <w:sz w:val="24"/>
          <w:szCs w:val="24"/>
        </w:rPr>
        <w:t>De tipo semántico indica el significado del contenido mientras que el tipo Presentacional solo se encarga de cambiar la apariencia visual.</w:t>
      </w:r>
    </w:p>
    <w:p w14:paraId="5FA0486A" w14:textId="77777777" w:rsidR="00CE2E16" w:rsidRPr="00CE2E16" w:rsidRDefault="00CE2E16" w:rsidP="00CE2E1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F5B237D" w14:textId="7F99A7E7" w:rsidR="00CE2E16" w:rsidRPr="00CE2E16" w:rsidRDefault="00CE2E16" w:rsidP="00CE2E1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E2E16">
        <w:rPr>
          <w:rFonts w:ascii="Arial" w:hAnsi="Arial" w:cs="Arial"/>
          <w:b/>
          <w:bCs/>
          <w:sz w:val="24"/>
          <w:szCs w:val="24"/>
        </w:rPr>
        <w:t>¿Bloque o en línea?</w:t>
      </w:r>
    </w:p>
    <w:p w14:paraId="1D456547" w14:textId="1CD21BCE" w:rsidR="00CE2E16" w:rsidRPr="00CE2E16" w:rsidRDefault="00CE2E16" w:rsidP="00CE2E16">
      <w:pPr>
        <w:jc w:val="both"/>
        <w:rPr>
          <w:rFonts w:ascii="Arial" w:hAnsi="Arial" w:cs="Arial"/>
          <w:sz w:val="24"/>
          <w:szCs w:val="24"/>
        </w:rPr>
      </w:pPr>
      <w:r w:rsidRPr="00CE2E16">
        <w:rPr>
          <w:rFonts w:ascii="Arial" w:hAnsi="Arial" w:cs="Arial"/>
          <w:sz w:val="24"/>
          <w:szCs w:val="24"/>
        </w:rPr>
        <w:t xml:space="preserve">Ocupa toda la línea y provoca salto de línea antes y después, en línea es cuando todo el texto está en una misma línea sin saltos. </w:t>
      </w:r>
    </w:p>
    <w:sectPr w:rsidR="00CE2E16" w:rsidRPr="00CE2E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10"/>
    <w:rsid w:val="001F54F6"/>
    <w:rsid w:val="00286740"/>
    <w:rsid w:val="00505474"/>
    <w:rsid w:val="006415A9"/>
    <w:rsid w:val="009B1F10"/>
    <w:rsid w:val="00AF4BAE"/>
    <w:rsid w:val="00C21A40"/>
    <w:rsid w:val="00CE2E16"/>
    <w:rsid w:val="00E8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26904"/>
  <w15:chartTrackingRefBased/>
  <w15:docId w15:val="{59D7116A-1545-4898-A243-908F29B9A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1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1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1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1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1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1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1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1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1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1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1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1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1F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1F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1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1F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1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1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1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1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1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1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1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1F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1F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1F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1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1F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1F1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86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Solis</dc:creator>
  <cp:keywords/>
  <dc:description/>
  <cp:lastModifiedBy>Milena Solis</cp:lastModifiedBy>
  <cp:revision>2</cp:revision>
  <dcterms:created xsi:type="dcterms:W3CDTF">2026-06-01T14:42:00Z</dcterms:created>
  <dcterms:modified xsi:type="dcterms:W3CDTF">2026-06-01T15:33:00Z</dcterms:modified>
</cp:coreProperties>
</file>