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pBdr>
          <w:top w:color="auto" w:space="0" w:sz="0" w:val="none"/>
          <w:left w:color="auto" w:space="0" w:sz="0" w:val="none"/>
          <w:bottom w:color="auto" w:space="7" w:sz="0" w:val="none"/>
          <w:right w:color="auto" w:space="0" w:sz="0" w:val="none"/>
        </w:pBdr>
        <w:shd w:fill="ffffff" w:val="clear"/>
        <w:spacing w:after="0" w:before="0" w:line="324.00000000000006" w:lineRule="auto"/>
        <w:rPr>
          <w:color w:val="000000"/>
          <w:sz w:val="33"/>
          <w:szCs w:val="33"/>
        </w:rPr>
      </w:pPr>
      <w:bookmarkStart w:colFirst="0" w:colLast="0" w:name="_thdbk5hhhm34" w:id="0"/>
      <w:bookmarkEnd w:id="0"/>
      <w:r w:rsidDel="00000000" w:rsidR="00000000" w:rsidRPr="00000000">
        <w:rPr>
          <w:color w:val="000000"/>
          <w:sz w:val="33"/>
          <w:szCs w:val="33"/>
          <w:rtl w:val="0"/>
        </w:rPr>
        <w:t xml:space="preserve">Métodos cualitativos para la Gestión de Riesgos</w:t>
      </w:r>
    </w:p>
    <w:p w:rsidR="00000000" w:rsidDel="00000000" w:rsidP="00000000" w:rsidRDefault="00000000" w:rsidRPr="00000000" w14:paraId="00000002">
      <w:pPr>
        <w:pBdr>
          <w:top w:color="auto" w:space="0" w:sz="0" w:val="none"/>
          <w:left w:color="auto" w:space="0" w:sz="0" w:val="none"/>
          <w:bottom w:color="auto" w:space="11" w:sz="0" w:val="none"/>
          <w:right w:color="auto" w:space="0" w:sz="0" w:val="none"/>
        </w:pBdr>
        <w:shd w:fill="ffffff" w:val="clear"/>
        <w:spacing w:line="455.99999999999994" w:lineRule="auto"/>
        <w:rPr>
          <w:color w:val="5b5b5b"/>
          <w:sz w:val="27"/>
          <w:szCs w:val="27"/>
        </w:rPr>
      </w:pPr>
      <w:r w:rsidDel="00000000" w:rsidR="00000000" w:rsidRPr="00000000">
        <w:rPr>
          <w:color w:val="5b5b5b"/>
          <w:sz w:val="27"/>
          <w:szCs w:val="27"/>
          <w:rtl w:val="0"/>
        </w:rPr>
        <w:t xml:space="preserve">Para la medición de los riesgos se puede recurrir a métodos cualitativos y cuantitativos. Entre los métodos cualitativos se encuentran los siguientes:</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Listas de chequeo o listas de comprobación (check list).</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Análisis del árbol de fallos (fault tree analysis).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Análisis de seguridad de tareas.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Análisis de peligros y operatividad (hazard operability analysis, HAZOP).</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Diagrama de Ishikawa.</w:t>
      </w:r>
    </w:p>
    <w:p w:rsidR="00000000" w:rsidDel="00000000" w:rsidP="00000000" w:rsidRDefault="00000000" w:rsidRPr="00000000" w14:paraId="00000008">
      <w:pPr>
        <w:pStyle w:val="Heading5"/>
        <w:keepNext w:val="0"/>
        <w:keepLines w:val="0"/>
        <w:pBdr>
          <w:top w:color="auto" w:space="0" w:sz="0" w:val="none"/>
          <w:left w:color="auto" w:space="0" w:sz="0" w:val="none"/>
          <w:bottom w:color="auto" w:space="7" w:sz="0" w:val="none"/>
          <w:right w:color="auto" w:space="0" w:sz="0" w:val="none"/>
        </w:pBdr>
        <w:shd w:fill="ffffff" w:val="clear"/>
        <w:spacing w:after="0" w:before="0" w:line="324.00000000000006" w:lineRule="auto"/>
        <w:rPr>
          <w:color w:val="000000"/>
          <w:sz w:val="33"/>
          <w:szCs w:val="33"/>
        </w:rPr>
      </w:pPr>
      <w:bookmarkStart w:colFirst="0" w:colLast="0" w:name="_n6sx726pil2n" w:id="1"/>
      <w:bookmarkEnd w:id="1"/>
      <w:r w:rsidDel="00000000" w:rsidR="00000000" w:rsidRPr="00000000">
        <w:rPr>
          <w:color w:val="000000"/>
          <w:sz w:val="33"/>
          <w:szCs w:val="33"/>
          <w:rtl w:val="0"/>
        </w:rPr>
        <w:t xml:space="preserve">Métodos cuantitativos para el Risk Management</w:t>
      </w:r>
    </w:p>
    <w:p w:rsidR="00000000" w:rsidDel="00000000" w:rsidP="00000000" w:rsidRDefault="00000000" w:rsidRPr="00000000" w14:paraId="00000009">
      <w:pPr>
        <w:pBdr>
          <w:top w:color="auto" w:space="0" w:sz="0" w:val="none"/>
          <w:left w:color="auto" w:space="0" w:sz="0" w:val="none"/>
          <w:bottom w:color="auto" w:space="11" w:sz="0" w:val="none"/>
          <w:right w:color="auto" w:space="0" w:sz="0" w:val="none"/>
        </w:pBdr>
        <w:shd w:fill="ffffff" w:val="clear"/>
        <w:spacing w:line="455.99999999999994" w:lineRule="auto"/>
        <w:rPr>
          <w:color w:val="5b5b5b"/>
          <w:sz w:val="27"/>
          <w:szCs w:val="27"/>
        </w:rPr>
      </w:pPr>
      <w:r w:rsidDel="00000000" w:rsidR="00000000" w:rsidRPr="00000000">
        <w:rPr>
          <w:color w:val="5b5b5b"/>
          <w:sz w:val="27"/>
          <w:szCs w:val="27"/>
          <w:rtl w:val="0"/>
        </w:rPr>
        <w:t xml:space="preserve">Entre los métodos cuantitativos con los que dispone la Gestión de Riesgos se encuentran los siguientes:</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Análisis del árbol de efectos (event tree analysis).</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Método de valoración del riesgo, de William Fine.</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Método de valoración del riesgo, de R. Pickers.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Método de valoración del riesgo, de Welberg Anders.</w:t>
      </w:r>
    </w:p>
    <w:p w:rsidR="00000000" w:rsidDel="00000000" w:rsidP="00000000" w:rsidRDefault="00000000" w:rsidRPr="00000000" w14:paraId="0000000E">
      <w:pPr>
        <w:pBdr>
          <w:top w:color="auto" w:space="0" w:sz="0" w:val="none"/>
          <w:left w:color="auto" w:space="0" w:sz="0" w:val="none"/>
          <w:bottom w:color="auto" w:space="11" w:sz="0" w:val="none"/>
          <w:right w:color="auto" w:space="0" w:sz="0" w:val="none"/>
        </w:pBdr>
        <w:shd w:fill="ffffff" w:val="clear"/>
        <w:spacing w:line="455.99999999999994" w:lineRule="auto"/>
        <w:rPr>
          <w:color w:val="5b5b5b"/>
          <w:sz w:val="27"/>
          <w:szCs w:val="27"/>
        </w:rPr>
      </w:pPr>
      <w:r w:rsidDel="00000000" w:rsidR="00000000" w:rsidRPr="00000000">
        <w:rPr>
          <w:color w:val="5b5b5b"/>
          <w:sz w:val="27"/>
          <w:szCs w:val="27"/>
          <w:rtl w:val="0"/>
        </w:rPr>
        <w:t xml:space="preserve">Los datos pueden ser volcados en herramientas como el semáforo del riesgo, que exhibe el riesgo que implica los riesgos financieros en una escala con seis indicativos de verde oscuro (grado 1, menor riesgo) a rojo intenso (grado 6, mayor riesgo). De este modo, el consumidor puede saber de un solo vistazo si se encuentra ante un producto financiero seguro o no. El semáforo del riesgo es aplicado en entidades de asesoramiento de inversión, aseguradoras, bancos o gestoras de fondos de pensiones. Esta clasificación va acompañada de distintas alertas, según la complejidad o grado de liquidez del producto.</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b5b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b5b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