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top w:color="auto" w:space="7" w:sz="0" w:val="none"/>
          <w:left w:color="auto" w:space="0" w:sz="0" w:val="none"/>
          <w:bottom w:color="auto" w:space="7" w:sz="0" w:val="none"/>
          <w:right w:color="auto" w:space="0" w:sz="0" w:val="none"/>
          <w:between w:color="auto" w:space="7" w:sz="0" w:val="none"/>
        </w:pBdr>
        <w:shd w:fill="ffffff" w:val="clear"/>
        <w:spacing w:after="0" w:before="0" w:line="240" w:lineRule="auto"/>
        <w:rPr>
          <w:rFonts w:ascii="Montserrat" w:cs="Montserrat" w:eastAsia="Montserrat" w:hAnsi="Montserrat"/>
          <w:b w:val="1"/>
          <w:color w:val="091865"/>
          <w:sz w:val="30"/>
          <w:szCs w:val="30"/>
        </w:rPr>
      </w:pPr>
      <w:bookmarkStart w:colFirst="0" w:colLast="0" w:name="_p0o6fk6hvacq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color w:val="091865"/>
          <w:sz w:val="30"/>
          <w:szCs w:val="30"/>
          <w:rtl w:val="0"/>
        </w:rPr>
        <w:t xml:space="preserve">configurar el firewall de Windows 10 para estar protegido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Vamos a seguir este tutorial: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Cómo configurar el firewall de Windows 10 para navegar con seguridad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redeszone.net/tutoriales/seguridad/configuracion-firewall-windows-10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