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r w:rsidR="00C10D9E">
        <w:t>Lecocq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r w:rsidR="00486729">
        <w:fldChar w:fldCharType="begin"/>
      </w:r>
      <w:r w:rsidR="00486729">
        <w:instrText xml:space="preserve"> SEQ Table \* ARABIC </w:instrText>
      </w:r>
      <w:r w:rsidR="00486729">
        <w:fldChar w:fldCharType="separate"/>
      </w:r>
      <w:r>
        <w:rPr>
          <w:noProof/>
        </w:rPr>
        <w:t>1</w:t>
      </w:r>
      <w:r w:rsidR="00486729">
        <w:rPr>
          <w:noProof/>
        </w:rPr>
        <w:fldChar w:fldCharType="end"/>
      </w:r>
      <w:r>
        <w:t>: Key Lockdown events from March 2020 to August 2021</w:t>
      </w:r>
      <w:r w:rsidR="00A32D94">
        <w:t xml:space="preserve"> (IfG,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“Eat out to help out” scheme with discounts on meals at restuarants</w:t>
            </w:r>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(Euronews,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(Nivette,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(Ramalho,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(Buil-Gil,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(Mlambo-Ngcuka, 2020)</w:t>
      </w:r>
      <w:r w:rsidR="00C35671">
        <w:t xml:space="preserve">. </w:t>
      </w:r>
      <w:r w:rsidR="00911A34">
        <w:t xml:space="preserve">Unfortunately, gender-based violence is known to rise during emergency periods (Unicef,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t>
      </w:r>
      <w:r w:rsidR="00911A34">
        <w:t>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3A299D7"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 predictive models such as </w:t>
      </w:r>
      <w:r w:rsidR="00774B1A" w:rsidRPr="00774B1A">
        <w:t>Auto</w:t>
      </w:r>
      <w:r w:rsidR="00774B1A">
        <w:t>-</w:t>
      </w:r>
      <w:r w:rsidR="00774B1A" w:rsidRPr="00774B1A">
        <w:t>Regressive Integrated Moving Average</w:t>
      </w:r>
      <w:r w:rsidR="00774B1A">
        <w:t xml:space="preserve"> 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77777777" w:rsidR="00386510" w:rsidRDefault="00386510" w:rsidP="002C1DFF"/>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lastRenderedPageBreak/>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9" w:history="1">
        <w:r w:rsidRPr="00E61B93">
          <w:rPr>
            <w:rStyle w:val="Hyperlink"/>
          </w:rPr>
          <w:t>https://www.apa.org/monitor/2021/03/substance-use-pandemic</w:t>
        </w:r>
      </w:hyperlink>
      <w:r>
        <w:t xml:space="preserve"> accessed [01/07/22]</w:t>
      </w:r>
    </w:p>
    <w:p w14:paraId="10D8074F" w14:textId="139E9CD7" w:rsidR="00F66B7A" w:rsidRDefault="00F66B7A" w:rsidP="001B739B">
      <w:r>
        <w:t>Buil-Gil, D. Miró-Llinares, F. Moneva, A., Kemp, S. Díaz-Castaño,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0" w:history="1">
        <w:r w:rsidRPr="00C9274D">
          <w:rPr>
            <w:rStyle w:val="Hyperlink"/>
          </w:rPr>
          <w:t>https://doi.org/10.1186/2193-7680-1-3</w:t>
        </w:r>
      </w:hyperlink>
      <w:r>
        <w:t xml:space="preserve"> accessed [30/06/22]</w:t>
      </w:r>
    </w:p>
    <w:p w14:paraId="1AF4427D" w14:textId="2FD1842E"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1" w:history="1">
        <w:r w:rsidRPr="00E61B93">
          <w:rPr>
            <w:rStyle w:val="Hyperlink"/>
          </w:rPr>
          <w:t>https://www.crew.scot/covid-19-survey-month-one-summary/</w:t>
        </w:r>
      </w:hyperlink>
      <w:r>
        <w:t xml:space="preserve"> accessed [01/07/22]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2"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3"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t xml:space="preserve">Euronews.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4"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t xml:space="preserve">Farrell, G. and N. Tilley. </w:t>
      </w:r>
      <w:r w:rsidR="000063F7">
        <w:t>(</w:t>
      </w:r>
      <w:r>
        <w:t>2020</w:t>
      </w:r>
      <w:r w:rsidR="000063F7">
        <w:t>)</w:t>
      </w:r>
      <w:r w:rsidR="00321125">
        <w:t>.</w:t>
      </w:r>
      <w:r>
        <w:t xml:space="preserve"> Coronavirus: How crime changes during a lockdown. The Conversation, 02 April. </w:t>
      </w:r>
      <w:hyperlink r:id="rId15"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Giufrida, A., Smith, H., Ford, L. (2020). Lockdowns around the world bring rise in domestic violence. </w:t>
      </w:r>
      <w:hyperlink r:id="rId16"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w:t>
      </w:r>
      <w:r>
        <w:t>Lockdowns around the world bring rise in domestic violence</w:t>
      </w:r>
      <w:r>
        <w:t xml:space="preserve">. </w:t>
      </w:r>
      <w:hyperlink r:id="rId17" w:history="1">
        <w:r w:rsidRPr="00E61B93">
          <w:rPr>
            <w:rStyle w:val="Hyperlink"/>
          </w:rPr>
          <w:t>https://womendeliver.org/press/lockdowns-around-the-world-bring-rise-in-domestic-violence/</w:t>
        </w:r>
      </w:hyperlink>
      <w:r>
        <w:t xml:space="preserve"> accessed [01/07/22]</w:t>
      </w:r>
      <w:r w:rsidR="00A53A6B">
        <w:br/>
      </w:r>
      <w:r w:rsidR="00240747">
        <w:br/>
        <w:t xml:space="preserve">Institute for Government (IfG).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18"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19"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xml:space="preserve">. Six months in: Pandemic Crime trends in England and Wales. </w:t>
      </w:r>
      <w:r w:rsidR="00AD62E9">
        <w:lastRenderedPageBreak/>
        <w:t>Doi:</w:t>
      </w:r>
      <w:r w:rsidR="00AD62E9" w:rsidRPr="00AD62E9">
        <w:t xml:space="preserve"> </w:t>
      </w:r>
      <w:hyperlink r:id="rId20" w:history="1">
        <w:r w:rsidR="00AD62E9" w:rsidRPr="000038A1">
          <w:rPr>
            <w:rStyle w:val="Hyperlink"/>
          </w:rPr>
          <w:t>https://doi.org/10.1186/s40163-021-00142-z</w:t>
        </w:r>
      </w:hyperlink>
      <w:r w:rsidR="00AD62E9">
        <w:t xml:space="preserve"> accessed [29/06/22]</w:t>
      </w:r>
      <w:r w:rsidR="00DD6583">
        <w:br/>
      </w:r>
      <w:r w:rsidR="00D47C6C">
        <w:br/>
        <w:t xml:space="preserve">Lecocq,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1"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w:t>
      </w:r>
      <w:r>
        <w:t>The Impact of COVID-19 on Crime: A Study from the Spatial-temporal Perspective in the Montgomery County, AL</w:t>
      </w:r>
      <w:r>
        <w:t xml:space="preserve">. </w:t>
      </w:r>
      <w:hyperlink r:id="rId22"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 xml:space="preserve">Mlambo-Ngcuka, P. </w:t>
      </w:r>
      <w:r w:rsidR="000063F7">
        <w:t>(</w:t>
      </w:r>
      <w:r>
        <w:t>2020</w:t>
      </w:r>
      <w:r w:rsidR="000063F7">
        <w:t>)</w:t>
      </w:r>
      <w:r>
        <w:t xml:space="preserve">. Violence against women and girls: The shadow pandemic. </w:t>
      </w:r>
      <w:hyperlink r:id="rId23" w:history="1">
        <w:r w:rsidRPr="00E61B93">
          <w:rPr>
            <w:rStyle w:val="Hyperlink"/>
          </w:rPr>
          <w:t>https://www.unwomen.org/en/news/stories/2020/4/statement-ed-phumzile-violence-against-women-during-pandemic</w:t>
        </w:r>
      </w:hyperlink>
      <w:r>
        <w:t xml:space="preserve"> accessed [01/07/22]</w:t>
      </w:r>
      <w:r w:rsidR="00DD6583">
        <w:br/>
      </w:r>
      <w:r w:rsidR="00B640E3">
        <w:br/>
      </w:r>
      <w:r w:rsidR="00B640E3" w:rsidRPr="00B640E3">
        <w:t>Nivette, A.E., Zahnow,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Behav 5, 868–877</w:t>
      </w:r>
      <w:r w:rsidR="00B640E3">
        <w:t xml:space="preserve"> </w:t>
      </w:r>
      <w:hyperlink r:id="rId24"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5"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6"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7"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w:t>
      </w:r>
      <w:r>
        <w:t>COVID-19 AND VIOLENT CRIME: A COMPARISON OF RECORDED</w:t>
      </w:r>
      <w:r>
        <w:t xml:space="preserve"> </w:t>
      </w:r>
      <w:r>
        <w:t>OFFENCE RATES AND DYNAMIC FORECASTS (ARIMA) FOR MARCH</w:t>
      </w:r>
      <w:r>
        <w:t xml:space="preserve"> </w:t>
      </w:r>
      <w:r>
        <w:t>2020 IN QUEENSLAND, AUSTRALIA</w:t>
      </w:r>
      <w:r>
        <w:t xml:space="preserve">. </w:t>
      </w:r>
      <w:hyperlink r:id="rId28" w:history="1">
        <w:r w:rsidRPr="00E61B93">
          <w:rPr>
            <w:rStyle w:val="Hyperlink"/>
          </w:rPr>
          <w:t>https://osf.io/preprints/socarxiv/g4kh7/</w:t>
        </w:r>
      </w:hyperlink>
      <w:r>
        <w:t xml:space="preserve"> accessed [01/07/22]</w:t>
      </w:r>
    </w:p>
    <w:p w14:paraId="749D1B11" w14:textId="3BB1C3BF" w:rsidR="0006357B" w:rsidRDefault="0006357B" w:rsidP="0006357B">
      <w:r>
        <w:t>Ramalho</w:t>
      </w:r>
      <w:r>
        <w:t>,</w:t>
      </w:r>
      <w:r>
        <w:t xml:space="preserve"> R. </w:t>
      </w:r>
      <w:r w:rsidR="000063F7">
        <w:t>(</w:t>
      </w:r>
      <w:r>
        <w:t>2020</w:t>
      </w:r>
      <w:r w:rsidR="000063F7">
        <w:t>)</w:t>
      </w:r>
      <w:r>
        <w:t xml:space="preserve">. </w:t>
      </w:r>
      <w:r>
        <w:t>Alcohol consumption and alcohol-related problems during the COVID-19 pandemic: a narrative review. Australasian Psychiatry. 2020;28(5):524-526. doi:10.1177/1039856220943024</w:t>
      </w:r>
    </w:p>
    <w:p w14:paraId="66E83C9D" w14:textId="3A188D92" w:rsidR="002A2020" w:rsidRDefault="002A2020" w:rsidP="002A2020">
      <w:r>
        <w:t>Sri AS, Das P, Gnanapragasam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29"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0"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r>
        <w:lastRenderedPageBreak/>
        <w:t xml:space="preserve">Unicef. (2022). Gender-based violence in emergencies. </w:t>
      </w:r>
      <w:hyperlink r:id="rId31"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2"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33C0" w14:textId="77777777" w:rsidR="00486729" w:rsidRDefault="00486729" w:rsidP="001737E6">
      <w:pPr>
        <w:spacing w:after="0" w:line="240" w:lineRule="auto"/>
      </w:pPr>
      <w:r>
        <w:separator/>
      </w:r>
    </w:p>
  </w:endnote>
  <w:endnote w:type="continuationSeparator" w:id="0">
    <w:p w14:paraId="75E50036" w14:textId="77777777" w:rsidR="00486729" w:rsidRDefault="00486729"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6D56" w14:textId="77777777" w:rsidR="00486729" w:rsidRDefault="00486729" w:rsidP="001737E6">
      <w:pPr>
        <w:spacing w:after="0" w:line="240" w:lineRule="auto"/>
      </w:pPr>
      <w:r>
        <w:separator/>
      </w:r>
    </w:p>
  </w:footnote>
  <w:footnote w:type="continuationSeparator" w:id="0">
    <w:p w14:paraId="6DBEC270" w14:textId="77777777" w:rsidR="00486729" w:rsidRDefault="00486729"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3199"/>
    <w:rsid w:val="0006357B"/>
    <w:rsid w:val="00073475"/>
    <w:rsid w:val="000A375E"/>
    <w:rsid w:val="000C185E"/>
    <w:rsid w:val="000D06BB"/>
    <w:rsid w:val="000D3457"/>
    <w:rsid w:val="00121A53"/>
    <w:rsid w:val="00126D79"/>
    <w:rsid w:val="0015155A"/>
    <w:rsid w:val="00157840"/>
    <w:rsid w:val="001607B2"/>
    <w:rsid w:val="001737E6"/>
    <w:rsid w:val="001B38D8"/>
    <w:rsid w:val="001B739B"/>
    <w:rsid w:val="001D089B"/>
    <w:rsid w:val="001F61C4"/>
    <w:rsid w:val="00210471"/>
    <w:rsid w:val="00240747"/>
    <w:rsid w:val="002501E7"/>
    <w:rsid w:val="002A0A90"/>
    <w:rsid w:val="002A2020"/>
    <w:rsid w:val="002C1DFF"/>
    <w:rsid w:val="002F08CF"/>
    <w:rsid w:val="002F75E6"/>
    <w:rsid w:val="00306693"/>
    <w:rsid w:val="00321125"/>
    <w:rsid w:val="00322604"/>
    <w:rsid w:val="00322CE7"/>
    <w:rsid w:val="00331639"/>
    <w:rsid w:val="00386510"/>
    <w:rsid w:val="00396330"/>
    <w:rsid w:val="004032A3"/>
    <w:rsid w:val="00460BA8"/>
    <w:rsid w:val="004855D6"/>
    <w:rsid w:val="00486729"/>
    <w:rsid w:val="00486C87"/>
    <w:rsid w:val="004954BE"/>
    <w:rsid w:val="004C77F1"/>
    <w:rsid w:val="004E5D78"/>
    <w:rsid w:val="004F27FF"/>
    <w:rsid w:val="00512680"/>
    <w:rsid w:val="0053787B"/>
    <w:rsid w:val="00542863"/>
    <w:rsid w:val="0054648B"/>
    <w:rsid w:val="005652C6"/>
    <w:rsid w:val="0059608F"/>
    <w:rsid w:val="00596DE2"/>
    <w:rsid w:val="005C314E"/>
    <w:rsid w:val="005D4009"/>
    <w:rsid w:val="005F26B1"/>
    <w:rsid w:val="00602811"/>
    <w:rsid w:val="00654707"/>
    <w:rsid w:val="00673760"/>
    <w:rsid w:val="006B3077"/>
    <w:rsid w:val="006D6F72"/>
    <w:rsid w:val="007007B9"/>
    <w:rsid w:val="0070343D"/>
    <w:rsid w:val="0071149C"/>
    <w:rsid w:val="00774B1A"/>
    <w:rsid w:val="007913AB"/>
    <w:rsid w:val="007C314B"/>
    <w:rsid w:val="007F27BB"/>
    <w:rsid w:val="00831688"/>
    <w:rsid w:val="008550D5"/>
    <w:rsid w:val="0086350D"/>
    <w:rsid w:val="0087744B"/>
    <w:rsid w:val="008A23BF"/>
    <w:rsid w:val="008D5FF8"/>
    <w:rsid w:val="008D6ED4"/>
    <w:rsid w:val="00903A73"/>
    <w:rsid w:val="00911A34"/>
    <w:rsid w:val="0095111F"/>
    <w:rsid w:val="009A156D"/>
    <w:rsid w:val="009D5FF6"/>
    <w:rsid w:val="009F1FCB"/>
    <w:rsid w:val="009F51D9"/>
    <w:rsid w:val="00A07701"/>
    <w:rsid w:val="00A32D94"/>
    <w:rsid w:val="00A53A6B"/>
    <w:rsid w:val="00AD4AD6"/>
    <w:rsid w:val="00AD62E9"/>
    <w:rsid w:val="00AF1C20"/>
    <w:rsid w:val="00AF2223"/>
    <w:rsid w:val="00B036AC"/>
    <w:rsid w:val="00B14003"/>
    <w:rsid w:val="00B41C9F"/>
    <w:rsid w:val="00B640E3"/>
    <w:rsid w:val="00BA074C"/>
    <w:rsid w:val="00C10D9E"/>
    <w:rsid w:val="00C229A4"/>
    <w:rsid w:val="00C35671"/>
    <w:rsid w:val="00C416AC"/>
    <w:rsid w:val="00C57E92"/>
    <w:rsid w:val="00C77DDB"/>
    <w:rsid w:val="00C82F25"/>
    <w:rsid w:val="00C860BE"/>
    <w:rsid w:val="00C95E72"/>
    <w:rsid w:val="00CA3BFF"/>
    <w:rsid w:val="00CC288F"/>
    <w:rsid w:val="00CE5AF6"/>
    <w:rsid w:val="00D03525"/>
    <w:rsid w:val="00D070B4"/>
    <w:rsid w:val="00D40C2C"/>
    <w:rsid w:val="00D47C6C"/>
    <w:rsid w:val="00D5379C"/>
    <w:rsid w:val="00D950ED"/>
    <w:rsid w:val="00DD6583"/>
    <w:rsid w:val="00DF02E4"/>
    <w:rsid w:val="00E478C8"/>
    <w:rsid w:val="00E5542A"/>
    <w:rsid w:val="00E6046B"/>
    <w:rsid w:val="00E825AB"/>
    <w:rsid w:val="00E95C6D"/>
    <w:rsid w:val="00EA3C28"/>
    <w:rsid w:val="00ED6E9B"/>
    <w:rsid w:val="00F33306"/>
    <w:rsid w:val="00F51488"/>
    <w:rsid w:val="00F543F9"/>
    <w:rsid w:val="00F569CC"/>
    <w:rsid w:val="00F66B7A"/>
    <w:rsid w:val="00F80F7F"/>
    <w:rsid w:val="00FA4A2D"/>
    <w:rsid w:val="00FC4046"/>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18" Type="http://schemas.openxmlformats.org/officeDocument/2006/relationships/hyperlink" Target="https://www.instituteforgovernment.org.uk/charts/uk-government-coronavirus-lockdowns" TargetMode="External"/><Relationship Id="rId26" Type="http://schemas.openxmlformats.org/officeDocument/2006/relationships/hyperlink" Target="https://www.ons.gov.uk/employmentandlabourmarket/peopleinwork/employmentandemployeetypes/articles/anoverviewofworkerswhowerefurloughedintheuk/october2021" TargetMode="External"/><Relationship Id="rId3" Type="http://schemas.openxmlformats.org/officeDocument/2006/relationships/styles" Target="styles.xml"/><Relationship Id="rId21" Type="http://schemas.openxmlformats.org/officeDocument/2006/relationships/hyperlink" Target="https://www.science.org/doi/10.1126/science.abd243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sets.publishing.service.gov.uk/government/uploads/system/uploads/attachment_data/file/878046/COVID-19_Press_Conference_Slides_-_03_04_2020.pdf" TargetMode="External"/><Relationship Id="rId17" Type="http://schemas.openxmlformats.org/officeDocument/2006/relationships/hyperlink" Target="https://womendeliver.org/press/lockdowns-around-the-world-bring-rise-in-domestic-violence/" TargetMode="External"/><Relationship Id="rId25" Type="http://schemas.openxmlformats.org/officeDocument/2006/relationships/hyperlink" Target="https://www.gov.uk/government/statistics/substance-misuse-treatment-for-adults-statistics-2020-to-2021/adult-substance-misuse-treatment-statistics-2020-to-2021-report"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guardian.com/society/2020/mar/28/lockdowns-world-rise-domestic-violence" TargetMode="External"/><Relationship Id="rId20" Type="http://schemas.openxmlformats.org/officeDocument/2006/relationships/hyperlink" Target="https://doi.org/10.1186/s40163-021-00142-z" TargetMode="External"/><Relationship Id="rId29" Type="http://schemas.openxmlformats.org/officeDocument/2006/relationships/hyperlink" Target="https://www.nytimes.com/interactive/2020/07/02/world/europe/uk-coronavirus-domestic-abu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w.scot/covid-19-survey-month-one-summary/" TargetMode="External"/><Relationship Id="rId24" Type="http://schemas.openxmlformats.org/officeDocument/2006/relationships/hyperlink" Target="https://doi.org/10.1038/s41562-021-01139-z" TargetMode="External"/><Relationship Id="rId32" Type="http://schemas.openxmlformats.org/officeDocument/2006/relationships/hyperlink" Target="https://www.womensaid.org.uk/wp-content/uploads/2021/11/Shadow_Pandemic_Report_FINAL.pdf" TargetMode="External"/><Relationship Id="rId5" Type="http://schemas.openxmlformats.org/officeDocument/2006/relationships/webSettings" Target="webSettings.xml"/><Relationship Id="rId15" Type="http://schemas.openxmlformats.org/officeDocument/2006/relationships/hyperlink" Target="https://theconversation.com/coronavirus-how-crime-changes-during-a-lockdown-134948" TargetMode="External"/><Relationship Id="rId23" Type="http://schemas.openxmlformats.org/officeDocument/2006/relationships/hyperlink" Target="https://www.unwomen.org/en/news/stories/2020/4/statement-ed-phumzile-violence-against-women-during-pandemic" TargetMode="External"/><Relationship Id="rId28" Type="http://schemas.openxmlformats.org/officeDocument/2006/relationships/hyperlink" Target="https://osf.io/preprints/socarxiv/g4kh7/" TargetMode="External"/><Relationship Id="rId10" Type="http://schemas.openxmlformats.org/officeDocument/2006/relationships/hyperlink" Target="https://doi.org/10.1186/2193-7680-1-3" TargetMode="External"/><Relationship Id="rId19" Type="http://schemas.openxmlformats.org/officeDocument/2006/relationships/hyperlink" Target="https://www.gov.uk/government/speeches/pm-statement-on-coronavirus-25-march-2020" TargetMode="External"/><Relationship Id="rId31" Type="http://schemas.openxmlformats.org/officeDocument/2006/relationships/hyperlink" Target="https://www.unicef.org/protection/gender-based-violence-in-emergencies" TargetMode="External"/><Relationship Id="rId4" Type="http://schemas.openxmlformats.org/officeDocument/2006/relationships/settings" Target="settings.xml"/><Relationship Id="rId9" Type="http://schemas.openxmlformats.org/officeDocument/2006/relationships/hyperlink" Target="https://www.apa.org/monitor/2021/03/substance-use-pandemic" TargetMode="External"/><Relationship Id="rId14" Type="http://schemas.openxmlformats.org/officeDocument/2006/relationships/hyperlink" Target="https://www.euronews.com/2020/04/02/coronavirus-in-europe-spain-s-death-toll-hits-10-000-after-record-950-new-deaths-in-24-hou" TargetMode="External"/><Relationship Id="rId22" Type="http://schemas.openxmlformats.org/officeDocument/2006/relationships/hyperlink" Target="https://pesquisa.bvsalud.org/global-literature-on-novel-coronavirus-2019-ncov/resource/pt/covidwho-1798809" TargetMode="External"/><Relationship Id="rId27" Type="http://schemas.openxmlformats.org/officeDocument/2006/relationships/hyperlink" Target="https://www.ons.gov.uk/economy/economicoutputandproductivity/output/articles/theimpactofthecoronavirussofartheindustriesthatstruggledorrecovered/2020-12-09" TargetMode="External"/><Relationship Id="rId30" Type="http://schemas.openxmlformats.org/officeDocument/2006/relationships/hyperlink" Target="https://www.gov.uk/government/news/police-given-new-powers-and-support-to-respond-to-coronavirus" TargetMode="External"/><Relationship Id="rId35" Type="http://schemas.openxmlformats.org/officeDocument/2006/relationships/theme" Target="theme/theme1.xml"/><Relationship Id="rId8" Type="http://schemas.openxmlformats.org/officeDocument/2006/relationships/hyperlink" Target="https://data.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82</cp:revision>
  <dcterms:created xsi:type="dcterms:W3CDTF">2022-06-29T10:35:00Z</dcterms:created>
  <dcterms:modified xsi:type="dcterms:W3CDTF">2022-07-01T15:22:00Z</dcterms:modified>
</cp:coreProperties>
</file>