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1CFD0E2A"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r w:rsidRPr="00074A7E">
          <w:rPr>
            <w:rStyle w:val="Hyperlink"/>
            <w:lang w:val="en-GB"/>
          </w:rPr>
          <w:t>/</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In general, the problems come down to the level of granularity that the data is looked at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 xml:space="preserve">This problem is also present within the other variables, a particularly area to investigate would have been within ‘Violence and Sexual Offences’. During my research I found many instances of domestic violence increasing.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204597D2"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Regardless of the fact both are rural? </w:t>
      </w:r>
      <w:r w:rsidR="001F498F">
        <w:rPr>
          <w:rStyle w:val="Hyperlink"/>
          <w:color w:val="auto"/>
          <w:u w:val="none"/>
          <w:lang w:val="en-GB"/>
        </w:rPr>
        <w:t xml:space="preserve">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w:t>
      </w:r>
      <w:r w:rsidR="001F498F">
        <w:rPr>
          <w:rStyle w:val="Hyperlink"/>
          <w:color w:val="auto"/>
          <w:u w:val="none"/>
          <w:lang w:val="en-GB"/>
        </w:rPr>
        <w:lastRenderedPageBreak/>
        <w:t xml:space="preserve">constabularies could have provided more in-depth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691DC9C6" w14:textId="77777777" w:rsidR="001C5D43" w:rsidRPr="006676E8" w:rsidRDefault="001C5D43" w:rsidP="00A54B68"/>
    <w:p w14:paraId="61EF0806" w14:textId="47E3DABD" w:rsidR="00073165" w:rsidRDefault="00073165" w:rsidP="00A54B68">
      <w:pPr>
        <w:rPr>
          <w:u w:val="single"/>
        </w:rPr>
      </w:pPr>
      <w:r w:rsidRPr="00073165">
        <w:rPr>
          <w:u w:val="single"/>
        </w:rPr>
        <w:t>References</w:t>
      </w:r>
      <w:r w:rsidR="00142372">
        <w:rPr>
          <w:u w:val="single"/>
        </w:rPr>
        <w:t>:</w:t>
      </w:r>
    </w:p>
    <w:p w14:paraId="451D821D" w14:textId="642F6DB9"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[30/06/22]</w:t>
      </w:r>
    </w:p>
    <w:p w14:paraId="0869A2C9" w14:textId="2C44BDBB" w:rsidR="00A53624" w:rsidRDefault="00A53624" w:rsidP="00A53624">
      <w:r>
        <w:t xml:space="preserve">Farrell, G., N. Tilley. (2020). Coronavirus: How crime changes during a lockdown. The Conversation, 02 April. </w:t>
      </w:r>
      <w:hyperlink r:id="rId10" w:history="1">
        <w:r>
          <w:rPr>
            <w:rStyle w:val="Hyperlink"/>
          </w:rPr>
          <w:t>Coronavirus: how crime changes during a lockdown (theconversation.com)</w:t>
        </w:r>
      </w:hyperlink>
      <w:r>
        <w:t xml:space="preserve"> accessed [30/06/22]</w:t>
      </w:r>
    </w:p>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1"/>
      <w:footerReference w:type="default" r:id="rId12"/>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0D80" w14:textId="77777777" w:rsidR="00723017" w:rsidRDefault="00723017">
      <w:pPr>
        <w:spacing w:before="0" w:after="0"/>
      </w:pPr>
      <w:r>
        <w:separator/>
      </w:r>
    </w:p>
  </w:endnote>
  <w:endnote w:type="continuationSeparator" w:id="0">
    <w:p w14:paraId="0A68E168" w14:textId="77777777" w:rsidR="00723017" w:rsidRDefault="007230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05A6" w14:textId="77777777" w:rsidR="00723017" w:rsidRDefault="00723017">
      <w:pPr>
        <w:spacing w:before="0" w:after="0"/>
      </w:pPr>
      <w:r>
        <w:separator/>
      </w:r>
    </w:p>
  </w:footnote>
  <w:footnote w:type="continuationSeparator" w:id="0">
    <w:p w14:paraId="5B7B3957" w14:textId="77777777" w:rsidR="00723017" w:rsidRDefault="0072301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22088"/>
    <w:rsid w:val="0002770C"/>
    <w:rsid w:val="000308DA"/>
    <w:rsid w:val="0006241F"/>
    <w:rsid w:val="00073165"/>
    <w:rsid w:val="00091C31"/>
    <w:rsid w:val="000C36C4"/>
    <w:rsid w:val="000D7717"/>
    <w:rsid w:val="000E00A9"/>
    <w:rsid w:val="000E2E1D"/>
    <w:rsid w:val="001060B4"/>
    <w:rsid w:val="00106A4D"/>
    <w:rsid w:val="00122330"/>
    <w:rsid w:val="00125732"/>
    <w:rsid w:val="00142372"/>
    <w:rsid w:val="001433C8"/>
    <w:rsid w:val="0014729A"/>
    <w:rsid w:val="00150D8E"/>
    <w:rsid w:val="001709E4"/>
    <w:rsid w:val="0019543A"/>
    <w:rsid w:val="001976CA"/>
    <w:rsid w:val="001C5D43"/>
    <w:rsid w:val="001D7D29"/>
    <w:rsid w:val="001F30E5"/>
    <w:rsid w:val="001F498F"/>
    <w:rsid w:val="001F76F3"/>
    <w:rsid w:val="00204B76"/>
    <w:rsid w:val="002075D0"/>
    <w:rsid w:val="00224ADF"/>
    <w:rsid w:val="00247C39"/>
    <w:rsid w:val="00261C71"/>
    <w:rsid w:val="00262095"/>
    <w:rsid w:val="00275F57"/>
    <w:rsid w:val="00276C91"/>
    <w:rsid w:val="00280A11"/>
    <w:rsid w:val="00281DCE"/>
    <w:rsid w:val="002A361B"/>
    <w:rsid w:val="002B7391"/>
    <w:rsid w:val="002C0986"/>
    <w:rsid w:val="002C5948"/>
    <w:rsid w:val="002D011C"/>
    <w:rsid w:val="002E1445"/>
    <w:rsid w:val="002E412B"/>
    <w:rsid w:val="00361CAB"/>
    <w:rsid w:val="00375289"/>
    <w:rsid w:val="003A60CD"/>
    <w:rsid w:val="003A7952"/>
    <w:rsid w:val="003E4185"/>
    <w:rsid w:val="003E5E39"/>
    <w:rsid w:val="003F471E"/>
    <w:rsid w:val="00402D21"/>
    <w:rsid w:val="00417346"/>
    <w:rsid w:val="00423A3F"/>
    <w:rsid w:val="00441D4F"/>
    <w:rsid w:val="00460033"/>
    <w:rsid w:val="00476BF5"/>
    <w:rsid w:val="00481953"/>
    <w:rsid w:val="004A4242"/>
    <w:rsid w:val="004F32FB"/>
    <w:rsid w:val="004F38D6"/>
    <w:rsid w:val="00507E8A"/>
    <w:rsid w:val="00507FC5"/>
    <w:rsid w:val="00524A3F"/>
    <w:rsid w:val="0055403C"/>
    <w:rsid w:val="00556098"/>
    <w:rsid w:val="0057419C"/>
    <w:rsid w:val="005A74FB"/>
    <w:rsid w:val="005C1956"/>
    <w:rsid w:val="005D64BC"/>
    <w:rsid w:val="005F0A6B"/>
    <w:rsid w:val="005F1E2B"/>
    <w:rsid w:val="005F6D05"/>
    <w:rsid w:val="0061702D"/>
    <w:rsid w:val="00625800"/>
    <w:rsid w:val="00643AF5"/>
    <w:rsid w:val="00650B6F"/>
    <w:rsid w:val="006676E8"/>
    <w:rsid w:val="00681A51"/>
    <w:rsid w:val="00686B04"/>
    <w:rsid w:val="00696179"/>
    <w:rsid w:val="006B01B6"/>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27D7"/>
    <w:rsid w:val="0083747A"/>
    <w:rsid w:val="00853336"/>
    <w:rsid w:val="0085486D"/>
    <w:rsid w:val="00876D49"/>
    <w:rsid w:val="00891F88"/>
    <w:rsid w:val="00892B2E"/>
    <w:rsid w:val="008946A4"/>
    <w:rsid w:val="00896E1B"/>
    <w:rsid w:val="008B53B1"/>
    <w:rsid w:val="008D3416"/>
    <w:rsid w:val="008E25B6"/>
    <w:rsid w:val="008E41FC"/>
    <w:rsid w:val="008F0C81"/>
    <w:rsid w:val="008F58FC"/>
    <w:rsid w:val="00920A79"/>
    <w:rsid w:val="00937ED5"/>
    <w:rsid w:val="00943332"/>
    <w:rsid w:val="009450B8"/>
    <w:rsid w:val="00945500"/>
    <w:rsid w:val="009517C5"/>
    <w:rsid w:val="009578F7"/>
    <w:rsid w:val="00986184"/>
    <w:rsid w:val="009955B7"/>
    <w:rsid w:val="00996EA3"/>
    <w:rsid w:val="009A4B2F"/>
    <w:rsid w:val="009B12E8"/>
    <w:rsid w:val="00A05F16"/>
    <w:rsid w:val="00A10B2F"/>
    <w:rsid w:val="00A1265C"/>
    <w:rsid w:val="00A53624"/>
    <w:rsid w:val="00A54B68"/>
    <w:rsid w:val="00A57B57"/>
    <w:rsid w:val="00A601D4"/>
    <w:rsid w:val="00A62342"/>
    <w:rsid w:val="00A677A1"/>
    <w:rsid w:val="00A71E82"/>
    <w:rsid w:val="00A9431E"/>
    <w:rsid w:val="00AD3CBD"/>
    <w:rsid w:val="00AE4557"/>
    <w:rsid w:val="00AE4F15"/>
    <w:rsid w:val="00AF550F"/>
    <w:rsid w:val="00B00F24"/>
    <w:rsid w:val="00B00FF2"/>
    <w:rsid w:val="00B11ACA"/>
    <w:rsid w:val="00B144C4"/>
    <w:rsid w:val="00B1580B"/>
    <w:rsid w:val="00B7039B"/>
    <w:rsid w:val="00B76EBA"/>
    <w:rsid w:val="00B80B41"/>
    <w:rsid w:val="00B82A63"/>
    <w:rsid w:val="00B96202"/>
    <w:rsid w:val="00BA28F2"/>
    <w:rsid w:val="00BA4070"/>
    <w:rsid w:val="00BD4B6D"/>
    <w:rsid w:val="00BE58FC"/>
    <w:rsid w:val="00BF3479"/>
    <w:rsid w:val="00BF3E91"/>
    <w:rsid w:val="00BF5362"/>
    <w:rsid w:val="00C15333"/>
    <w:rsid w:val="00C26CF2"/>
    <w:rsid w:val="00C4427B"/>
    <w:rsid w:val="00C763B0"/>
    <w:rsid w:val="00C76709"/>
    <w:rsid w:val="00C81E83"/>
    <w:rsid w:val="00C9159E"/>
    <w:rsid w:val="00CC4EF8"/>
    <w:rsid w:val="00CD0CD3"/>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9764A"/>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heconversation.com/coronavirus-how-crime-changes-during-a-lockdown-134948" TargetMode="Externa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201</TotalTime>
  <Pages>2</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4754</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20</cp:revision>
  <cp:lastPrinted>2019-10-25T11:26:00Z</cp:lastPrinted>
  <dcterms:created xsi:type="dcterms:W3CDTF">2022-08-02T07:52:00Z</dcterms:created>
  <dcterms:modified xsi:type="dcterms:W3CDTF">2022-08-02T11:20:00Z</dcterms:modified>
</cp:coreProperties>
</file>