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BB376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BB376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BB376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BB376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BB376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004102"/>
    <w:p w14:paraId="03BF42BA" w14:textId="7885512A"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004102"/>
    <w:p w14:paraId="403B3172" w14:textId="364A6B0E"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39DADD99"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w:t>
      </w:r>
      <w:r w:rsidR="006D4BC1">
        <w:rPr>
          <w:rFonts w:cstheme="minorHAnsi"/>
        </w:rPr>
        <w:lastRenderedPageBreak/>
        <w:t xml:space="preserve">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043A808C" w14:textId="6A09CE2C" w:rsidR="00291AA5" w:rsidRDefault="00AF6DED" w:rsidP="00291AA5">
      <w:pPr>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291AA5">
      <w:pPr>
        <w:rPr>
          <w:rFonts w:cstheme="minorHAnsi"/>
        </w:rPr>
      </w:pPr>
    </w:p>
    <w:p w14:paraId="737FAF2C" w14:textId="047029C4" w:rsidR="00291AA5" w:rsidRDefault="00291AA5" w:rsidP="00291AA5">
      <w:pPr>
        <w:rPr>
          <w:rFonts w:cstheme="minorHAnsi"/>
        </w:rPr>
      </w:pPr>
    </w:p>
    <w:p w14:paraId="5DFF0491" w14:textId="1B5F09A4" w:rsidR="00291AA5" w:rsidRDefault="00291AA5" w:rsidP="00291AA5">
      <w:pPr>
        <w:rPr>
          <w:rFonts w:cstheme="minorHAnsi"/>
        </w:rPr>
      </w:pPr>
    </w:p>
    <w:p w14:paraId="28019FB0" w14:textId="6157E4DF" w:rsidR="00291AA5" w:rsidRDefault="00291AA5" w:rsidP="00291AA5">
      <w:pPr>
        <w:rPr>
          <w:rFonts w:cstheme="minorHAnsi"/>
        </w:rPr>
      </w:pPr>
    </w:p>
    <w:p w14:paraId="03F43939" w14:textId="4B43FCFF" w:rsidR="00291AA5" w:rsidRDefault="00291AA5" w:rsidP="00291AA5">
      <w:pPr>
        <w:rPr>
          <w:rFonts w:cstheme="minorHAnsi"/>
        </w:rPr>
      </w:pPr>
    </w:p>
    <w:p w14:paraId="0A4DB2CF" w14:textId="61D15F74" w:rsidR="00291AA5" w:rsidRDefault="00291AA5" w:rsidP="00291AA5">
      <w:pPr>
        <w:rPr>
          <w:rFonts w:cstheme="minorHAnsi"/>
        </w:rPr>
      </w:pPr>
    </w:p>
    <w:p w14:paraId="3847BE15" w14:textId="3353F669" w:rsidR="00291AA5" w:rsidRDefault="00291AA5" w:rsidP="00291AA5">
      <w:pPr>
        <w:rPr>
          <w:rFonts w:cstheme="minorHAnsi"/>
        </w:rPr>
      </w:pPr>
    </w:p>
    <w:p w14:paraId="3720D843" w14:textId="02154C13" w:rsidR="00291AA5" w:rsidRDefault="00291AA5" w:rsidP="00291AA5">
      <w:pPr>
        <w:rPr>
          <w:rFonts w:cstheme="minorHAnsi"/>
        </w:rPr>
      </w:pPr>
    </w:p>
    <w:p w14:paraId="06141E31" w14:textId="4CD6F480" w:rsidR="00291AA5" w:rsidRDefault="00291AA5" w:rsidP="00291AA5">
      <w:pPr>
        <w:rPr>
          <w:rFonts w:cstheme="minorHAnsi"/>
        </w:rPr>
      </w:pPr>
    </w:p>
    <w:p w14:paraId="6D6EB3E5" w14:textId="4AF84E34" w:rsidR="00291AA5" w:rsidRDefault="00291AA5" w:rsidP="00291AA5">
      <w:pPr>
        <w:rPr>
          <w:rFonts w:cstheme="minorHAnsi"/>
        </w:rPr>
      </w:pPr>
    </w:p>
    <w:p w14:paraId="32DCFE07" w14:textId="630A23EA" w:rsidR="00291AA5" w:rsidRDefault="00291AA5" w:rsidP="00291AA5">
      <w:pPr>
        <w:rPr>
          <w:rFonts w:cstheme="minorHAnsi"/>
        </w:rPr>
      </w:pPr>
    </w:p>
    <w:p w14:paraId="1710ABE4" w14:textId="759F022C" w:rsidR="00291AA5" w:rsidRDefault="00291AA5" w:rsidP="00291AA5">
      <w:pPr>
        <w:rPr>
          <w:rFonts w:cstheme="minorHAnsi"/>
        </w:rPr>
      </w:pPr>
    </w:p>
    <w:p w14:paraId="70234299" w14:textId="13BEE816" w:rsidR="00291AA5" w:rsidRDefault="00291AA5" w:rsidP="00291AA5">
      <w:pPr>
        <w:rPr>
          <w:rFonts w:cstheme="minorHAnsi"/>
        </w:rPr>
      </w:pPr>
    </w:p>
    <w:p w14:paraId="1DDA5B40" w14:textId="5CEB761F" w:rsidR="00291AA5" w:rsidRDefault="00291AA5" w:rsidP="00291AA5">
      <w:pPr>
        <w:rPr>
          <w:rFonts w:cstheme="minorHAnsi"/>
        </w:rPr>
      </w:pPr>
    </w:p>
    <w:p w14:paraId="501F753A" w14:textId="77777777" w:rsidR="00291AA5" w:rsidRPr="00291AA5" w:rsidRDefault="00291AA5" w:rsidP="00291AA5">
      <w:pPr>
        <w:rPr>
          <w:rFonts w:cstheme="minorHAnsi"/>
        </w:rPr>
      </w:pPr>
    </w:p>
    <w:p w14:paraId="55D01D28" w14:textId="7E074843"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C9AC3AE" w:rsidR="007F69EF" w:rsidRDefault="00746F40">
      <w:pPr>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unauthorised disclosure of, or access to, personal data.”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215A413E" w:rsidR="00AB40E2" w:rsidRDefault="00AB40E2" w:rsidP="00AB40E2">
      <w:pPr>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2C577A">
        <w:rPr>
          <w:rFonts w:cstheme="minorHAnsi"/>
          <w:color w:val="000000"/>
          <w:sz w:val="23"/>
          <w:szCs w:val="23"/>
          <w:shd w:val="clear" w:color="auto" w:fill="FFFFFF"/>
        </w:rPr>
        <w:t xml:space="preserve">. </w:t>
      </w:r>
    </w:p>
    <w:p w14:paraId="0E87AAF3" w14:textId="21F5EE2A" w:rsidR="00E006A6" w:rsidRDefault="00E006A6" w:rsidP="00AB40E2">
      <w:pPr>
        <w:rPr>
          <w:rFonts w:cstheme="minorHAnsi"/>
          <w:color w:val="000000"/>
          <w:sz w:val="23"/>
          <w:szCs w:val="23"/>
          <w:shd w:val="clear" w:color="auto" w:fill="FFFFFF"/>
        </w:rPr>
      </w:pPr>
    </w:p>
    <w:p w14:paraId="72BE8703" w14:textId="745F80F5" w:rsidR="00F84281" w:rsidRDefault="00F84281" w:rsidP="00AB40E2">
      <w:pPr>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 Looking at the Marriott hotels current data collection standards, we can see the vast amount of information that was vulnerable during the breach period:</w:t>
      </w:r>
    </w:p>
    <w:p w14:paraId="0E0961E5"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AB40E2">
      <w:pPr>
        <w:rPr>
          <w:rFonts w:cstheme="minorHAnsi"/>
          <w:color w:val="000000"/>
          <w:sz w:val="23"/>
          <w:szCs w:val="23"/>
          <w:shd w:val="clear" w:color="auto" w:fill="FFFFFF"/>
        </w:rPr>
      </w:pPr>
    </w:p>
    <w:p w14:paraId="6EE4A4FB" w14:textId="68392DBF" w:rsidR="00746F40" w:rsidRPr="00F84281" w:rsidRDefault="00F84281">
      <w:pPr>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w:t>
      </w:r>
      <w:r w:rsidR="00BD68B3">
        <w:rPr>
          <w:rFonts w:cstheme="minorHAnsi"/>
          <w:color w:val="000000"/>
          <w:shd w:val="clear" w:color="auto" w:fill="FFFFFF"/>
        </w:rPr>
        <w:lastRenderedPageBreak/>
        <w:t xml:space="preserve">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ICO was able to administer a fine of £18.4million under articles 83(1) and (2) of GDPR, under the belief that it was a proportional response and would be effective in making Marriott increase its data security. </w:t>
      </w:r>
    </w:p>
    <w:p w14:paraId="38268E94" w14:textId="3A389058" w:rsidR="00746F40" w:rsidRDefault="00746F40">
      <w:pPr>
        <w:rPr>
          <w:rFonts w:ascii="Verdana" w:hAnsi="Verdana"/>
          <w:color w:val="000000"/>
          <w:sz w:val="23"/>
          <w:szCs w:val="23"/>
          <w:shd w:val="clear" w:color="auto" w:fill="FFFFFF"/>
        </w:rPr>
      </w:pPr>
    </w:p>
    <w:p w14:paraId="50A7A41A" w14:textId="77777777" w:rsidR="00207E20" w:rsidRDefault="00064563">
      <w:pPr>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 xml:space="preserve">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(under article 4(2) of UK GDPR)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7777777" w:rsidR="00207E20" w:rsidRDefault="00207E20">
      <w:pPr>
        <w:rPr>
          <w:rFonts w:cstheme="minorHAnsi"/>
          <w:color w:val="000000"/>
          <w:shd w:val="clear" w:color="auto" w:fill="FFFFFF"/>
        </w:rPr>
      </w:pPr>
    </w:p>
    <w:p w14:paraId="27064BDF" w14:textId="0D2F3EE5" w:rsidR="00746F40" w:rsidRDefault="00644FA8">
      <w:pPr>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13652E6E" w14:textId="3A7F8E68" w:rsidR="007E350D" w:rsidRDefault="00887B76">
      <w:pPr>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r w:rsidR="00E81CBF">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pPr>
        <w:rPr>
          <w:rFonts w:cstheme="minorHAnsi"/>
          <w:color w:val="000000"/>
          <w:shd w:val="clear" w:color="auto" w:fill="FFFFFF"/>
        </w:rPr>
      </w:pPr>
    </w:p>
    <w:p w14:paraId="770CAE70" w14:textId="3072DF91" w:rsidR="00887B76" w:rsidRPr="00064563" w:rsidRDefault="007E350D">
      <w:pPr>
        <w:rPr>
          <w:rFonts w:cstheme="minorHAnsi"/>
          <w:color w:val="000000"/>
          <w:shd w:val="clear" w:color="auto" w:fill="FFFFFF"/>
        </w:rPr>
      </w:pPr>
      <w:r>
        <w:rPr>
          <w:rFonts w:cstheme="minorHAnsi"/>
          <w:color w:val="000000"/>
          <w:shd w:val="clear" w:color="auto" w:fill="FFFFFF"/>
        </w:rPr>
        <w:lastRenderedPageBreak/>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 xml:space="preserve">place of birth, any data that is linked to social media accounts. </w:t>
      </w:r>
    </w:p>
    <w:p w14:paraId="1766F3BE" w14:textId="31A4F3E2" w:rsidR="00746F40" w:rsidRDefault="00746F40">
      <w:pPr>
        <w:rPr>
          <w:rFonts w:ascii="Verdana" w:hAnsi="Verdana"/>
          <w:color w:val="000000"/>
          <w:sz w:val="23"/>
          <w:szCs w:val="23"/>
          <w:shd w:val="clear" w:color="auto" w:fill="FFFFFF"/>
        </w:rPr>
      </w:pPr>
    </w:p>
    <w:p w14:paraId="43296F10" w14:textId="2796810C" w:rsidR="00746F40" w:rsidRDefault="00746F40">
      <w:pPr>
        <w:rPr>
          <w:rFonts w:ascii="Verdana" w:hAnsi="Verdana"/>
          <w:color w:val="000000"/>
          <w:sz w:val="23"/>
          <w:szCs w:val="23"/>
          <w:shd w:val="clear" w:color="auto" w:fill="FFFFFF"/>
        </w:rPr>
      </w:pPr>
    </w:p>
    <w:p w14:paraId="53E160BB" w14:textId="0848C8B1" w:rsidR="00746F40" w:rsidRDefault="00746F40">
      <w:pPr>
        <w:rPr>
          <w:rFonts w:ascii="Verdana" w:hAnsi="Verdana"/>
          <w:color w:val="000000"/>
          <w:sz w:val="23"/>
          <w:szCs w:val="23"/>
          <w:shd w:val="clear" w:color="auto" w:fill="FFFFFF"/>
        </w:rPr>
      </w:pPr>
    </w:p>
    <w:p w14:paraId="6B47F136" w14:textId="41FD8653" w:rsidR="00746F40" w:rsidRDefault="00746F40">
      <w:pPr>
        <w:rPr>
          <w:rFonts w:ascii="Verdana" w:hAnsi="Verdana"/>
          <w:color w:val="000000"/>
          <w:sz w:val="23"/>
          <w:szCs w:val="23"/>
          <w:shd w:val="clear" w:color="auto" w:fill="FFFFFF"/>
        </w:rPr>
      </w:pPr>
    </w:p>
    <w:p w14:paraId="3616F299" w14:textId="2965A642" w:rsidR="00746F40" w:rsidRDefault="00746F40">
      <w:pPr>
        <w:rPr>
          <w:rFonts w:ascii="Verdana" w:hAnsi="Verdana"/>
          <w:color w:val="000000"/>
          <w:sz w:val="23"/>
          <w:szCs w:val="23"/>
          <w:shd w:val="clear" w:color="auto" w:fill="FFFFFF"/>
        </w:rPr>
      </w:pPr>
    </w:p>
    <w:p w14:paraId="3BA8012D" w14:textId="77777777" w:rsidR="00746F40" w:rsidRPr="004A5DB0" w:rsidRDefault="00746F40">
      <w:pPr>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BB3767">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6913DA65" w:rsidR="009F7F9E" w:rsidRDefault="009F7F9E" w:rsidP="009065F0">
      <w:pPr>
        <w:shd w:val="clear" w:color="auto" w:fill="FFFFFF" w:themeFill="background1"/>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065F0">
      <w:pPr>
        <w:shd w:val="clear" w:color="auto" w:fill="FFFFFF" w:themeFill="background1"/>
        <w:rPr>
          <w:rStyle w:val="Hyperlink"/>
          <w:rFonts w:ascii="Times New Roman" w:hAnsi="Times New Roman" w:cs="Times New Roman"/>
        </w:rPr>
      </w:pPr>
    </w:p>
    <w:p w14:paraId="0B73A1FA" w14:textId="39E3C105" w:rsidR="00512F3F" w:rsidRDefault="00512F3F" w:rsidP="009065F0">
      <w:pPr>
        <w:shd w:val="clear" w:color="auto" w:fill="FFFFFF" w:themeFill="background1"/>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BB3767" w:rsidP="009065F0">
      <w:pPr>
        <w:shd w:val="clear" w:color="auto" w:fill="FFFFFF" w:themeFill="background1"/>
        <w:rPr>
          <w:rStyle w:val="Hyperlink"/>
        </w:rPr>
      </w:pPr>
      <w:hyperlink r:id="rId19" w:history="1">
        <w:r w:rsidR="00512F3F">
          <w:rPr>
            <w:rStyle w:val="Hyperlink"/>
          </w:rPr>
          <w:t>Data Ethics Framework - GOV.UK (www.gov.uk)</w:t>
        </w:r>
      </w:hyperlink>
    </w:p>
    <w:p w14:paraId="2B7D20E1" w14:textId="7E252729" w:rsidR="00B50C1E" w:rsidRDefault="00B50C1E" w:rsidP="009065F0">
      <w:pPr>
        <w:shd w:val="clear" w:color="auto" w:fill="FFFFFF" w:themeFill="background1"/>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(NIPS‘17).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62FD3FEA" w14:textId="2889CE13" w:rsidR="00B50C1E" w:rsidRDefault="00B50C1E" w:rsidP="009065F0">
      <w:pPr>
        <w:shd w:val="clear" w:color="auto" w:fill="FFFFFF" w:themeFill="background1"/>
      </w:pPr>
    </w:p>
    <w:p w14:paraId="49B36F1E" w14:textId="77777777" w:rsidR="00B50C1E" w:rsidRPr="00B50C1E" w:rsidRDefault="00B50C1E" w:rsidP="009065F0">
      <w:pPr>
        <w:shd w:val="clear" w:color="auto" w:fill="FFFFFF" w:themeFill="background1"/>
        <w:rPr>
          <w:rFonts w:ascii="Times New Roman" w:hAnsi="Times New Roman" w:cs="Times New Roman"/>
        </w:rPr>
      </w:pPr>
    </w:p>
    <w:p w14:paraId="11E992FF" w14:textId="77777777" w:rsidR="00512F3F" w:rsidRPr="00512F3F" w:rsidRDefault="00512F3F" w:rsidP="009065F0">
      <w:pPr>
        <w:shd w:val="clear" w:color="auto" w:fill="FFFFFF" w:themeFill="background1"/>
        <w:rPr>
          <w:rStyle w:val="Hyperlink"/>
          <w:rFonts w:ascii="Times New Roman" w:hAnsi="Times New Roman" w:cs="Times New Roman"/>
          <w:color w:val="auto"/>
          <w:u w:val="none"/>
        </w:rPr>
      </w:pPr>
    </w:p>
    <w:p w14:paraId="526C942B" w14:textId="2A7D13A8" w:rsidR="00512F3F" w:rsidRDefault="00512F3F" w:rsidP="009065F0">
      <w:pPr>
        <w:shd w:val="clear" w:color="auto" w:fill="FFFFFF" w:themeFill="background1"/>
        <w:rPr>
          <w:rStyle w:val="Hyperlink"/>
          <w:rFonts w:ascii="Times New Roman" w:hAnsi="Times New Roman" w:cs="Times New Roman"/>
        </w:rPr>
      </w:pPr>
    </w:p>
    <w:p w14:paraId="1B67EC4D" w14:textId="1D86A511" w:rsidR="00512F3F" w:rsidRDefault="00512F3F" w:rsidP="009065F0">
      <w:pPr>
        <w:shd w:val="clear" w:color="auto" w:fill="FFFFFF" w:themeFill="background1"/>
        <w:rPr>
          <w:rFonts w:ascii="Times New Roman" w:hAnsi="Times New Roman" w:cs="Times New Roman"/>
        </w:rPr>
      </w:pPr>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21"/>
      <w:headerReference w:type="default" r:id="rId22"/>
      <w:footerReference w:type="even"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1E7F" w14:textId="77777777" w:rsidR="00BB3767" w:rsidRDefault="00BB3767" w:rsidP="006C56FA">
      <w:r>
        <w:separator/>
      </w:r>
    </w:p>
  </w:endnote>
  <w:endnote w:type="continuationSeparator" w:id="0">
    <w:p w14:paraId="4C61C739" w14:textId="77777777" w:rsidR="00BB3767" w:rsidRDefault="00BB3767"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EBCC" w14:textId="77777777" w:rsidR="00BB3767" w:rsidRDefault="00BB3767" w:rsidP="006C56FA">
      <w:r>
        <w:separator/>
      </w:r>
    </w:p>
  </w:footnote>
  <w:footnote w:type="continuationSeparator" w:id="0">
    <w:p w14:paraId="1EB77889" w14:textId="77777777" w:rsidR="00BB3767" w:rsidRDefault="00BB3767"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215755">
    <w:abstractNumId w:val="1"/>
  </w:num>
  <w:num w:numId="2" w16cid:durableId="13290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64563"/>
    <w:rsid w:val="000678B5"/>
    <w:rsid w:val="00080C0B"/>
    <w:rsid w:val="00084B05"/>
    <w:rsid w:val="000A344D"/>
    <w:rsid w:val="000A44AB"/>
    <w:rsid w:val="000D2F0E"/>
    <w:rsid w:val="001407B6"/>
    <w:rsid w:val="00153FE2"/>
    <w:rsid w:val="0015403B"/>
    <w:rsid w:val="0015770E"/>
    <w:rsid w:val="001741E7"/>
    <w:rsid w:val="001A7767"/>
    <w:rsid w:val="001B482D"/>
    <w:rsid w:val="001C0865"/>
    <w:rsid w:val="001F279A"/>
    <w:rsid w:val="00200E10"/>
    <w:rsid w:val="00204CEB"/>
    <w:rsid w:val="00207E20"/>
    <w:rsid w:val="00226F8C"/>
    <w:rsid w:val="00246914"/>
    <w:rsid w:val="00263B73"/>
    <w:rsid w:val="0027191D"/>
    <w:rsid w:val="00286FB1"/>
    <w:rsid w:val="00291AA5"/>
    <w:rsid w:val="00291EDF"/>
    <w:rsid w:val="002B6D2B"/>
    <w:rsid w:val="002C577A"/>
    <w:rsid w:val="002C602F"/>
    <w:rsid w:val="00313EB6"/>
    <w:rsid w:val="00394B24"/>
    <w:rsid w:val="003B2A00"/>
    <w:rsid w:val="003D1AC1"/>
    <w:rsid w:val="00466A80"/>
    <w:rsid w:val="00476A87"/>
    <w:rsid w:val="00484926"/>
    <w:rsid w:val="004A438B"/>
    <w:rsid w:val="004A5DB0"/>
    <w:rsid w:val="004C5B07"/>
    <w:rsid w:val="004F1DC8"/>
    <w:rsid w:val="004F4A4C"/>
    <w:rsid w:val="00512F3F"/>
    <w:rsid w:val="00524220"/>
    <w:rsid w:val="00532827"/>
    <w:rsid w:val="0057032D"/>
    <w:rsid w:val="005839F7"/>
    <w:rsid w:val="005A2D2B"/>
    <w:rsid w:val="00630970"/>
    <w:rsid w:val="00631B52"/>
    <w:rsid w:val="00644FA8"/>
    <w:rsid w:val="006608AA"/>
    <w:rsid w:val="00671D5E"/>
    <w:rsid w:val="006A07CC"/>
    <w:rsid w:val="006A53DA"/>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7CEE"/>
    <w:rsid w:val="009065F0"/>
    <w:rsid w:val="009249D4"/>
    <w:rsid w:val="00956F47"/>
    <w:rsid w:val="009634A5"/>
    <w:rsid w:val="00967B8A"/>
    <w:rsid w:val="00972A8C"/>
    <w:rsid w:val="00975252"/>
    <w:rsid w:val="009B66A2"/>
    <w:rsid w:val="009D4DE7"/>
    <w:rsid w:val="009F7F9E"/>
    <w:rsid w:val="00A044B4"/>
    <w:rsid w:val="00A054E8"/>
    <w:rsid w:val="00A21752"/>
    <w:rsid w:val="00A545DA"/>
    <w:rsid w:val="00A6174C"/>
    <w:rsid w:val="00A70617"/>
    <w:rsid w:val="00A836C5"/>
    <w:rsid w:val="00A91AC9"/>
    <w:rsid w:val="00AB40E2"/>
    <w:rsid w:val="00AC1392"/>
    <w:rsid w:val="00AC6C78"/>
    <w:rsid w:val="00AE2524"/>
    <w:rsid w:val="00AF6DED"/>
    <w:rsid w:val="00B50C1E"/>
    <w:rsid w:val="00B67814"/>
    <w:rsid w:val="00BB3767"/>
    <w:rsid w:val="00BD1960"/>
    <w:rsid w:val="00BD68B3"/>
    <w:rsid w:val="00BD769A"/>
    <w:rsid w:val="00C36C82"/>
    <w:rsid w:val="00C52C6B"/>
    <w:rsid w:val="00C54D84"/>
    <w:rsid w:val="00CC4B14"/>
    <w:rsid w:val="00CF7D6F"/>
    <w:rsid w:val="00D01BF9"/>
    <w:rsid w:val="00D106E7"/>
    <w:rsid w:val="00D2446A"/>
    <w:rsid w:val="00D33F4C"/>
    <w:rsid w:val="00D43F13"/>
    <w:rsid w:val="00D55933"/>
    <w:rsid w:val="00D70C3E"/>
    <w:rsid w:val="00E006A6"/>
    <w:rsid w:val="00E02983"/>
    <w:rsid w:val="00E332D8"/>
    <w:rsid w:val="00E60A72"/>
    <w:rsid w:val="00E77E46"/>
    <w:rsid w:val="00E81CBF"/>
    <w:rsid w:val="00EA5424"/>
    <w:rsid w:val="00EF1F1C"/>
    <w:rsid w:val="00F1100F"/>
    <w:rsid w:val="00F5691E"/>
    <w:rsid w:val="00F67EC7"/>
    <w:rsid w:val="00F71141"/>
    <w:rsid w:val="00F82508"/>
    <w:rsid w:val="00F84281"/>
    <w:rsid w:val="00F868F8"/>
    <w:rsid w:val="00FA6B12"/>
    <w:rsid w:val="00FB0FFD"/>
    <w:rsid w:val="00FB36D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16</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40</cp:revision>
  <dcterms:created xsi:type="dcterms:W3CDTF">2022-02-24T12:44:00Z</dcterms:created>
  <dcterms:modified xsi:type="dcterms:W3CDTF">2022-04-13T16:26:00Z</dcterms:modified>
</cp:coreProperties>
</file>