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rsidP="0098760D">
          <w:pPr>
            <w:jc w:val="both"/>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78E399C1" w:rsidR="00F82508" w:rsidRPr="004A5DB0" w:rsidRDefault="00226F8C" w:rsidP="0098760D">
          <w:pPr>
            <w:jc w:val="both"/>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4046CA">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left:0;text-align:left;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4046CA">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4046CA">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left:0;text-align:left;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4046CA">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left:0;text-align:left;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rsidP="0098760D">
          <w:pPr>
            <w:pStyle w:val="TOCHeading"/>
            <w:jc w:val="both"/>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4046CA"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4046CA"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4046CA"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4046CA"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4046CA"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4046CA"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4046CA"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98760D">
          <w:pPr>
            <w:jc w:val="both"/>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rsidP="0098760D">
      <w:pPr>
        <w:jc w:val="both"/>
        <w:rPr>
          <w:rFonts w:ascii="Times New Roman" w:hAnsi="Times New Roman" w:cs="Times New Roman"/>
        </w:rPr>
      </w:pPr>
    </w:p>
    <w:p w14:paraId="25AE633D" w14:textId="77777777" w:rsidR="00A545DA" w:rsidRPr="004A5DB0" w:rsidRDefault="00A545DA" w:rsidP="0098760D">
      <w:pPr>
        <w:jc w:val="both"/>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98760D">
      <w:pPr>
        <w:pStyle w:val="Heading1"/>
        <w:jc w:val="both"/>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98760D">
      <w:pPr>
        <w:pStyle w:val="Heading1"/>
        <w:jc w:val="both"/>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98760D">
      <w:pPr>
        <w:jc w:val="both"/>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98760D">
      <w:pPr>
        <w:pStyle w:val="Heading1"/>
        <w:jc w:val="both"/>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472203D1" w:rsidR="007F69EF" w:rsidRDefault="004C5B07" w:rsidP="0098760D">
      <w:pPr>
        <w:pStyle w:val="Heading1"/>
        <w:jc w:val="both"/>
        <w:rPr>
          <w:rFonts w:ascii="Times New Roman" w:hAnsi="Times New Roman" w:cs="Times New Roman"/>
        </w:rPr>
      </w:pPr>
      <w:r>
        <w:rPr>
          <w:rFonts w:ascii="Times New Roman" w:hAnsi="Times New Roman" w:cs="Times New Roman"/>
        </w:rPr>
        <w:lastRenderedPageBreak/>
        <w:t>Executive Summ</w:t>
      </w:r>
      <w:r w:rsidR="00EC64EE">
        <w:rPr>
          <w:rFonts w:ascii="Times New Roman" w:hAnsi="Times New Roman" w:cs="Times New Roman"/>
        </w:rPr>
        <w:t>a</w:t>
      </w:r>
      <w:r>
        <w:rPr>
          <w:rFonts w:ascii="Times New Roman" w:hAnsi="Times New Roman" w:cs="Times New Roman"/>
        </w:rPr>
        <w:t xml:space="preserve">ry </w:t>
      </w:r>
    </w:p>
    <w:p w14:paraId="3802BEAB" w14:textId="209D4D8A" w:rsidR="004C5B07" w:rsidRPr="004C5B07" w:rsidRDefault="00EC64EE" w:rsidP="0098760D">
      <w:pPr>
        <w:jc w:val="both"/>
      </w:pPr>
      <w:r>
        <w:t xml:space="preserve">Machine learning is a rapidly evolving field of study with potentially limitless application. This report identifies areas of </w:t>
      </w:r>
      <w:r w:rsidR="008C55F3">
        <w:t>gender bias</w:t>
      </w:r>
      <w:r>
        <w:t xml:space="preserve"> within machine learning due to old training data that does not reflect current values</w:t>
      </w:r>
      <w:r w:rsidR="008C55F3">
        <w:t xml:space="preserve">, as well as the different forms this imbalance can take such as discounting female achievements or enforcing stereotypical gender roles. It also examines the potential for misogyny within the teams working on machine learning projects and the methods being proposed to reduce the impact of gender bias on AI development. </w:t>
      </w:r>
      <w:r w:rsidR="00355971">
        <w:t>Subsequently, the report investigates the Marriott data breach case of 2018 (BBC 2020) and identifies key issues such as the type and amount of data lost. An expert is then introduced who provides an analytical commentary on the case as well as general issues with the EU GDPR (EU GDPR, 2016) such as anonymisation</w:t>
      </w:r>
      <w:r w:rsidR="00C72194">
        <w:t xml:space="preserve"> and </w:t>
      </w:r>
      <w:r w:rsidR="00355971">
        <w:t xml:space="preserve">cloud storage and how these issues affect the consumer. Recommendations regarding the Marriott case and GDPR are presented with suggestions such as higher levels of data protection protocol, more effective fines, clearer guidance and </w:t>
      </w:r>
      <w:r w:rsidR="00C72194">
        <w:t xml:space="preserve">more </w:t>
      </w:r>
      <w:r w:rsidR="005A6E98">
        <w:t>stringent data sharing procedure</w:t>
      </w:r>
      <w:r w:rsidR="000B21D6">
        <w:t>s</w:t>
      </w:r>
      <w:r w:rsidR="005A6E98">
        <w:t xml:space="preserve">. </w:t>
      </w:r>
    </w:p>
    <w:p w14:paraId="030A5E11" w14:textId="77777777" w:rsidR="007F69EF" w:rsidRPr="004A5DB0" w:rsidRDefault="007F69EF" w:rsidP="0098760D">
      <w:pPr>
        <w:jc w:val="both"/>
        <w:rPr>
          <w:rFonts w:ascii="Times New Roman" w:hAnsi="Times New Roman" w:cs="Times New Roman"/>
        </w:rPr>
      </w:pPr>
    </w:p>
    <w:p w14:paraId="683534BA" w14:textId="64F65975" w:rsidR="007F69EF" w:rsidRDefault="00080C0B" w:rsidP="00EC64EE">
      <w:pPr>
        <w:pStyle w:val="Heading1"/>
      </w:pPr>
      <w:r>
        <w:t xml:space="preserve">Literature review </w:t>
      </w:r>
    </w:p>
    <w:p w14:paraId="36646891" w14:textId="450C4BA8" w:rsidR="00E77E46" w:rsidRDefault="00E77E46" w:rsidP="0098760D">
      <w:pPr>
        <w:jc w:val="both"/>
      </w:pPr>
    </w:p>
    <w:p w14:paraId="03BF42BA" w14:textId="7885512A" w:rsidR="00E77E46" w:rsidRDefault="00E77E46" w:rsidP="0098760D">
      <w:pPr>
        <w:jc w:val="both"/>
      </w:pPr>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98760D">
      <w:pPr>
        <w:jc w:val="both"/>
      </w:pPr>
    </w:p>
    <w:p w14:paraId="403B3172" w14:textId="364A6B0E" w:rsidR="00F71141" w:rsidRDefault="0015770E" w:rsidP="0098760D">
      <w:pPr>
        <w:jc w:val="both"/>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rsidP="0098760D">
      <w:pPr>
        <w:jc w:val="both"/>
        <w:rPr>
          <w:rFonts w:cstheme="minorHAnsi"/>
          <w:color w:val="000000"/>
          <w:shd w:val="clear" w:color="auto" w:fill="FFFFFF"/>
        </w:rPr>
      </w:pPr>
    </w:p>
    <w:p w14:paraId="38F3748A" w14:textId="62AAADFB" w:rsidR="00E332D8" w:rsidRDefault="00A21752" w:rsidP="0098760D">
      <w:pPr>
        <w:jc w:val="both"/>
        <w:rPr>
          <w:rFonts w:cstheme="minorHAnsi"/>
        </w:rPr>
      </w:pPr>
      <w:r>
        <w:rPr>
          <w:rFonts w:cstheme="minorHAnsi"/>
        </w:rPr>
        <w:t>Due to the material within older corpora that machine learning algorithms are being trained on, gender bias has been observed within current algorithms due to the outdated ways of referring to men and women</w:t>
      </w:r>
      <w:r w:rsidR="00A47409">
        <w:rPr>
          <w:rFonts w:cstheme="minorHAnsi"/>
        </w:rPr>
        <w:t xml:space="preserve">. For example, women are commonly referred to as dessert items which can be demeaning, such as ‘cheesecake’, ‘honeybuns’, ‘tart’ </w:t>
      </w:r>
      <w:r>
        <w:rPr>
          <w:rFonts w:cstheme="minorHAnsi"/>
        </w:rPr>
        <w:t xml:space="preserve">(Leavy,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w:t>
      </w:r>
      <w:r w:rsidR="00B50C1E">
        <w:rPr>
          <w:rFonts w:cstheme="minorHAnsi"/>
        </w:rPr>
        <w:lastRenderedPageBreak/>
        <w:t>known as allocation bias, where algorithms reward the majority 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rsidP="0098760D">
      <w:pPr>
        <w:jc w:val="both"/>
        <w:rPr>
          <w:rFonts w:cstheme="minorHAnsi"/>
        </w:rPr>
      </w:pPr>
    </w:p>
    <w:p w14:paraId="0FD3ACFB" w14:textId="58FCCC39" w:rsidR="009634A5" w:rsidRDefault="009634A5" w:rsidP="0098760D">
      <w:pPr>
        <w:jc w:val="both"/>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xml:space="preserve">. An example of this type of gender bias can be observed with the </w:t>
      </w:r>
      <w:proofErr w:type="spellStart"/>
      <w:r w:rsidR="009065F0">
        <w:rPr>
          <w:rFonts w:cstheme="minorHAnsi"/>
        </w:rPr>
        <w:t>Github</w:t>
      </w:r>
      <w:proofErr w:type="spellEnd"/>
      <w:r w:rsidR="009065F0">
        <w:rPr>
          <w:rFonts w:cstheme="minorHAnsi"/>
        </w:rPr>
        <w:t xml:space="preserve">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proofErr w:type="spellStart"/>
      <w:r w:rsidR="00476A87">
        <w:rPr>
          <w:rFonts w:cstheme="minorHAnsi"/>
        </w:rPr>
        <w:t>Parsheera</w:t>
      </w:r>
      <w:proofErr w:type="spellEnd"/>
      <w:r w:rsidR="00476A87">
        <w:rPr>
          <w:rFonts w:cstheme="minorHAnsi"/>
        </w:rPr>
        <w:t>, 2018)</w:t>
      </w:r>
      <w:r w:rsidR="0015403B">
        <w:rPr>
          <w:rFonts w:cstheme="minorHAnsi"/>
        </w:rPr>
        <w:t>.</w:t>
      </w:r>
      <w:r w:rsidR="009065F0">
        <w:rPr>
          <w:rFonts w:cstheme="minorHAnsi"/>
        </w:rPr>
        <w:t xml:space="preserve"> </w:t>
      </w:r>
      <w:r w:rsidR="006D4BC1">
        <w:rPr>
          <w:rFonts w:cstheme="minorHAnsi"/>
        </w:rPr>
        <w:t xml:space="preserve">Successive measures such as cross-disciplinary 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rsidP="0098760D">
      <w:pPr>
        <w:jc w:val="both"/>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rsidP="0098760D">
      <w:pPr>
        <w:jc w:val="both"/>
        <w:rPr>
          <w:rFonts w:cstheme="minorHAnsi"/>
        </w:rPr>
      </w:pPr>
    </w:p>
    <w:p w14:paraId="043A808C" w14:textId="6A09CE2C" w:rsidR="00291AA5" w:rsidRDefault="00AF6DED" w:rsidP="0098760D">
      <w:pPr>
        <w:jc w:val="both"/>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98760D">
      <w:pPr>
        <w:jc w:val="both"/>
        <w:rPr>
          <w:rFonts w:cstheme="minorHAnsi"/>
        </w:rPr>
      </w:pPr>
    </w:p>
    <w:p w14:paraId="55D01D28" w14:textId="76D6B945" w:rsidR="007F69EF" w:rsidRPr="004A5DB0" w:rsidRDefault="005A2D2B" w:rsidP="0098760D">
      <w:pPr>
        <w:pStyle w:val="Heading1"/>
        <w:jc w:val="both"/>
        <w:rPr>
          <w:rFonts w:ascii="Times New Roman" w:hAnsi="Times New Roman" w:cs="Times New Roman"/>
        </w:rPr>
      </w:pPr>
      <w:r>
        <w:rPr>
          <w:rFonts w:ascii="Times New Roman" w:hAnsi="Times New Roman" w:cs="Times New Roman"/>
        </w:rPr>
        <w:lastRenderedPageBreak/>
        <w:t>Section B</w:t>
      </w:r>
    </w:p>
    <w:p w14:paraId="30D631B8" w14:textId="755AC54A" w:rsidR="007F69EF" w:rsidRDefault="00746F40" w:rsidP="0098760D">
      <w:pPr>
        <w:jc w:val="both"/>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breach of security leading to the accidental or unlawful destruction, loss, alteration, unauthorised disclosure of, or access to, personal data.”</w:t>
      </w:r>
      <w:r w:rsidR="002467EB">
        <w:rPr>
          <w:rFonts w:cstheme="minorHAnsi"/>
          <w:color w:val="000000"/>
          <w:shd w:val="clear" w:color="auto" w:fill="FFFFFF"/>
        </w:rPr>
        <w:t xml:space="preserve"> (ICO, 2018).</w:t>
      </w:r>
      <w:r w:rsidRPr="00C36C82">
        <w:rPr>
          <w:rFonts w:cstheme="minorHAnsi"/>
          <w:color w:val="000000"/>
          <w:shd w:val="clear" w:color="auto" w:fill="FFFFFF"/>
        </w:rPr>
        <w:t xml:space="preserve">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4F80577D" w:rsidR="00AB40E2" w:rsidRDefault="00AB40E2" w:rsidP="0098760D">
      <w:pPr>
        <w:jc w:val="both"/>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w:t>
      </w:r>
      <w:r w:rsidR="002467EB">
        <w:rPr>
          <w:rFonts w:cstheme="minorHAnsi"/>
          <w:color w:val="000000"/>
          <w:sz w:val="23"/>
          <w:szCs w:val="23"/>
          <w:shd w:val="clear" w:color="auto" w:fill="FFFFFF"/>
        </w:rPr>
        <w:t xml:space="preserve"> (BBC, 2020)</w:t>
      </w:r>
      <w:r w:rsidR="002C577A">
        <w:rPr>
          <w:rFonts w:cstheme="minorHAnsi"/>
          <w:color w:val="000000"/>
          <w:sz w:val="23"/>
          <w:szCs w:val="23"/>
          <w:shd w:val="clear" w:color="auto" w:fill="FFFFFF"/>
        </w:rPr>
        <w:t>.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B12AAE">
        <w:rPr>
          <w:rFonts w:cstheme="minorHAnsi"/>
          <w:color w:val="000000"/>
          <w:sz w:val="23"/>
          <w:szCs w:val="23"/>
          <w:shd w:val="clear" w:color="auto" w:fill="FFFFFF"/>
        </w:rPr>
        <w:t xml:space="preserve"> (EU</w:t>
      </w:r>
      <w:r w:rsidR="00EE3489">
        <w:rPr>
          <w:rFonts w:cstheme="minorHAnsi"/>
          <w:color w:val="000000"/>
          <w:sz w:val="23"/>
          <w:szCs w:val="23"/>
          <w:shd w:val="clear" w:color="auto" w:fill="FFFFFF"/>
        </w:rPr>
        <w:t xml:space="preserve"> GDPR</w:t>
      </w:r>
      <w:r w:rsidR="00B12AAE">
        <w:rPr>
          <w:rFonts w:cstheme="minorHAnsi"/>
          <w:color w:val="000000"/>
          <w:sz w:val="23"/>
          <w:szCs w:val="23"/>
          <w:shd w:val="clear" w:color="auto" w:fill="FFFFFF"/>
        </w:rPr>
        <w:t>, 2016)</w:t>
      </w:r>
      <w:r w:rsidR="002C577A">
        <w:rPr>
          <w:rFonts w:cstheme="minorHAnsi"/>
          <w:color w:val="000000"/>
          <w:sz w:val="23"/>
          <w:szCs w:val="23"/>
          <w:shd w:val="clear" w:color="auto" w:fill="FFFFFF"/>
        </w:rPr>
        <w:t xml:space="preserve">. </w:t>
      </w:r>
    </w:p>
    <w:p w14:paraId="0E87AAF3" w14:textId="21F5EE2A" w:rsidR="00E006A6" w:rsidRDefault="00E006A6" w:rsidP="0098760D">
      <w:pPr>
        <w:jc w:val="both"/>
        <w:rPr>
          <w:rFonts w:cstheme="minorHAnsi"/>
          <w:color w:val="000000"/>
          <w:sz w:val="23"/>
          <w:szCs w:val="23"/>
          <w:shd w:val="clear" w:color="auto" w:fill="FFFFFF"/>
        </w:rPr>
      </w:pPr>
    </w:p>
    <w:p w14:paraId="68066327" w14:textId="2C177AE6" w:rsidR="00B12AAE" w:rsidRDefault="00F97971" w:rsidP="0098760D">
      <w:pPr>
        <w:pStyle w:val="Heading2"/>
        <w:jc w:val="both"/>
        <w:rPr>
          <w:shd w:val="clear" w:color="auto" w:fill="FFFFFF"/>
        </w:rPr>
      </w:pPr>
      <w:r>
        <w:rPr>
          <w:shd w:val="clear" w:color="auto" w:fill="FFFFFF"/>
        </w:rPr>
        <w:t>Critical Issue</w:t>
      </w:r>
      <w:r w:rsidR="00B12AAE">
        <w:rPr>
          <w:shd w:val="clear" w:color="auto" w:fill="FFFFFF"/>
        </w:rPr>
        <w:t>:</w:t>
      </w:r>
    </w:p>
    <w:p w14:paraId="72BE8703" w14:textId="12E97FA7" w:rsidR="00F84281" w:rsidRDefault="00F84281" w:rsidP="0098760D">
      <w:pPr>
        <w:jc w:val="both"/>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w:t>
      </w:r>
      <w:r w:rsidR="00B12AAE">
        <w:rPr>
          <w:rFonts w:cstheme="minorHAnsi"/>
          <w:color w:val="000000"/>
          <w:sz w:val="23"/>
          <w:szCs w:val="23"/>
          <w:shd w:val="clear" w:color="auto" w:fill="FFFFFF"/>
        </w:rPr>
        <w:t xml:space="preserve"> (BBC, 2020)</w:t>
      </w:r>
      <w:r>
        <w:rPr>
          <w:rFonts w:cstheme="minorHAnsi"/>
          <w:color w:val="000000"/>
          <w:sz w:val="23"/>
          <w:szCs w:val="23"/>
          <w:shd w:val="clear" w:color="auto" w:fill="FFFFFF"/>
        </w:rPr>
        <w:t>. Looking at the Marriott hotels current data collection standards, we can see the vast amount of information that was vulnerable during the breach period</w:t>
      </w:r>
      <w:r w:rsidR="00B12AAE">
        <w:rPr>
          <w:rFonts w:cstheme="minorHAnsi"/>
          <w:color w:val="000000"/>
          <w:sz w:val="23"/>
          <w:szCs w:val="23"/>
          <w:shd w:val="clear" w:color="auto" w:fill="FFFFFF"/>
        </w:rPr>
        <w:t xml:space="preserve"> (Marriott, 2021)</w:t>
      </w:r>
      <w:r>
        <w:rPr>
          <w:rFonts w:cstheme="minorHAnsi"/>
          <w:color w:val="000000"/>
          <w:sz w:val="23"/>
          <w:szCs w:val="23"/>
          <w:shd w:val="clear" w:color="auto" w:fill="FFFFFF"/>
        </w:rPr>
        <w:t>:</w:t>
      </w:r>
    </w:p>
    <w:p w14:paraId="0E0961E5"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98760D">
      <w:pPr>
        <w:jc w:val="both"/>
        <w:rPr>
          <w:rFonts w:cstheme="minorHAnsi"/>
          <w:color w:val="000000"/>
          <w:sz w:val="23"/>
          <w:szCs w:val="23"/>
          <w:shd w:val="clear" w:color="auto" w:fill="FFFFFF"/>
        </w:rPr>
      </w:pPr>
    </w:p>
    <w:p w14:paraId="6EE4A4FB" w14:textId="7B409F5C" w:rsidR="00746F40" w:rsidRPr="00F84281" w:rsidRDefault="00F84281" w:rsidP="0098760D">
      <w:pPr>
        <w:jc w:val="both"/>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lastRenderedPageBreak/>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In response to this, the ICO was able to administer a fine of £18.4million under articles 83(1) and (2) of GDPR</w:t>
      </w:r>
      <w:r w:rsidR="005338EE">
        <w:rPr>
          <w:rFonts w:cstheme="minorHAnsi"/>
          <w:color w:val="000000"/>
          <w:shd w:val="clear" w:color="auto" w:fill="FFFFFF"/>
        </w:rPr>
        <w:t xml:space="preserve"> (ICO 2020)</w:t>
      </w:r>
      <w:r w:rsidR="00A044B4">
        <w:rPr>
          <w:rFonts w:cstheme="minorHAnsi"/>
          <w:color w:val="000000"/>
          <w:shd w:val="clear" w:color="auto" w:fill="FFFFFF"/>
        </w:rPr>
        <w:t xml:space="preserve">, under the belief that it was a proportional response and would be effective in making Marriott increase its data security. </w:t>
      </w:r>
    </w:p>
    <w:p w14:paraId="38268E94" w14:textId="3A389058" w:rsidR="00746F40" w:rsidRDefault="00746F40" w:rsidP="0098760D">
      <w:pPr>
        <w:jc w:val="both"/>
        <w:rPr>
          <w:rFonts w:ascii="Verdana" w:hAnsi="Verdana"/>
          <w:color w:val="000000"/>
          <w:sz w:val="23"/>
          <w:szCs w:val="23"/>
          <w:shd w:val="clear" w:color="auto" w:fill="FFFFFF"/>
        </w:rPr>
      </w:pPr>
    </w:p>
    <w:p w14:paraId="50A7A41A" w14:textId="292F07C6" w:rsidR="00207E20" w:rsidRDefault="00064563" w:rsidP="0098760D">
      <w:pPr>
        <w:jc w:val="both"/>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w:t>
      </w:r>
      <w:r w:rsidR="00582D9B">
        <w:rPr>
          <w:rFonts w:cstheme="minorHAnsi"/>
          <w:color w:val="000000"/>
          <w:shd w:val="clear" w:color="auto" w:fill="FFFFFF"/>
        </w:rPr>
        <w:t>EU</w:t>
      </w:r>
      <w:r w:rsidR="006B75EB">
        <w:rPr>
          <w:rFonts w:cstheme="minorHAnsi"/>
          <w:color w:val="000000"/>
          <w:shd w:val="clear" w:color="auto" w:fill="FFFFFF"/>
        </w:rPr>
        <w:t xml:space="preserve"> GDPR</w:t>
      </w:r>
      <w:r w:rsidR="008C07D0">
        <w:rPr>
          <w:rFonts w:cstheme="minorHAnsi"/>
          <w:color w:val="000000"/>
          <w:shd w:val="clear" w:color="auto" w:fill="FFFFFF"/>
        </w:rPr>
        <w:t>, 2016</w:t>
      </w:r>
      <w:r w:rsidR="00582D9B">
        <w:rPr>
          <w:rFonts w:cstheme="minorHAnsi"/>
          <w:color w:val="000000"/>
          <w:shd w:val="clear" w:color="auto" w:fill="FFFFFF"/>
        </w:rPr>
        <w:t>, A</w:t>
      </w:r>
      <w:r w:rsidR="00582D9B">
        <w:rPr>
          <w:rFonts w:cstheme="minorHAnsi"/>
          <w:color w:val="000000"/>
          <w:shd w:val="clear" w:color="auto" w:fill="FFFFFF"/>
        </w:rPr>
        <w:t>rticle 4(2)</w:t>
      </w:r>
      <w:r w:rsidR="006B75EB">
        <w:rPr>
          <w:rFonts w:cstheme="minorHAnsi"/>
          <w:color w:val="000000"/>
          <w:shd w:val="clear" w:color="auto" w:fill="FFFFFF"/>
        </w:rPr>
        <w:t xml:space="preserve">)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924CD49" w:rsidR="00207E20" w:rsidRDefault="00207E20" w:rsidP="0098760D">
      <w:pPr>
        <w:jc w:val="both"/>
        <w:rPr>
          <w:rFonts w:cstheme="minorHAnsi"/>
          <w:color w:val="000000"/>
          <w:shd w:val="clear" w:color="auto" w:fill="FFFFFF"/>
        </w:rPr>
      </w:pPr>
    </w:p>
    <w:p w14:paraId="13E4654E" w14:textId="025373B4" w:rsidR="00062E0E" w:rsidRDefault="00062E0E" w:rsidP="0098760D">
      <w:pPr>
        <w:pStyle w:val="Heading2"/>
        <w:jc w:val="both"/>
        <w:rPr>
          <w:shd w:val="clear" w:color="auto" w:fill="FFFFFF"/>
        </w:rPr>
      </w:pPr>
      <w:r>
        <w:rPr>
          <w:shd w:val="clear" w:color="auto" w:fill="FFFFFF"/>
        </w:rPr>
        <w:t>Interview with Expert</w:t>
      </w:r>
    </w:p>
    <w:p w14:paraId="27064BDF" w14:textId="6EEA04A3" w:rsidR="00746F40" w:rsidRDefault="00644FA8" w:rsidP="0098760D">
      <w:pPr>
        <w:jc w:val="both"/>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w:t>
      </w:r>
      <w:r w:rsidR="00062E0E">
        <w:rPr>
          <w:rFonts w:cstheme="minorHAnsi"/>
          <w:color w:val="000000"/>
          <w:shd w:val="clear" w:color="auto" w:fill="FFFFFF"/>
        </w:rPr>
        <w:t xml:space="preserve">henceforth </w:t>
      </w:r>
      <w:r w:rsidR="00887B76">
        <w:rPr>
          <w:rFonts w:cstheme="minorHAnsi"/>
          <w:color w:val="000000"/>
          <w:shd w:val="clear" w:color="auto" w:fill="FFFFFF"/>
        </w:rPr>
        <w:t>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6EE7565F" w14:textId="172CE746" w:rsidR="00C552FB" w:rsidRDefault="00887B76" w:rsidP="0098760D">
      <w:pPr>
        <w:jc w:val="both"/>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w:t>
      </w:r>
      <w:r w:rsidR="000A374C">
        <w:rPr>
          <w:rFonts w:cstheme="minorHAnsi"/>
          <w:color w:val="000000"/>
          <w:shd w:val="clear" w:color="auto" w:fill="FFFFFF"/>
        </w:rPr>
        <w:t>International, Inc</w:t>
      </w:r>
      <w:r w:rsidR="004A438B">
        <w:rPr>
          <w:rFonts w:cstheme="minorHAnsi"/>
          <w:color w:val="000000"/>
          <w:shd w:val="clear" w:color="auto" w:fill="FFFFFF"/>
        </w:rPr>
        <w:t xml:space="preserve"> (that owns Marriott hotels) operates 30 brands internationally with a revenue of $20billion in 2018</w:t>
      </w:r>
      <w:r w:rsidR="00043269">
        <w:rPr>
          <w:rFonts w:cstheme="minorHAnsi"/>
          <w:color w:val="000000"/>
          <w:shd w:val="clear" w:color="auto" w:fill="FFFFFF"/>
        </w:rPr>
        <w:t xml:space="preserve"> (Statista, 2022)</w:t>
      </w:r>
      <w:r w:rsidR="004A438B">
        <w:rPr>
          <w:rFonts w:cstheme="minorHAnsi"/>
          <w:color w:val="000000"/>
          <w:shd w:val="clear" w:color="auto" w:fill="FFFFFF"/>
        </w:rPr>
        <w:t xml:space="preserve">. To a corporate entity such as Marriott </w:t>
      </w:r>
      <w:r w:rsidR="000A374C">
        <w:rPr>
          <w:rFonts w:cstheme="minorHAnsi"/>
          <w:color w:val="000000"/>
          <w:shd w:val="clear" w:color="auto" w:fill="FFFFFF"/>
        </w:rPr>
        <w:t>International</w:t>
      </w:r>
      <w:r w:rsidR="004A438B">
        <w:rPr>
          <w:rFonts w:cstheme="minorHAnsi"/>
          <w:color w:val="000000"/>
          <w:shd w:val="clear" w:color="auto" w:fill="FFFFFF"/>
        </w:rPr>
        <w:t xml:space="preserve">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p>
    <w:p w14:paraId="13652E6E" w14:textId="42CDDEC0" w:rsidR="007E350D" w:rsidRDefault="00E81CBF" w:rsidP="0098760D">
      <w:pPr>
        <w:jc w:val="both"/>
        <w:rPr>
          <w:rFonts w:cstheme="minorHAnsi"/>
          <w:color w:val="000000"/>
          <w:shd w:val="clear" w:color="auto" w:fill="FFFFFF"/>
        </w:rPr>
      </w:pPr>
      <w:r>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based </w:t>
      </w:r>
      <w:r>
        <w:rPr>
          <w:rFonts w:cstheme="minorHAnsi"/>
          <w:color w:val="000000"/>
          <w:shd w:val="clear" w:color="auto" w:fill="FFFFFF"/>
        </w:rPr>
        <w:lastRenderedPageBreak/>
        <w:t xml:space="preserve">on your data.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rsidP="0098760D">
      <w:pPr>
        <w:jc w:val="both"/>
        <w:rPr>
          <w:rFonts w:cstheme="minorHAnsi"/>
          <w:color w:val="000000"/>
          <w:shd w:val="clear" w:color="auto" w:fill="FFFFFF"/>
        </w:rPr>
      </w:pPr>
    </w:p>
    <w:p w14:paraId="770CAE70" w14:textId="0EBAB441" w:rsidR="00887B76" w:rsidRDefault="007E350D" w:rsidP="0098760D">
      <w:pPr>
        <w:jc w:val="both"/>
        <w:rPr>
          <w:rFonts w:cstheme="minorHAnsi"/>
          <w:color w:val="000000"/>
          <w:shd w:val="clear" w:color="auto" w:fill="FFFFFF"/>
        </w:rPr>
      </w:pPr>
      <w:r>
        <w:rPr>
          <w:rFonts w:cstheme="minorHAnsi"/>
          <w:color w:val="000000"/>
          <w:shd w:val="clear" w:color="auto" w:fill="FFFFFF"/>
        </w:rPr>
        <w:t>Another point mentioned by the Expert was on the type of data declared vulnerable by Marriott hotels, and the data that Marriott collects and has access to as a whole. The official 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xml:space="preserve">” compromised. However, as seen above it is known that Marriott also collects information such as gender, employer, </w:t>
      </w:r>
      <w:r w:rsidR="00E81CBF">
        <w:rPr>
          <w:rFonts w:cstheme="minorHAnsi"/>
          <w:color w:val="000000"/>
          <w:shd w:val="clear" w:color="auto" w:fill="FFFFFF"/>
        </w:rPr>
        <w:t>place of birth</w:t>
      </w:r>
      <w:r w:rsidR="00924D0A">
        <w:rPr>
          <w:rFonts w:cstheme="minorHAnsi"/>
          <w:color w:val="000000"/>
          <w:shd w:val="clear" w:color="auto" w:fill="FFFFFF"/>
        </w:rPr>
        <w:t>,</w:t>
      </w:r>
      <w:r w:rsidR="00350E3A">
        <w:rPr>
          <w:rFonts w:cstheme="minorHAnsi"/>
          <w:color w:val="000000"/>
          <w:shd w:val="clear" w:color="auto" w:fill="FFFFFF"/>
        </w:rPr>
        <w:t xml:space="preserve"> as well as</w:t>
      </w:r>
      <w:r w:rsidR="00E81CBF">
        <w:rPr>
          <w:rFonts w:cstheme="minorHAnsi"/>
          <w:color w:val="000000"/>
          <w:shd w:val="clear" w:color="auto" w:fill="FFFFFF"/>
        </w:rPr>
        <w:t xml:space="preserve"> any data that is linked to social media accounts. </w:t>
      </w:r>
      <w:r w:rsidR="00062E0E">
        <w:rPr>
          <w:rFonts w:cstheme="minorHAnsi"/>
          <w:color w:val="000000"/>
          <w:shd w:val="clear" w:color="auto" w:fill="FFFFFF"/>
        </w:rPr>
        <w:t xml:space="preserve">This extraneous type of information could be used to access user accounts not connected with Marriott hotels, for instance, using place of birth to guess security questions and allowing the hacker access to even more sensitive data about an individual. </w:t>
      </w:r>
    </w:p>
    <w:p w14:paraId="2BA1CC8C" w14:textId="7930F3C4" w:rsidR="00C61C65" w:rsidRDefault="00C61C65" w:rsidP="0098760D">
      <w:pPr>
        <w:jc w:val="both"/>
        <w:rPr>
          <w:rFonts w:cstheme="minorHAnsi"/>
          <w:color w:val="000000"/>
          <w:shd w:val="clear" w:color="auto" w:fill="FFFFFF"/>
        </w:rPr>
      </w:pPr>
    </w:p>
    <w:p w14:paraId="6604AF65" w14:textId="5D3530B5" w:rsidR="00C61C65" w:rsidRDefault="00C61C65" w:rsidP="0098760D">
      <w:pPr>
        <w:jc w:val="both"/>
        <w:rPr>
          <w:rFonts w:cstheme="minorHAnsi"/>
          <w:color w:val="000000"/>
          <w:shd w:val="clear" w:color="auto" w:fill="FFFFFF"/>
        </w:rPr>
      </w:pPr>
      <w:r>
        <w:rPr>
          <w:rFonts w:cstheme="minorHAnsi"/>
          <w:color w:val="000000"/>
          <w:shd w:val="clear" w:color="auto" w:fill="FFFFFF"/>
        </w:rPr>
        <w:t xml:space="preserve">The Expert then moves on to more general issues with the GDPR. For one, the concept of anonymisation is currently being investigated </w:t>
      </w:r>
      <w:r w:rsidR="008A0017">
        <w:rPr>
          <w:rFonts w:cstheme="minorHAnsi"/>
          <w:color w:val="000000"/>
          <w:shd w:val="clear" w:color="auto" w:fill="FFFFFF"/>
        </w:rPr>
        <w:t xml:space="preserve">in the context of data privacy and data consent </w:t>
      </w:r>
      <w:r>
        <w:rPr>
          <w:rFonts w:cstheme="minorHAnsi"/>
          <w:color w:val="000000"/>
          <w:shd w:val="clear" w:color="auto" w:fill="FFFFFF"/>
        </w:rPr>
        <w:t>(</w:t>
      </w:r>
      <w:proofErr w:type="spellStart"/>
      <w:r>
        <w:rPr>
          <w:rFonts w:cstheme="minorHAnsi"/>
          <w:color w:val="000000"/>
          <w:shd w:val="clear" w:color="auto" w:fill="FFFFFF"/>
        </w:rPr>
        <w:t>Esayas</w:t>
      </w:r>
      <w:proofErr w:type="spellEnd"/>
      <w:r>
        <w:rPr>
          <w:rFonts w:cstheme="minorHAnsi"/>
          <w:color w:val="000000"/>
          <w:shd w:val="clear" w:color="auto" w:fill="FFFFFF"/>
        </w:rPr>
        <w:t>, 2015)</w:t>
      </w:r>
      <w:r w:rsidR="008A0017">
        <w:rPr>
          <w:rFonts w:cstheme="minorHAnsi"/>
          <w:color w:val="000000"/>
          <w:shd w:val="clear" w:color="auto" w:fill="FFFFFF"/>
        </w:rPr>
        <w:t>. When combined with other data, it is becoming far easier to identify individuals using supposedly anonymised data. This is because most processes that are classed as anonymisation are actually pseudonymisation</w:t>
      </w:r>
      <w:r w:rsidR="00F120D3">
        <w:rPr>
          <w:rFonts w:cstheme="minorHAnsi"/>
          <w:color w:val="000000"/>
          <w:shd w:val="clear" w:color="auto" w:fill="FFFFFF"/>
        </w:rPr>
        <w:t>. Anonymisation in this context is rendering certain information “non-personal” so that the subject cannot be re-identified. Therefore, this information can now be processed without the consent of the original user as it can no longer be used to identify a natural person</w:t>
      </w:r>
      <w:r w:rsidR="0038722A">
        <w:rPr>
          <w:rFonts w:cstheme="minorHAnsi"/>
          <w:color w:val="000000"/>
          <w:shd w:val="clear" w:color="auto" w:fill="FFFFFF"/>
        </w:rPr>
        <w:t>, which would be illegal under GDPR (EU GDPR, 2016, Article 4(1)</w:t>
      </w:r>
      <w:r w:rsidR="00F22AEB">
        <w:rPr>
          <w:rFonts w:cstheme="minorHAnsi"/>
          <w:color w:val="000000"/>
          <w:shd w:val="clear" w:color="auto" w:fill="FFFFFF"/>
        </w:rPr>
        <w:t>)</w:t>
      </w:r>
      <w:r w:rsidR="00F120D3">
        <w:rPr>
          <w:rFonts w:cstheme="minorHAnsi"/>
          <w:color w:val="000000"/>
          <w:shd w:val="clear" w:color="auto" w:fill="FFFFFF"/>
        </w:rPr>
        <w:t>.</w:t>
      </w:r>
      <w:r w:rsidR="00F22AEB">
        <w:rPr>
          <w:rFonts w:cstheme="minorHAnsi"/>
          <w:color w:val="000000"/>
          <w:shd w:val="clear" w:color="auto" w:fill="FFFFFF"/>
        </w:rPr>
        <w:t xml:space="preserve"> Complete anonymisation of data is becoming more difficult with advances in technology</w:t>
      </w:r>
      <w:r w:rsidR="00C20B9A">
        <w:rPr>
          <w:rFonts w:cstheme="minorHAnsi"/>
          <w:color w:val="000000"/>
          <w:shd w:val="clear" w:color="auto" w:fill="FFFFFF"/>
        </w:rPr>
        <w:t xml:space="preserve"> (Keen 2020)</w:t>
      </w:r>
      <w:r w:rsidR="00F22AEB">
        <w:rPr>
          <w:rFonts w:cstheme="minorHAnsi"/>
          <w:color w:val="000000"/>
          <w:shd w:val="clear" w:color="auto" w:fill="FFFFFF"/>
        </w:rPr>
        <w:t xml:space="preserve">, </w:t>
      </w:r>
      <w:r w:rsidR="00044C67">
        <w:rPr>
          <w:rFonts w:cstheme="minorHAnsi"/>
          <w:color w:val="000000"/>
          <w:shd w:val="clear" w:color="auto" w:fill="FFFFFF"/>
        </w:rPr>
        <w:t xml:space="preserve">and what most companies think of as anonymisation is actually pseudonymisation where they replace subject attributes with codes or replacement values. The Expert then states how this is very different from true anonymisation in the eyes of the law as pseudonymised data is far easier to identify natural individuals with. Therefore, companies that use this data are actually breaking GDPR by processing it (for its non-original purpose) under previously mentioned GDPR Article 4(1). </w:t>
      </w:r>
      <w:r w:rsidR="00CE39D4">
        <w:rPr>
          <w:rFonts w:cstheme="minorHAnsi"/>
          <w:color w:val="000000"/>
          <w:shd w:val="clear" w:color="auto" w:fill="FFFFFF"/>
        </w:rPr>
        <w:t>In relation to the Marriott case, there does not appear to have been an attempt to anonymise or at least pseudonymise the data processed by the company</w:t>
      </w:r>
      <w:r w:rsidR="0039507B">
        <w:rPr>
          <w:rFonts w:cstheme="minorHAnsi"/>
          <w:color w:val="000000"/>
          <w:shd w:val="clear" w:color="auto" w:fill="FFFFFF"/>
        </w:rPr>
        <w:t xml:space="preserve"> which may have </w:t>
      </w:r>
      <w:r w:rsidR="0098760D">
        <w:rPr>
          <w:rFonts w:cstheme="minorHAnsi"/>
          <w:color w:val="000000"/>
          <w:shd w:val="clear" w:color="auto" w:fill="FFFFFF"/>
        </w:rPr>
        <w:t>increased</w:t>
      </w:r>
      <w:r w:rsidR="0039507B">
        <w:rPr>
          <w:rFonts w:cstheme="minorHAnsi"/>
          <w:color w:val="000000"/>
          <w:shd w:val="clear" w:color="auto" w:fill="FFFFFF"/>
        </w:rPr>
        <w:t xml:space="preserve"> the ability of the attackers to </w:t>
      </w:r>
      <w:r w:rsidR="0098760D">
        <w:rPr>
          <w:rFonts w:cstheme="minorHAnsi"/>
          <w:color w:val="000000"/>
          <w:shd w:val="clear" w:color="auto" w:fill="FFFFFF"/>
        </w:rPr>
        <w:t xml:space="preserve">identify or </w:t>
      </w:r>
      <w:r w:rsidR="0039507B">
        <w:rPr>
          <w:rFonts w:cstheme="minorHAnsi"/>
          <w:color w:val="000000"/>
          <w:shd w:val="clear" w:color="auto" w:fill="FFFFFF"/>
        </w:rPr>
        <w:t xml:space="preserve">cause harm to the users. </w:t>
      </w:r>
      <w:r w:rsidR="00044C67">
        <w:rPr>
          <w:rFonts w:cstheme="minorHAnsi"/>
          <w:color w:val="000000"/>
          <w:shd w:val="clear" w:color="auto" w:fill="FFFFFF"/>
        </w:rPr>
        <w:t xml:space="preserve"> </w:t>
      </w:r>
    </w:p>
    <w:p w14:paraId="5C9A82D8" w14:textId="2E9A724F" w:rsidR="0098760D" w:rsidRDefault="0098760D" w:rsidP="0098760D">
      <w:pPr>
        <w:jc w:val="both"/>
        <w:rPr>
          <w:rFonts w:cstheme="minorHAnsi"/>
          <w:color w:val="000000"/>
          <w:shd w:val="clear" w:color="auto" w:fill="FFFFFF"/>
        </w:rPr>
      </w:pPr>
    </w:p>
    <w:p w14:paraId="7620125E" w14:textId="0C4A1245" w:rsidR="0098760D" w:rsidRDefault="0098760D" w:rsidP="0098760D">
      <w:pPr>
        <w:jc w:val="both"/>
        <w:rPr>
          <w:rFonts w:cstheme="minorHAnsi"/>
          <w:color w:val="000000"/>
          <w:shd w:val="clear" w:color="auto" w:fill="FFFFFF"/>
        </w:rPr>
      </w:pPr>
      <w:r>
        <w:rPr>
          <w:rFonts w:cstheme="minorHAnsi"/>
          <w:color w:val="000000"/>
          <w:shd w:val="clear" w:color="auto" w:fill="FFFFFF"/>
        </w:rPr>
        <w:t>In relation to data security, the Expert discusses how companies are starting to move their data storage and processing facilities to external companies (referred to as the cloud), such as Amazon and Google</w:t>
      </w:r>
      <w:r w:rsidR="0062147E">
        <w:rPr>
          <w:rFonts w:cstheme="minorHAnsi"/>
          <w:color w:val="000000"/>
          <w:shd w:val="clear" w:color="auto" w:fill="FFFFFF"/>
        </w:rPr>
        <w:t xml:space="preserve"> (Hashem et al, 2015)</w:t>
      </w:r>
      <w:r>
        <w:rPr>
          <w:rFonts w:cstheme="minorHAnsi"/>
          <w:color w:val="000000"/>
          <w:shd w:val="clear" w:color="auto" w:fill="FFFFFF"/>
        </w:rPr>
        <w:t>. These cloud companies invest heavily in cybersecurity and data backups and therefore it should be harder to have a data breach or loss of data. However, this opens up a grey area within legislation and GDPR due to the</w:t>
      </w:r>
      <w:r w:rsidR="0062147E">
        <w:rPr>
          <w:rFonts w:cstheme="minorHAnsi"/>
          <w:color w:val="000000"/>
          <w:shd w:val="clear" w:color="auto" w:fill="FFFFFF"/>
        </w:rPr>
        <w:t xml:space="preserve"> user’s data rights and how they are potentially being signed over to third party companies, as well as the lack of legal provision to enforce policy within the cloud environment (</w:t>
      </w:r>
      <w:proofErr w:type="spellStart"/>
      <w:r w:rsidR="0062147E">
        <w:rPr>
          <w:rFonts w:cstheme="minorHAnsi"/>
          <w:color w:val="000000"/>
          <w:shd w:val="clear" w:color="auto" w:fill="FFFFFF"/>
        </w:rPr>
        <w:t>Kshetri</w:t>
      </w:r>
      <w:proofErr w:type="spellEnd"/>
      <w:r w:rsidR="0062147E">
        <w:rPr>
          <w:rFonts w:cstheme="minorHAnsi"/>
          <w:color w:val="000000"/>
          <w:shd w:val="clear" w:color="auto" w:fill="FFFFFF"/>
        </w:rPr>
        <w:t>, 2013). It is unclear what cloud companies are allowed to do with processed data, in signing an agreement to process data for a company (such as Marriott) are they allowed to use it for purposes such as machine learning?</w:t>
      </w:r>
      <w:r w:rsidR="00E95816">
        <w:rPr>
          <w:rFonts w:cstheme="minorHAnsi"/>
          <w:color w:val="000000"/>
          <w:shd w:val="clear" w:color="auto" w:fill="FFFFFF"/>
        </w:rPr>
        <w:t xml:space="preserve"> How ethical is this on the user? </w:t>
      </w:r>
      <w:r w:rsidR="009A4CF6">
        <w:rPr>
          <w:rFonts w:cstheme="minorHAnsi"/>
          <w:color w:val="000000"/>
          <w:shd w:val="clear" w:color="auto" w:fill="FFFFFF"/>
        </w:rPr>
        <w:t>Privacy agreements are already convoluted due to legal requirements (Cave, 2016)</w:t>
      </w:r>
      <w:r w:rsidR="0062147E">
        <w:rPr>
          <w:rFonts w:cstheme="minorHAnsi"/>
          <w:color w:val="000000"/>
          <w:shd w:val="clear" w:color="auto" w:fill="FFFFFF"/>
        </w:rPr>
        <w:t xml:space="preserve"> </w:t>
      </w:r>
      <w:r w:rsidR="004E6C02">
        <w:rPr>
          <w:rFonts w:cstheme="minorHAnsi"/>
          <w:color w:val="000000"/>
          <w:shd w:val="clear" w:color="auto" w:fill="FFFFFF"/>
        </w:rPr>
        <w:t xml:space="preserve">so the addition of another clause stating that a user’s data shall be stored with an external data provider is likely to be unnoticed. Whilst a user may initially consent to their data being used by the actual service provider (such as Marriott when booking a hotel and their other subsidiaries), you might not </w:t>
      </w:r>
      <w:r w:rsidR="004E6C02">
        <w:rPr>
          <w:rFonts w:cstheme="minorHAnsi"/>
          <w:color w:val="000000"/>
          <w:shd w:val="clear" w:color="auto" w:fill="FFFFFF"/>
        </w:rPr>
        <w:lastRenderedPageBreak/>
        <w:t xml:space="preserve">expect your data to </w:t>
      </w:r>
      <w:r w:rsidR="00140568">
        <w:rPr>
          <w:rFonts w:cstheme="minorHAnsi"/>
          <w:color w:val="000000"/>
          <w:shd w:val="clear" w:color="auto" w:fill="FFFFFF"/>
        </w:rPr>
        <w:t xml:space="preserve">then </w:t>
      </w:r>
      <w:r w:rsidR="003A231C">
        <w:rPr>
          <w:rFonts w:cstheme="minorHAnsi"/>
          <w:color w:val="000000"/>
          <w:shd w:val="clear" w:color="auto" w:fill="FFFFFF"/>
        </w:rPr>
        <w:t xml:space="preserve">be </w:t>
      </w:r>
      <w:r w:rsidR="00140568">
        <w:rPr>
          <w:rFonts w:cstheme="minorHAnsi"/>
          <w:color w:val="000000"/>
          <w:shd w:val="clear" w:color="auto" w:fill="FFFFFF"/>
        </w:rPr>
        <w:t xml:space="preserve">processed and used by a third-party company such as Google. In essence, </w:t>
      </w:r>
      <w:r w:rsidR="008A31C5">
        <w:rPr>
          <w:rFonts w:cstheme="minorHAnsi"/>
          <w:color w:val="000000"/>
          <w:shd w:val="clear" w:color="auto" w:fill="FFFFFF"/>
        </w:rPr>
        <w:t xml:space="preserve">by consenting for your data to be used by one company you are unknowingly consenting </w:t>
      </w:r>
      <w:r w:rsidR="003A231C">
        <w:rPr>
          <w:rFonts w:cstheme="minorHAnsi"/>
          <w:color w:val="000000"/>
          <w:shd w:val="clear" w:color="auto" w:fill="FFFFFF"/>
        </w:rPr>
        <w:t xml:space="preserve">for </w:t>
      </w:r>
      <w:r w:rsidR="008A31C5">
        <w:rPr>
          <w:rFonts w:cstheme="minorHAnsi"/>
          <w:color w:val="000000"/>
          <w:shd w:val="clear" w:color="auto" w:fill="FFFFFF"/>
        </w:rPr>
        <w:t xml:space="preserve">it to be used by the cloud company that is actually storing the data. </w:t>
      </w:r>
      <w:r w:rsidR="00BC19AF">
        <w:rPr>
          <w:rFonts w:cstheme="minorHAnsi"/>
          <w:color w:val="000000"/>
          <w:shd w:val="clear" w:color="auto" w:fill="FFFFFF"/>
        </w:rPr>
        <w:t>This leads into the Expert’s next point, that GDPR is focused on protecting businesses and not consumers by placing too much responsibility on the individual for data protection</w:t>
      </w:r>
      <w:r w:rsidR="00FE4364">
        <w:rPr>
          <w:rFonts w:cstheme="minorHAnsi"/>
          <w:color w:val="000000"/>
          <w:shd w:val="clear" w:color="auto" w:fill="FFFFFF"/>
        </w:rPr>
        <w:t xml:space="preserve"> (Layton, 2019)</w:t>
      </w:r>
      <w:r w:rsidR="00BC19AF">
        <w:rPr>
          <w:rFonts w:cstheme="minorHAnsi"/>
          <w:color w:val="000000"/>
          <w:shd w:val="clear" w:color="auto" w:fill="FFFFFF"/>
        </w:rPr>
        <w:t xml:space="preserve">. </w:t>
      </w:r>
      <w:r w:rsidR="00AD13E3">
        <w:rPr>
          <w:rFonts w:cstheme="minorHAnsi"/>
          <w:color w:val="000000"/>
          <w:shd w:val="clear" w:color="auto" w:fill="FFFFFF"/>
        </w:rPr>
        <w:t xml:space="preserve">The GDPR is explicitly set out to provide guidance for businesses in how to handle data. What this results in is overly complicated privacy policies that the average consumer does not have time or knowledge to understand. </w:t>
      </w:r>
      <w:r w:rsidR="00F27C47">
        <w:rPr>
          <w:rFonts w:cstheme="minorHAnsi"/>
          <w:color w:val="000000"/>
          <w:shd w:val="clear" w:color="auto" w:fill="FFFFFF"/>
        </w:rPr>
        <w:t xml:space="preserve">Within this are ambiguities such as the length of time data can be stored, GDPR contains the storage limitation principle which requires companies to not keep data for longer than it is needed (EU GDPR, 2016, Article 5(1)(e)). This is open to abuse as it is difficult in some cases to define when data is no longer needed. For Marriott, they define it as </w:t>
      </w:r>
      <w:r w:rsidR="00F27C47" w:rsidRPr="00F27C47">
        <w:rPr>
          <w:rFonts w:cstheme="minorHAnsi"/>
          <w:color w:val="000000"/>
          <w:shd w:val="clear" w:color="auto" w:fill="FFFFFF"/>
        </w:rPr>
        <w:t>“</w:t>
      </w:r>
      <w:r w:rsidR="00F27C47" w:rsidRPr="00F27C47">
        <w:rPr>
          <w:rFonts w:cstheme="minorHAnsi"/>
          <w:color w:val="1C1C1C"/>
          <w:shd w:val="clear" w:color="auto" w:fill="FFFFFF"/>
        </w:rPr>
        <w:t>The length of time we have an ongoing relationship with you and provide the Services to you”</w:t>
      </w:r>
      <w:r w:rsidR="00D22E90">
        <w:rPr>
          <w:rFonts w:cstheme="minorHAnsi"/>
          <w:color w:val="1C1C1C"/>
          <w:shd w:val="clear" w:color="auto" w:fill="FFFFFF"/>
        </w:rPr>
        <w:t xml:space="preserve"> (Marriott, 2021)</w:t>
      </w:r>
      <w:r w:rsidR="00F27C47">
        <w:rPr>
          <w:rFonts w:cstheme="minorHAnsi"/>
          <w:color w:val="1C1C1C"/>
          <w:shd w:val="clear" w:color="auto" w:fill="FFFFFF"/>
        </w:rPr>
        <w:t xml:space="preserve">. This includes holding an account with them. From the consumer point of view, an individual may create an account and book a hotel stay with Marriott for a single trip, yet Marriott is well within its rights to hold that data about you indefinitely, as well as share and collect additional data to create an accurate profile of your behaviour for the foreseeable future.   </w:t>
      </w:r>
      <w:r w:rsidR="00F27C47" w:rsidRPr="00F27C47">
        <w:rPr>
          <w:rFonts w:cstheme="minorHAnsi"/>
          <w:color w:val="000000"/>
          <w:shd w:val="clear" w:color="auto" w:fill="FFFFFF"/>
        </w:rPr>
        <w:t xml:space="preserve">  </w:t>
      </w:r>
      <w:r w:rsidR="004E6C02" w:rsidRPr="00F27C47">
        <w:rPr>
          <w:rFonts w:cstheme="minorHAnsi"/>
          <w:color w:val="000000"/>
          <w:shd w:val="clear" w:color="auto" w:fill="FFFFFF"/>
        </w:rPr>
        <w:t xml:space="preserve">  </w:t>
      </w:r>
      <w:r w:rsidRPr="00F27C47">
        <w:rPr>
          <w:rFonts w:cstheme="minorHAnsi"/>
          <w:color w:val="000000"/>
          <w:shd w:val="clear" w:color="auto" w:fill="FFFFFF"/>
        </w:rPr>
        <w:t xml:space="preserve"> </w:t>
      </w:r>
    </w:p>
    <w:p w14:paraId="10ABA4A8" w14:textId="23D86E5D" w:rsidR="00582D9B" w:rsidRDefault="00582D9B" w:rsidP="0098760D">
      <w:pPr>
        <w:jc w:val="both"/>
        <w:rPr>
          <w:rFonts w:cstheme="minorHAnsi"/>
          <w:color w:val="000000"/>
          <w:shd w:val="clear" w:color="auto" w:fill="FFFFFF"/>
        </w:rPr>
      </w:pPr>
    </w:p>
    <w:p w14:paraId="410EBB81" w14:textId="4B091C53" w:rsidR="00582D9B" w:rsidRPr="00064563" w:rsidRDefault="00582D9B" w:rsidP="0098760D">
      <w:pPr>
        <w:jc w:val="both"/>
        <w:rPr>
          <w:rFonts w:cstheme="minorHAnsi"/>
          <w:color w:val="000000"/>
          <w:shd w:val="clear" w:color="auto" w:fill="FFFFFF"/>
        </w:rPr>
      </w:pPr>
      <w:r>
        <w:rPr>
          <w:rFonts w:cstheme="minorHAnsi"/>
          <w:color w:val="000000"/>
          <w:shd w:val="clear" w:color="auto" w:fill="FFFFFF"/>
        </w:rPr>
        <w:t>The Expert brings up a final point for the future of GDPR within the UK and what direction our data privacy laws are being taken in. Firstly, it must be understood that the GDPR is a federated document within the EU</w:t>
      </w:r>
      <w:r w:rsidR="001F1833">
        <w:rPr>
          <w:rFonts w:cstheme="minorHAnsi"/>
          <w:color w:val="000000"/>
          <w:shd w:val="clear" w:color="auto" w:fill="FFFFFF"/>
        </w:rPr>
        <w:t xml:space="preserve"> </w:t>
      </w:r>
      <w:r w:rsidR="001F1833">
        <w:rPr>
          <w:rFonts w:cstheme="minorHAnsi"/>
          <w:color w:val="000000"/>
          <w:shd w:val="clear" w:color="auto" w:fill="FFFFFF"/>
        </w:rPr>
        <w:t>(Pinsent Masons, 2013)</w:t>
      </w:r>
      <w:r>
        <w:rPr>
          <w:rFonts w:cstheme="minorHAnsi"/>
          <w:color w:val="000000"/>
          <w:shd w:val="clear" w:color="auto" w:fill="FFFFFF"/>
        </w:rPr>
        <w:t xml:space="preserve">. This means that countries can have different rules and standards on how they </w:t>
      </w:r>
      <w:r w:rsidR="009979B7">
        <w:rPr>
          <w:rFonts w:cstheme="minorHAnsi"/>
          <w:color w:val="000000"/>
          <w:shd w:val="clear" w:color="auto" w:fill="FFFFFF"/>
        </w:rPr>
        <w:t xml:space="preserve">enforce data protection under their Data Protection Authorities, for example the UK DPA is the ICO whereas the French DPA is the </w:t>
      </w:r>
      <w:r w:rsidR="009979B7" w:rsidRPr="009979B7">
        <w:rPr>
          <w:rFonts w:cstheme="minorHAnsi"/>
        </w:rPr>
        <w:t xml:space="preserve">Commission </w:t>
      </w:r>
      <w:proofErr w:type="spellStart"/>
      <w:r w:rsidR="009979B7" w:rsidRPr="009979B7">
        <w:rPr>
          <w:rFonts w:cstheme="minorHAnsi"/>
        </w:rPr>
        <w:t>Nationale</w:t>
      </w:r>
      <w:proofErr w:type="spellEnd"/>
      <w:r w:rsidR="009979B7" w:rsidRPr="009979B7">
        <w:rPr>
          <w:rFonts w:cstheme="minorHAnsi"/>
        </w:rPr>
        <w:t xml:space="preserve"> de </w:t>
      </w:r>
      <w:proofErr w:type="spellStart"/>
      <w:r w:rsidR="009979B7" w:rsidRPr="009979B7">
        <w:rPr>
          <w:rFonts w:cstheme="minorHAnsi"/>
        </w:rPr>
        <w:t>l’Information</w:t>
      </w:r>
      <w:proofErr w:type="spellEnd"/>
      <w:r w:rsidR="009979B7" w:rsidRPr="009979B7">
        <w:rPr>
          <w:rFonts w:cstheme="minorHAnsi"/>
        </w:rPr>
        <w:t xml:space="preserve"> et des </w:t>
      </w:r>
      <w:proofErr w:type="spellStart"/>
      <w:r w:rsidR="009979B7" w:rsidRPr="009979B7">
        <w:rPr>
          <w:rFonts w:cstheme="minorHAnsi"/>
        </w:rPr>
        <w:t>Libertés</w:t>
      </w:r>
      <w:proofErr w:type="spellEnd"/>
      <w:r w:rsidR="009979B7" w:rsidRPr="009979B7">
        <w:rPr>
          <w:rFonts w:cstheme="minorHAnsi"/>
        </w:rPr>
        <w:t xml:space="preserve"> (CNIL)</w:t>
      </w:r>
      <w:r w:rsidR="009979B7">
        <w:rPr>
          <w:rFonts w:cstheme="minorHAnsi"/>
          <w:color w:val="000000"/>
          <w:shd w:val="clear" w:color="auto" w:fill="FFFFFF"/>
        </w:rPr>
        <w:t xml:space="preserve">. Due to the UK leaving the EU in 2020 due to Brexit, the UK GDPR is being rewritten to be less strict in line with the slogan “Build Back Better”. This rewrite is to encourage companies to store data within UK borders </w:t>
      </w:r>
      <w:r w:rsidR="00E21326">
        <w:rPr>
          <w:rFonts w:cstheme="minorHAnsi"/>
          <w:color w:val="000000"/>
          <w:shd w:val="clear" w:color="auto" w:fill="FFFFFF"/>
        </w:rPr>
        <w:t xml:space="preserve">and attempt to address some of the issues raised within EU GDPR. Some of these relaxations include replacing Data Protection Officers with a “suitable individual” that does not have independent and regulatory role under previous EU GDPR. Record keeping requirements would also be removed and would be left to the businesses to determine under their own data privacy programme. The threshold for reporting a data breach would also be amended to reduce overreporting to the ICO which takes up time and resources (Gunn et al, 2021). </w:t>
      </w:r>
      <w:r w:rsidR="0012362A">
        <w:rPr>
          <w:rFonts w:cstheme="minorHAnsi"/>
          <w:color w:val="000000"/>
          <w:shd w:val="clear" w:color="auto" w:fill="FFFFFF"/>
        </w:rPr>
        <w:t>These revisions highly reduce the amount of oversight required by companies to make sure they are keeping in line with current data laws and hence are very attractive. However, the UK currently holds adequacy status within the EU as a ‘third country’. This means that personal data of EU citizens can be held in the UK only if the UK upholds equivalent levels of data protection to that of the EU</w:t>
      </w:r>
      <w:r w:rsidR="006523B0">
        <w:rPr>
          <w:rFonts w:cstheme="minorHAnsi"/>
          <w:color w:val="000000"/>
          <w:shd w:val="clear" w:color="auto" w:fill="FFFFFF"/>
        </w:rPr>
        <w:t xml:space="preserve"> (Sorensen, 2021)</w:t>
      </w:r>
      <w:r w:rsidR="0012362A">
        <w:rPr>
          <w:rFonts w:cstheme="minorHAnsi"/>
          <w:color w:val="000000"/>
          <w:shd w:val="clear" w:color="auto" w:fill="FFFFFF"/>
        </w:rPr>
        <w:t xml:space="preserve">. </w:t>
      </w:r>
      <w:r w:rsidR="008D1071">
        <w:rPr>
          <w:rFonts w:cstheme="minorHAnsi"/>
          <w:color w:val="000000"/>
          <w:shd w:val="clear" w:color="auto" w:fill="FFFFFF"/>
        </w:rPr>
        <w:t xml:space="preserve">By relaxing the UK data protection standards, there is a risk of the UK losing this adequacy status and being unable to process personal data of EU citizens. To companies such as Marriott this could strike a serious blow and in the grand scheme of things actually hinder the UK’s efforts to “Build Back Better”. </w:t>
      </w:r>
      <w:r w:rsidR="0012362A">
        <w:rPr>
          <w:rFonts w:cstheme="minorHAnsi"/>
          <w:color w:val="000000"/>
          <w:shd w:val="clear" w:color="auto" w:fill="FFFFFF"/>
        </w:rPr>
        <w:t xml:space="preserve"> </w:t>
      </w:r>
    </w:p>
    <w:p w14:paraId="3820787C" w14:textId="60CA1A13" w:rsidR="007F69EF" w:rsidRPr="00966098" w:rsidRDefault="0098760D" w:rsidP="00966098">
      <w:pPr>
        <w:pStyle w:val="Heading1"/>
        <w:rPr>
          <w:color w:val="auto"/>
          <w:sz w:val="24"/>
          <w:szCs w:val="24"/>
        </w:rPr>
      </w:pPr>
      <w:r>
        <w:rPr>
          <w:rFonts w:ascii="Verdana" w:hAnsi="Verdana"/>
          <w:color w:val="000000"/>
          <w:sz w:val="23"/>
          <w:szCs w:val="23"/>
          <w:shd w:val="clear" w:color="auto" w:fill="FFFFFF"/>
        </w:rPr>
        <w:br/>
      </w:r>
      <w:r w:rsidR="00F868F8">
        <w:t xml:space="preserve">Recommendations </w:t>
      </w:r>
      <w:r w:rsidR="00080C0B">
        <w:t xml:space="preserve"> </w:t>
      </w:r>
    </w:p>
    <w:p w14:paraId="6F7C8CEE" w14:textId="77777777" w:rsidR="000E426E" w:rsidRDefault="00937262" w:rsidP="000E426E">
      <w:pPr>
        <w:jc w:val="both"/>
        <w:rPr>
          <w:rFonts w:cstheme="minorHAnsi"/>
        </w:rPr>
      </w:pPr>
      <w:r w:rsidRPr="00AE33AB">
        <w:rPr>
          <w:rFonts w:cstheme="minorHAnsi"/>
        </w:rPr>
        <w:t xml:space="preserve">In terms of the Marriott case, a number of recommendations can be made. Firstly, when incorporating an external data source into your own (such as Starwood), a thorough analysis should be conducted to identify weak points and vulnerabilities or current malware. Secondly, routine sweeps of current infrastructure should occur as well as measures to check where </w:t>
      </w:r>
      <w:r w:rsidRPr="00AE33AB">
        <w:rPr>
          <w:rFonts w:cstheme="minorHAnsi"/>
        </w:rPr>
        <w:lastRenderedPageBreak/>
        <w:t xml:space="preserve">data is </w:t>
      </w:r>
      <w:r w:rsidR="00AE33AB" w:rsidRPr="00AE33AB">
        <w:rPr>
          <w:rFonts w:cstheme="minorHAnsi"/>
        </w:rPr>
        <w:t xml:space="preserve">being sent to. Unknown or potentially exploitative behaviour should be flagged and followed up on. </w:t>
      </w:r>
      <w:r w:rsidR="00AE33AB">
        <w:rPr>
          <w:rFonts w:cstheme="minorHAnsi"/>
        </w:rPr>
        <w:t xml:space="preserve">For recommendations to the ICO, the fine related to breaking data protection law should scale better in relation to the size of a company. For Marriott, the fine was £18.4million which equates to 0.092% of their revenue in 2018. This amount is not going to make companies of this size take serious notice of data protection which is even more dangerous as these are the companies that contain the most personal information about users. </w:t>
      </w:r>
      <w:r w:rsidR="007807A1">
        <w:rPr>
          <w:rFonts w:cstheme="minorHAnsi"/>
        </w:rPr>
        <w:t xml:space="preserve">During the Covid-19 pandemic, travel companies such as Marriott </w:t>
      </w:r>
      <w:r w:rsidR="00853166">
        <w:rPr>
          <w:rFonts w:cstheme="minorHAnsi"/>
        </w:rPr>
        <w:t>were</w:t>
      </w:r>
      <w:r w:rsidR="007807A1">
        <w:rPr>
          <w:rFonts w:cstheme="minorHAnsi"/>
        </w:rPr>
        <w:t xml:space="preserve"> collecting health data such as vaccination status (NYTimes, 2021). </w:t>
      </w:r>
      <w:r w:rsidR="00FA7B3C">
        <w:rPr>
          <w:rFonts w:cstheme="minorHAnsi"/>
        </w:rPr>
        <w:t xml:space="preserve">While they may not be enforcing policy based on a customer’s status, the potential for this health data to be shared is dangerous and may lead to information about religion and ethnicity as well as lead to possible discrimination. </w:t>
      </w:r>
      <w:r w:rsidR="00B62BE8">
        <w:rPr>
          <w:rFonts w:cstheme="minorHAnsi"/>
        </w:rPr>
        <w:t>Clearer guidance should be enacted about what companies can and cannot do in relation to this type of data</w:t>
      </w:r>
      <w:r w:rsidR="00853166">
        <w:rPr>
          <w:rFonts w:cstheme="minorHAnsi"/>
        </w:rPr>
        <w:t xml:space="preserve"> and whether they should be allowed to collect it in the first place</w:t>
      </w:r>
      <w:r w:rsidR="00B62BE8">
        <w:rPr>
          <w:rFonts w:cstheme="minorHAnsi"/>
        </w:rPr>
        <w:t>.</w:t>
      </w:r>
      <w:r w:rsidR="00853166">
        <w:rPr>
          <w:rFonts w:cstheme="minorHAnsi"/>
        </w:rPr>
        <w:t xml:space="preserve"> </w:t>
      </w:r>
      <w:r w:rsidR="00633380">
        <w:rPr>
          <w:rFonts w:cstheme="minorHAnsi"/>
        </w:rPr>
        <w:t>The ICO is the UK Data Protection Authority that has the ability to enforce legal recourse under the UK GDPR. An issue with enforcing GDPR is that some parts are potentially vague, such as the actual definition of personal data. Whilst it provides examples such as ‘name’, ‘occupation’, ‘location’, the extent to which these can be used to identify a natural person depends on the context of the data. For example, if you collect the name ‘John</w:t>
      </w:r>
      <w:r w:rsidR="000A374C">
        <w:rPr>
          <w:rFonts w:cstheme="minorHAnsi"/>
        </w:rPr>
        <w:t xml:space="preserve"> Smith</w:t>
      </w:r>
      <w:r w:rsidR="00633380">
        <w:rPr>
          <w:rFonts w:cstheme="minorHAnsi"/>
        </w:rPr>
        <w:t>’, this is not necessarily personal data due to the high numbers of people named ‘John</w:t>
      </w:r>
      <w:r w:rsidR="000A374C">
        <w:rPr>
          <w:rFonts w:cstheme="minorHAnsi"/>
        </w:rPr>
        <w:t xml:space="preserve"> Smith</w:t>
      </w:r>
      <w:r w:rsidR="00633380">
        <w:rPr>
          <w:rFonts w:cstheme="minorHAnsi"/>
        </w:rPr>
        <w:t>’. However, when combined with an address, this information may be classified as personal data due to only one person named ‘John</w:t>
      </w:r>
      <w:r w:rsidR="000A374C">
        <w:rPr>
          <w:rFonts w:cstheme="minorHAnsi"/>
        </w:rPr>
        <w:t xml:space="preserve"> Smith</w:t>
      </w:r>
      <w:r w:rsidR="00633380">
        <w:rPr>
          <w:rFonts w:cstheme="minorHAnsi"/>
        </w:rPr>
        <w:t>’ living at this specific address.</w:t>
      </w:r>
      <w:r w:rsidR="00B066C4">
        <w:rPr>
          <w:rFonts w:cstheme="minorHAnsi"/>
        </w:rPr>
        <w:t xml:space="preserve"> The ICO should provide better guidance on not only what type of data classes as personal data</w:t>
      </w:r>
      <w:r w:rsidR="00CE2EEF">
        <w:rPr>
          <w:rFonts w:cstheme="minorHAnsi"/>
        </w:rPr>
        <w:t xml:space="preserve"> in regards to different contexts, but also on concepts such as anonymisation to provide a base level example that companies can follow</w:t>
      </w:r>
      <w:r w:rsidR="0007639B">
        <w:rPr>
          <w:rFonts w:cstheme="minorHAnsi"/>
        </w:rPr>
        <w:t xml:space="preserve"> (Irwin, 2022)</w:t>
      </w:r>
      <w:r w:rsidR="00CE2EEF">
        <w:rPr>
          <w:rFonts w:cstheme="minorHAnsi"/>
        </w:rPr>
        <w:t xml:space="preserve">. </w:t>
      </w:r>
      <w:bookmarkStart w:id="3" w:name="_Toc53045822"/>
    </w:p>
    <w:p w14:paraId="58288599" w14:textId="3575576D" w:rsidR="00F067B7" w:rsidRDefault="00F868F8" w:rsidP="00621BBC">
      <w:pPr>
        <w:pStyle w:val="Heading1"/>
        <w:jc w:val="both"/>
        <w:rPr>
          <w:rFonts w:asciiTheme="minorHAnsi" w:hAnsiTheme="minorHAnsi" w:cstheme="minorHAnsi"/>
        </w:rPr>
      </w:pPr>
      <w:r>
        <w:t>C</w:t>
      </w:r>
      <w:r w:rsidR="007F69EF" w:rsidRPr="004A5DB0">
        <w:t>onclusion</w:t>
      </w:r>
      <w:bookmarkStart w:id="4" w:name="_Toc53045823"/>
      <w:bookmarkEnd w:id="3"/>
    </w:p>
    <w:p w14:paraId="71A7B4B4" w14:textId="1851884E" w:rsidR="00F067B7" w:rsidRPr="00F067B7" w:rsidRDefault="00F067B7" w:rsidP="00621BBC">
      <w:pPr>
        <w:jc w:val="both"/>
      </w:pPr>
      <w:r>
        <w:t>As machine learning capabilities improve, we must recognise that our model will only provide a reflection of the data inputted to it. At this point in time, the greatest hinderance to removing gender bias within machine learning is the presence of outdated training data that our models are learned on. To combat gender bias in its entirety, we not only need to clean our training data of stereotypes and gender roles but also educate society on the harmful effects of invisible misogyny and promote methods</w:t>
      </w:r>
      <w:r w:rsidR="00621BBC">
        <w:t>,</w:t>
      </w:r>
      <w:r>
        <w:t xml:space="preserve"> practices </w:t>
      </w:r>
      <w:r w:rsidR="00621BBC">
        <w:t xml:space="preserve">and guidelines </w:t>
      </w:r>
      <w:r>
        <w:t xml:space="preserve">that result in equity between the sexes. </w:t>
      </w:r>
      <w:r w:rsidR="00621BBC">
        <w:t xml:space="preserve">In analysing the Marriott case, there was the significant issue of the amount of data that the company had access to and the improper attitude to protecting it. Issues within the GDPR itself such as anonymisation, cloud storage and the less stringent future of UK GDPR are all areas that will affect consumers around Europe and the globe. A number of recommendations are suggested to combat some of the current issues with data protection, such as higher quality data checks, more effective fines, </w:t>
      </w:r>
      <w:r w:rsidR="00F54B8D">
        <w:t xml:space="preserve">clearer guidelines on what constitutes ‘personal data’ and anonymisation. What must be stressed is the </w:t>
      </w:r>
      <w:r w:rsidR="004935CB">
        <w:t>effect</w:t>
      </w:r>
      <w:r w:rsidR="00F54B8D">
        <w:t xml:space="preserve"> that big data can have on the individual. Within every record stored by companies such as Marriott is information that can have severe consequences if mishandled. Currently, GDPR is a step in the right direction, however it contains numerous grey areas that the legislation is struggling to fill. This leaves both companies and consumers in dangerous territory with the ability for negligent behaviour to take place a high and concerning possibility.</w:t>
      </w:r>
    </w:p>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2AB7619D" w:rsidR="004A5DB0" w:rsidRPr="004A5DB0" w:rsidRDefault="004A5DB0" w:rsidP="0098760D">
          <w:pPr>
            <w:pStyle w:val="Heading1"/>
            <w:jc w:val="both"/>
            <w:rPr>
              <w:rFonts w:ascii="Times New Roman" w:hAnsi="Times New Roman" w:cs="Times New Roman"/>
            </w:rPr>
          </w:pPr>
          <w:r w:rsidRPr="004A5DB0">
            <w:rPr>
              <w:rFonts w:ascii="Times New Roman" w:hAnsi="Times New Roman" w:cs="Times New Roman"/>
            </w:rPr>
            <w:t>Bibliography</w:t>
          </w:r>
          <w:bookmarkEnd w:id="4"/>
        </w:p>
        <w:sdt>
          <w:sdtPr>
            <w:rPr>
              <w:rFonts w:ascii="Times New Roman" w:hAnsi="Times New Roman" w:cs="Times New Roman"/>
            </w:rPr>
            <w:id w:val="111145805"/>
            <w:bibliography/>
          </w:sdtPr>
          <w:sdtEndPr/>
          <w:sdtContent>
            <w:p w14:paraId="1006B1E3" w14:textId="58D8634B" w:rsidR="007F69EF" w:rsidRPr="004A5DB0" w:rsidRDefault="004A5DB0" w:rsidP="0098760D">
              <w:pPr>
                <w:jc w:val="both"/>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4046CA">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98760D">
      <w:pPr>
        <w:jc w:val="both"/>
        <w:rPr>
          <w:rFonts w:ascii="Times New Roman" w:hAnsi="Times New Roman" w:cs="Times New Roman"/>
        </w:rPr>
      </w:pPr>
      <w:r w:rsidRPr="00F71141">
        <w:rPr>
          <w:rFonts w:ascii="Times New Roman" w:hAnsi="Times New Roman" w:cs="Times New Roman"/>
        </w:rPr>
        <w:lastRenderedPageBreak/>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98760D">
      <w:pPr>
        <w:jc w:val="both"/>
        <w:rPr>
          <w:rFonts w:ascii="Times New Roman" w:hAnsi="Times New Roman" w:cs="Times New Roman"/>
        </w:rPr>
      </w:pPr>
    </w:p>
    <w:p w14:paraId="7773961E" w14:textId="14E84C22" w:rsidR="00A21752" w:rsidRDefault="00F71141" w:rsidP="0098760D">
      <w:pPr>
        <w:jc w:val="both"/>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98760D">
      <w:pPr>
        <w:jc w:val="both"/>
        <w:rPr>
          <w:rFonts w:ascii="Times New Roman" w:hAnsi="Times New Roman" w:cs="Times New Roman"/>
        </w:rPr>
      </w:pPr>
    </w:p>
    <w:p w14:paraId="1B727DED" w14:textId="62CBAC7F" w:rsidR="00A054E8" w:rsidRDefault="00A21752" w:rsidP="0098760D">
      <w:pPr>
        <w:jc w:val="both"/>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98760D">
      <w:pPr>
        <w:jc w:val="both"/>
        <w:rPr>
          <w:rFonts w:ascii="Times New Roman" w:hAnsi="Times New Roman" w:cs="Times New Roman"/>
          <w:shd w:val="clear" w:color="auto" w:fill="FFFFFF"/>
        </w:rPr>
      </w:pPr>
    </w:p>
    <w:p w14:paraId="7F066112" w14:textId="77777777" w:rsidR="003D1AC1" w:rsidRDefault="00A054E8" w:rsidP="0098760D">
      <w:pPr>
        <w:jc w:val="both"/>
        <w:rPr>
          <w:rFonts w:ascii="Times New Roman" w:hAnsi="Times New Roman" w:cs="Times New Roman"/>
        </w:rPr>
      </w:pPr>
      <w:r>
        <w:rPr>
          <w:rFonts w:ascii="Times New Roman" w:hAnsi="Times New Roman" w:cs="Times New Roman"/>
        </w:rPr>
        <w:t xml:space="preserve">Dastin, </w:t>
      </w:r>
      <w:proofErr w:type="gramStart"/>
      <w:r>
        <w:rPr>
          <w:rFonts w:ascii="Times New Roman" w:hAnsi="Times New Roman" w:cs="Times New Roman"/>
        </w:rPr>
        <w:t>J,.</w:t>
      </w:r>
      <w:proofErr w:type="gramEnd"/>
      <w:r>
        <w:rPr>
          <w:rFonts w:ascii="Times New Roman" w:hAnsi="Times New Roman" w:cs="Times New Roman"/>
        </w:rPr>
        <w:t xml:space="preserve">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1"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98760D">
      <w:pPr>
        <w:jc w:val="both"/>
        <w:rPr>
          <w:rFonts w:ascii="Times New Roman" w:hAnsi="Times New Roman" w:cs="Times New Roman"/>
        </w:rPr>
      </w:pPr>
    </w:p>
    <w:p w14:paraId="3B47415B" w14:textId="77777777" w:rsidR="00CC4B14" w:rsidRDefault="003D1AC1" w:rsidP="0098760D">
      <w:pPr>
        <w:jc w:val="both"/>
        <w:rPr>
          <w:rFonts w:ascii="Times New Roman" w:hAnsi="Times New Roman" w:cs="Times New Roman"/>
        </w:rPr>
      </w:pPr>
      <w:r w:rsidRPr="003D1AC1">
        <w:rPr>
          <w:rFonts w:ascii="Times New Roman" w:hAnsi="Times New Roman" w:cs="Times New Roman"/>
        </w:rPr>
        <w:t xml:space="preserve">Hines, Caitlin. 1999. </w:t>
      </w:r>
      <w:proofErr w:type="spellStart"/>
      <w:r w:rsidRPr="003D1AC1">
        <w:rPr>
          <w:rFonts w:ascii="Times New Roman" w:hAnsi="Times New Roman" w:cs="Times New Roman"/>
        </w:rPr>
        <w:t>Rebaking</w:t>
      </w:r>
      <w:proofErr w:type="spellEnd"/>
      <w:r w:rsidRPr="003D1AC1">
        <w:rPr>
          <w:rFonts w:ascii="Times New Roman" w:hAnsi="Times New Roman" w:cs="Times New Roman"/>
        </w:rPr>
        <w:t xml:space="preserve"> the pie: The woman as dessert metaphor. Reinventing identities: The gendered self in discourse, ed. by M. Bucholtz, A.C. Liang &amp; L.A. Sutton, 145-62. New York, Oxford: Oxford University Press.</w:t>
      </w:r>
    </w:p>
    <w:p w14:paraId="07FFD467" w14:textId="77777777" w:rsidR="00CC4B14" w:rsidRDefault="00CC4B14" w:rsidP="0098760D">
      <w:pPr>
        <w:jc w:val="both"/>
        <w:rPr>
          <w:rFonts w:ascii="Times New Roman" w:hAnsi="Times New Roman" w:cs="Times New Roman"/>
        </w:rPr>
      </w:pPr>
    </w:p>
    <w:p w14:paraId="1ADBFFB4" w14:textId="77777777" w:rsidR="00D106E7" w:rsidRDefault="00CC4B14" w:rsidP="0098760D">
      <w:pPr>
        <w:jc w:val="both"/>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 xml:space="preserve">Kilbertus, N., Rojas </w:t>
      </w:r>
      <w:proofErr w:type="spellStart"/>
      <w:r w:rsidRPr="00CC4B14">
        <w:rPr>
          <w:rFonts w:ascii="Times New Roman" w:hAnsi="Times New Roman" w:cs="Times New Roman"/>
          <w:color w:val="222222"/>
          <w:shd w:val="clear" w:color="auto" w:fill="FFFFFF"/>
        </w:rPr>
        <w:t>Carulla</w:t>
      </w:r>
      <w:proofErr w:type="spellEnd"/>
      <w:r w:rsidRPr="00CC4B14">
        <w:rPr>
          <w:rFonts w:ascii="Times New Roman" w:hAnsi="Times New Roman" w:cs="Times New Roman"/>
          <w:color w:val="222222"/>
          <w:shd w:val="clear" w:color="auto" w:fill="FFFFFF"/>
        </w:rPr>
        <w:t xml:space="preserve">, M., Parascandolo, G., Hardt, M., </w:t>
      </w:r>
      <w:proofErr w:type="spellStart"/>
      <w:r w:rsidRPr="00CC4B14">
        <w:rPr>
          <w:rFonts w:ascii="Times New Roman" w:hAnsi="Times New Roman" w:cs="Times New Roman"/>
          <w:color w:val="222222"/>
          <w:shd w:val="clear" w:color="auto" w:fill="FFFFFF"/>
        </w:rPr>
        <w:t>Janzing</w:t>
      </w:r>
      <w:proofErr w:type="spellEnd"/>
      <w:r w:rsidRPr="00CC4B14">
        <w:rPr>
          <w:rFonts w:ascii="Times New Roman" w:hAnsi="Times New Roman" w:cs="Times New Roman"/>
          <w:color w:val="222222"/>
          <w:shd w:val="clear" w:color="auto" w:fill="FFFFFF"/>
        </w:rPr>
        <w:t xml:space="preserve">, D. and </w:t>
      </w:r>
      <w:proofErr w:type="spellStart"/>
      <w:r w:rsidRPr="00CC4B14">
        <w:rPr>
          <w:rFonts w:ascii="Times New Roman" w:hAnsi="Times New Roman" w:cs="Times New Roman"/>
          <w:color w:val="222222"/>
          <w:shd w:val="clear" w:color="auto" w:fill="FFFFFF"/>
        </w:rPr>
        <w:t>Schölkopf</w:t>
      </w:r>
      <w:proofErr w:type="spellEnd"/>
      <w:r w:rsidRPr="00CC4B14">
        <w:rPr>
          <w:rFonts w:ascii="Times New Roman" w:hAnsi="Times New Roman" w:cs="Times New Roman"/>
          <w:color w:val="222222"/>
          <w:shd w:val="clear" w:color="auto" w:fill="FFFFFF"/>
        </w:rPr>
        <w:t>,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98760D">
      <w:pPr>
        <w:jc w:val="both"/>
        <w:rPr>
          <w:rFonts w:ascii="Times New Roman" w:hAnsi="Times New Roman" w:cs="Times New Roman"/>
          <w:color w:val="222222"/>
          <w:shd w:val="clear" w:color="auto" w:fill="FFFFFF"/>
        </w:rPr>
      </w:pPr>
    </w:p>
    <w:p w14:paraId="1F826C24" w14:textId="1504B8EB" w:rsidR="00D106E7" w:rsidRDefault="00D106E7" w:rsidP="0098760D">
      <w:pPr>
        <w:jc w:val="both"/>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2"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98760D">
      <w:pPr>
        <w:jc w:val="both"/>
        <w:rPr>
          <w:rFonts w:ascii="Times New Roman" w:hAnsi="Times New Roman" w:cs="Times New Roman"/>
        </w:rPr>
      </w:pPr>
    </w:p>
    <w:p w14:paraId="61D6C9DA" w14:textId="0988CADE" w:rsidR="0015403B" w:rsidRDefault="0015403B" w:rsidP="0098760D">
      <w:pPr>
        <w:jc w:val="both"/>
        <w:rPr>
          <w:rFonts w:ascii="Times New Roman" w:hAnsi="Times New Roman" w:cs="Times New Roman"/>
        </w:rPr>
      </w:pPr>
      <w:proofErr w:type="spellStart"/>
      <w:r w:rsidRPr="0015403B">
        <w:rPr>
          <w:rFonts w:ascii="Times New Roman" w:hAnsi="Times New Roman" w:cs="Times New Roman"/>
          <w:shd w:val="clear" w:color="auto" w:fill="FFFFFF"/>
        </w:rPr>
        <w:t>Parsheera</w:t>
      </w:r>
      <w:proofErr w:type="spellEnd"/>
      <w:r w:rsidRPr="0015403B">
        <w:rPr>
          <w:rFonts w:ascii="Times New Roman" w:hAnsi="Times New Roman" w:cs="Times New Roman"/>
          <w:shd w:val="clear" w:color="auto" w:fill="FFFFFF"/>
        </w:rPr>
        <w:t>,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3"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4"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98760D">
      <w:pPr>
        <w:jc w:val="both"/>
        <w:rPr>
          <w:rFonts w:ascii="Times New Roman" w:hAnsi="Times New Roman" w:cs="Times New Roman"/>
        </w:rPr>
      </w:pPr>
    </w:p>
    <w:p w14:paraId="5AA3262D" w14:textId="3FFC6F54" w:rsidR="009F7F9E" w:rsidRDefault="009065F0" w:rsidP="0098760D">
      <w:pPr>
        <w:shd w:val="clear" w:color="auto" w:fill="FFFFFF" w:themeFill="background1"/>
        <w:jc w:val="both"/>
        <w:rPr>
          <w:rFonts w:ascii="Times New Roman" w:hAnsi="Times New Roman" w:cs="Times New Roman"/>
        </w:rPr>
      </w:pPr>
      <w:r w:rsidRPr="009065F0">
        <w:rPr>
          <w:rStyle w:val="self-citation-authors"/>
          <w:rFonts w:ascii="Times New Roman" w:hAnsi="Times New Roman" w:cs="Times New Roman"/>
        </w:rPr>
        <w:t xml:space="preserve">Terrell J, </w:t>
      </w:r>
      <w:proofErr w:type="spellStart"/>
      <w:r w:rsidRPr="009065F0">
        <w:rPr>
          <w:rStyle w:val="self-citation-authors"/>
          <w:rFonts w:ascii="Times New Roman" w:hAnsi="Times New Roman" w:cs="Times New Roman"/>
        </w:rPr>
        <w:t>Kofink</w:t>
      </w:r>
      <w:proofErr w:type="spellEnd"/>
      <w:r w:rsidRPr="009065F0">
        <w:rPr>
          <w:rStyle w:val="self-citation-authors"/>
          <w:rFonts w:ascii="Times New Roman" w:hAnsi="Times New Roman" w:cs="Times New Roman"/>
        </w:rPr>
        <w:t xml:space="preserve"> A, Middleton J, Rainear C, Murphy-Hill E, Parnin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proofErr w:type="spellStart"/>
      <w:r w:rsidRPr="009065F0">
        <w:rPr>
          <w:rStyle w:val="self-citation-journal"/>
          <w:rFonts w:ascii="Times New Roman" w:hAnsi="Times New Roman" w:cs="Times New Roman"/>
          <w:i/>
          <w:iCs/>
        </w:rPr>
        <w:t>PeerJ</w:t>
      </w:r>
      <w:proofErr w:type="spellEnd"/>
      <w:r w:rsidRPr="009065F0">
        <w:rPr>
          <w:rStyle w:val="self-citation-journal"/>
          <w:rFonts w:ascii="Times New Roman" w:hAnsi="Times New Roman" w:cs="Times New Roman"/>
          <w:i/>
          <w:iCs/>
        </w:rPr>
        <w:t xml:space="preserve"> Computer Science</w:t>
      </w:r>
      <w:r w:rsidRPr="009065F0">
        <w:rPr>
          <w:rFonts w:ascii="Times New Roman" w:hAnsi="Times New Roman" w:cs="Times New Roman"/>
        </w:rPr>
        <w:t> </w:t>
      </w:r>
      <w:proofErr w:type="gramStart"/>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w:t>
      </w:r>
      <w:proofErr w:type="gramEnd"/>
      <w:r w:rsidRPr="009065F0">
        <w:rPr>
          <w:rStyle w:val="self-citation-elocation"/>
          <w:rFonts w:ascii="Times New Roman" w:hAnsi="Times New Roman" w:cs="Times New Roman"/>
        </w:rPr>
        <w:t>111</w:t>
      </w:r>
      <w:r w:rsidRPr="009065F0">
        <w:rPr>
          <w:rFonts w:ascii="Times New Roman" w:hAnsi="Times New Roman" w:cs="Times New Roman"/>
          <w:shd w:val="clear" w:color="auto" w:fill="DCF1FC"/>
        </w:rPr>
        <w:t> </w:t>
      </w:r>
      <w:hyperlink r:id="rId15"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8760D">
      <w:pPr>
        <w:shd w:val="clear" w:color="auto" w:fill="FFFFFF" w:themeFill="background1"/>
        <w:jc w:val="both"/>
        <w:rPr>
          <w:rFonts w:ascii="Times New Roman" w:hAnsi="Times New Roman" w:cs="Times New Roman"/>
        </w:rPr>
      </w:pPr>
    </w:p>
    <w:p w14:paraId="45982001" w14:textId="6538C296" w:rsidR="00A91AC9" w:rsidRDefault="00A91AC9" w:rsidP="0098760D">
      <w:pPr>
        <w:shd w:val="clear" w:color="auto" w:fill="FFFFFF" w:themeFill="background1"/>
        <w:jc w:val="both"/>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6"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8760D">
      <w:pPr>
        <w:shd w:val="clear" w:color="auto" w:fill="FFFFFF" w:themeFill="background1"/>
        <w:jc w:val="both"/>
        <w:rPr>
          <w:rFonts w:ascii="Times New Roman" w:hAnsi="Times New Roman" w:cs="Times New Roman"/>
          <w:color w:val="000000"/>
          <w:shd w:val="clear" w:color="auto" w:fill="FFFFFF"/>
        </w:rPr>
      </w:pPr>
    </w:p>
    <w:p w14:paraId="304300FE" w14:textId="2E5D7115" w:rsidR="0074688E" w:rsidRDefault="0074688E" w:rsidP="0098760D">
      <w:pPr>
        <w:shd w:val="clear" w:color="auto" w:fill="FFFFFF" w:themeFill="background1"/>
        <w:jc w:val="both"/>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7"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8760D">
      <w:pPr>
        <w:shd w:val="clear" w:color="auto" w:fill="FFFFFF" w:themeFill="background1"/>
        <w:jc w:val="both"/>
        <w:rPr>
          <w:rFonts w:ascii="Times New Roman" w:hAnsi="Times New Roman" w:cs="Times New Roman"/>
        </w:rPr>
      </w:pPr>
    </w:p>
    <w:p w14:paraId="29CD594D" w14:textId="6913DA65" w:rsidR="009F7F9E" w:rsidRDefault="009F7F9E" w:rsidP="0098760D">
      <w:pPr>
        <w:shd w:val="clear" w:color="auto" w:fill="FFFFFF" w:themeFill="background1"/>
        <w:jc w:val="both"/>
        <w:rPr>
          <w:rStyle w:val="Hyperlink"/>
          <w:rFonts w:ascii="Times New Roman" w:hAnsi="Times New Roman" w:cs="Times New Roman"/>
        </w:rPr>
      </w:pPr>
      <w:r w:rsidRPr="009F7F9E">
        <w:rPr>
          <w:rFonts w:ascii="Times New Roman" w:hAnsi="Times New Roman" w:cs="Times New Roman"/>
        </w:rPr>
        <w:t xml:space="preserve">House of Lords, </w:t>
      </w:r>
      <w:r w:rsidR="00512F3F">
        <w:rPr>
          <w:rFonts w:ascii="Times New Roman" w:hAnsi="Times New Roman" w:cs="Times New Roman"/>
        </w:rPr>
        <w:t>(</w:t>
      </w:r>
      <w:r w:rsidRPr="009F7F9E">
        <w:rPr>
          <w:rFonts w:ascii="Times New Roman" w:hAnsi="Times New Roman" w:cs="Times New Roman"/>
        </w:rPr>
        <w:t>2018</w:t>
      </w:r>
      <w:r w:rsidR="00512F3F">
        <w:rPr>
          <w:rFonts w:ascii="Times New Roman" w:hAnsi="Times New Roman" w:cs="Times New Roman"/>
        </w:rPr>
        <w:t>)</w:t>
      </w:r>
      <w:r w:rsidRPr="009F7F9E">
        <w:rPr>
          <w:rFonts w:ascii="Times New Roman" w:hAnsi="Times New Roman" w:cs="Times New Roman"/>
        </w:rPr>
        <w:t>: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8" w:history="1">
        <w:r w:rsidRPr="001B2B64">
          <w:rPr>
            <w:rStyle w:val="Hyperlink"/>
            <w:rFonts w:ascii="Times New Roman" w:hAnsi="Times New Roman" w:cs="Times New Roman"/>
          </w:rPr>
          <w:t>https://publications.parliament.uk/pa/ld201719/ldselect/ldai /100/100.pdf</w:t>
        </w:r>
      </w:hyperlink>
      <w:r w:rsidR="00512F3F">
        <w:rPr>
          <w:rStyle w:val="Hyperlink"/>
          <w:rFonts w:ascii="Times New Roman" w:hAnsi="Times New Roman" w:cs="Times New Roman"/>
        </w:rPr>
        <w:t xml:space="preserve"> </w:t>
      </w:r>
    </w:p>
    <w:p w14:paraId="4D023D03" w14:textId="69EB85A9" w:rsidR="00512F3F" w:rsidRDefault="00512F3F" w:rsidP="0098760D">
      <w:pPr>
        <w:shd w:val="clear" w:color="auto" w:fill="FFFFFF" w:themeFill="background1"/>
        <w:jc w:val="both"/>
        <w:rPr>
          <w:rStyle w:val="Hyperlink"/>
          <w:rFonts w:ascii="Times New Roman" w:hAnsi="Times New Roman" w:cs="Times New Roman"/>
        </w:rPr>
      </w:pPr>
    </w:p>
    <w:p w14:paraId="0B73A1FA" w14:textId="39E3C105" w:rsidR="00512F3F" w:rsidRDefault="00512F3F" w:rsidP="0098760D">
      <w:pPr>
        <w:shd w:val="clear" w:color="auto" w:fill="FFFFFF" w:themeFill="background1"/>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UK, (2020), UK Data Ethics Framework. Available at: </w:t>
      </w:r>
    </w:p>
    <w:p w14:paraId="606A74A3" w14:textId="3BCFBC71" w:rsidR="00512F3F" w:rsidRDefault="004046CA" w:rsidP="0098760D">
      <w:pPr>
        <w:shd w:val="clear" w:color="auto" w:fill="FFFFFF" w:themeFill="background1"/>
        <w:jc w:val="both"/>
        <w:rPr>
          <w:rStyle w:val="Hyperlink"/>
        </w:rPr>
      </w:pPr>
      <w:hyperlink r:id="rId19" w:history="1">
        <w:r w:rsidR="00512F3F">
          <w:rPr>
            <w:rStyle w:val="Hyperlink"/>
          </w:rPr>
          <w:t>Data Ethics Framework - GOV.UK (www.gov.uk)</w:t>
        </w:r>
      </w:hyperlink>
    </w:p>
    <w:p w14:paraId="2B7D20E1" w14:textId="45A2EADF" w:rsidR="00B50C1E" w:rsidRDefault="00B50C1E" w:rsidP="0098760D">
      <w:pPr>
        <w:shd w:val="clear" w:color="auto" w:fill="FFFFFF" w:themeFill="background1"/>
        <w:jc w:val="both"/>
      </w:pPr>
      <w:r w:rsidRPr="00B50C1E">
        <w:rPr>
          <w:rFonts w:ascii="Times New Roman" w:hAnsi="Times New Roman" w:cs="Times New Roman"/>
        </w:rPr>
        <w:lastRenderedPageBreak/>
        <w:t xml:space="preserve">Crawford, Kate. (2017). The Trouble </w:t>
      </w:r>
      <w:r w:rsidR="00AC6C78">
        <w:rPr>
          <w:rFonts w:ascii="Times New Roman" w:hAnsi="Times New Roman" w:cs="Times New Roman"/>
        </w:rPr>
        <w:t>w</w:t>
      </w:r>
      <w:r w:rsidRPr="00B50C1E">
        <w:rPr>
          <w:rFonts w:ascii="Times New Roman" w:hAnsi="Times New Roman" w:cs="Times New Roman"/>
        </w:rPr>
        <w:t>ith Bias. Keynote at Neural Information Processing Systems (</w:t>
      </w:r>
      <w:proofErr w:type="gramStart"/>
      <w:r w:rsidRPr="00B50C1E">
        <w:rPr>
          <w:rFonts w:ascii="Times New Roman" w:hAnsi="Times New Roman" w:cs="Times New Roman"/>
        </w:rPr>
        <w:t>NIPS‘</w:t>
      </w:r>
      <w:proofErr w:type="gramEnd"/>
      <w:r w:rsidRPr="00B50C1E">
        <w:rPr>
          <w:rFonts w:ascii="Times New Roman" w:hAnsi="Times New Roman" w:cs="Times New Roman"/>
        </w:rPr>
        <w:t>17).</w:t>
      </w:r>
      <w:r>
        <w:rPr>
          <w:rFonts w:ascii="Times New Roman" w:hAnsi="Times New Roman" w:cs="Times New Roman"/>
        </w:rPr>
        <w:t xml:space="preserve"> Available at: </w:t>
      </w:r>
      <w:hyperlink r:id="rId20" w:history="1">
        <w:r>
          <w:rPr>
            <w:rStyle w:val="Hyperlink"/>
          </w:rPr>
          <w:t>The Trouble with Bias, by Kate Crawford (Revolutions) (revolutionanalytics.com)</w:t>
        </w:r>
      </w:hyperlink>
      <w:r>
        <w:t xml:space="preserve"> [Accessed 26/03/2022]</w:t>
      </w:r>
    </w:p>
    <w:p w14:paraId="16193B3D" w14:textId="61025EE9" w:rsidR="002467EB" w:rsidRDefault="002467EB" w:rsidP="0098760D">
      <w:pPr>
        <w:shd w:val="clear" w:color="auto" w:fill="FFFFFF" w:themeFill="background1"/>
        <w:jc w:val="both"/>
      </w:pPr>
    </w:p>
    <w:p w14:paraId="077D8F4E" w14:textId="4F9A1E3B" w:rsidR="002467EB" w:rsidRDefault="002467EB"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 xml:space="preserve">ICO, Information Commissioner’s Office, (2018), Personal Data Breaches. Available at: </w:t>
      </w:r>
      <w:hyperlink r:id="rId21" w:anchor="whatisa" w:history="1">
        <w:r w:rsidRPr="002467EB">
          <w:rPr>
            <w:rStyle w:val="Hyperlink"/>
            <w:rFonts w:ascii="Times New Roman" w:hAnsi="Times New Roman" w:cs="Times New Roman"/>
          </w:rPr>
          <w:t>https://ico.org.uk/for-organisations/guide-to-data-protection/guide-to-the-general-data-protection-regulation-gdpr/personal-data-breaches/#whatisa</w:t>
        </w:r>
      </w:hyperlink>
      <w:r w:rsidRPr="002467EB">
        <w:rPr>
          <w:rFonts w:ascii="Times New Roman" w:hAnsi="Times New Roman" w:cs="Times New Roman"/>
        </w:rPr>
        <w:t xml:space="preserve"> [Accessed 14/04/2022]</w:t>
      </w:r>
    </w:p>
    <w:p w14:paraId="66869FD0" w14:textId="55ADDB5B" w:rsidR="003A68A8" w:rsidRDefault="003A68A8" w:rsidP="0098760D">
      <w:pPr>
        <w:shd w:val="clear" w:color="auto" w:fill="FFFFFF" w:themeFill="background1"/>
        <w:jc w:val="both"/>
        <w:rPr>
          <w:rFonts w:ascii="Times New Roman" w:hAnsi="Times New Roman" w:cs="Times New Roman"/>
        </w:rPr>
      </w:pPr>
    </w:p>
    <w:p w14:paraId="09C52860" w14:textId="385572FD" w:rsidR="003A68A8" w:rsidRPr="002467EB" w:rsidRDefault="003A68A8"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ICO, Information Commissioner’s Office, (20</w:t>
      </w:r>
      <w:r>
        <w:rPr>
          <w:rFonts w:ascii="Times New Roman" w:hAnsi="Times New Roman" w:cs="Times New Roman"/>
        </w:rPr>
        <w:t>20</w:t>
      </w:r>
      <w:r w:rsidRPr="002467EB">
        <w:rPr>
          <w:rFonts w:ascii="Times New Roman" w:hAnsi="Times New Roman" w:cs="Times New Roman"/>
        </w:rPr>
        <w:t>),</w:t>
      </w:r>
      <w:r>
        <w:rPr>
          <w:rFonts w:ascii="Times New Roman" w:hAnsi="Times New Roman" w:cs="Times New Roman"/>
        </w:rPr>
        <w:t xml:space="preserve"> Penalty Notice Marriott International Inc, Available at: </w:t>
      </w:r>
      <w:hyperlink r:id="rId22" w:history="1">
        <w:r w:rsidRPr="00FE5D07">
          <w:rPr>
            <w:rStyle w:val="Hyperlink"/>
            <w:rFonts w:ascii="Times New Roman" w:hAnsi="Times New Roman" w:cs="Times New Roman"/>
          </w:rPr>
          <w:t>https://ico.org.uk/media/action-weve-taken/mpns/2618524/marriott-international-inc-mpn-20201030.pdf</w:t>
        </w:r>
      </w:hyperlink>
      <w:r>
        <w:rPr>
          <w:rFonts w:ascii="Times New Roman" w:hAnsi="Times New Roman" w:cs="Times New Roman"/>
        </w:rPr>
        <w:t xml:space="preserve"> </w:t>
      </w:r>
      <w:r w:rsidRPr="002467EB">
        <w:rPr>
          <w:rFonts w:ascii="Times New Roman" w:hAnsi="Times New Roman" w:cs="Times New Roman"/>
        </w:rPr>
        <w:t>[Accessed 14/04/2022]</w:t>
      </w:r>
    </w:p>
    <w:p w14:paraId="58DC2479" w14:textId="77777777" w:rsidR="002467EB" w:rsidRDefault="002467EB" w:rsidP="0098760D">
      <w:pPr>
        <w:shd w:val="clear" w:color="auto" w:fill="FFFFFF" w:themeFill="background1"/>
        <w:jc w:val="both"/>
      </w:pPr>
    </w:p>
    <w:p w14:paraId="7793233C" w14:textId="3FF142DB" w:rsidR="002467EB" w:rsidRDefault="002467EB"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 xml:space="preserve">BBC, </w:t>
      </w:r>
      <w:r w:rsidR="00B16262">
        <w:rPr>
          <w:rFonts w:ascii="Times New Roman" w:hAnsi="Times New Roman" w:cs="Times New Roman"/>
        </w:rPr>
        <w:t>(</w:t>
      </w:r>
      <w:r w:rsidRPr="002467EB">
        <w:rPr>
          <w:rFonts w:ascii="Times New Roman" w:hAnsi="Times New Roman" w:cs="Times New Roman"/>
        </w:rPr>
        <w:t>2020</w:t>
      </w:r>
      <w:r w:rsidR="00B16262">
        <w:rPr>
          <w:rFonts w:ascii="Times New Roman" w:hAnsi="Times New Roman" w:cs="Times New Roman"/>
        </w:rPr>
        <w:t>)</w:t>
      </w:r>
      <w:r w:rsidRPr="002467EB">
        <w:rPr>
          <w:rFonts w:ascii="Times New Roman" w:hAnsi="Times New Roman" w:cs="Times New Roman"/>
        </w:rPr>
        <w:t>, Marriott Hotels fined £18.4m for data breach that hit millions</w:t>
      </w:r>
      <w:r>
        <w:rPr>
          <w:rFonts w:ascii="Times New Roman" w:hAnsi="Times New Roman" w:cs="Times New Roman"/>
        </w:rPr>
        <w:t xml:space="preserve">. Available at: </w:t>
      </w:r>
      <w:hyperlink r:id="rId23" w:history="1">
        <w:r w:rsidRPr="00FE5D07">
          <w:rPr>
            <w:rStyle w:val="Hyperlink"/>
            <w:rFonts w:ascii="Times New Roman" w:hAnsi="Times New Roman" w:cs="Times New Roman"/>
          </w:rPr>
          <w:t>https://www.bbc.co.uk/news/technology-54748843</w:t>
        </w:r>
      </w:hyperlink>
      <w:r>
        <w:rPr>
          <w:rFonts w:ascii="Times New Roman" w:hAnsi="Times New Roman" w:cs="Times New Roman"/>
        </w:rPr>
        <w:t xml:space="preserve"> </w:t>
      </w:r>
      <w:r w:rsidRPr="002467EB">
        <w:rPr>
          <w:rFonts w:ascii="Times New Roman" w:hAnsi="Times New Roman" w:cs="Times New Roman"/>
        </w:rPr>
        <w:t>[Accessed 14/04/2022]</w:t>
      </w:r>
    </w:p>
    <w:p w14:paraId="259EA998" w14:textId="52DD047C" w:rsidR="00B16262" w:rsidRDefault="00B16262" w:rsidP="0098760D">
      <w:pPr>
        <w:shd w:val="clear" w:color="auto" w:fill="FFFFFF" w:themeFill="background1"/>
        <w:jc w:val="both"/>
        <w:rPr>
          <w:rFonts w:ascii="Times New Roman" w:hAnsi="Times New Roman" w:cs="Times New Roman"/>
        </w:rPr>
      </w:pPr>
    </w:p>
    <w:p w14:paraId="0401E1D7" w14:textId="05F3D19E" w:rsidR="00B16262" w:rsidRDefault="00B16262" w:rsidP="0098760D">
      <w:pPr>
        <w:shd w:val="clear" w:color="auto" w:fill="FFFFFF" w:themeFill="background1"/>
        <w:jc w:val="both"/>
        <w:rPr>
          <w:rFonts w:ascii="Times New Roman" w:hAnsi="Times New Roman" w:cs="Times New Roman"/>
        </w:rPr>
      </w:pPr>
      <w:r>
        <w:rPr>
          <w:rFonts w:ascii="Times New Roman" w:hAnsi="Times New Roman" w:cs="Times New Roman"/>
        </w:rPr>
        <w:t>EU</w:t>
      </w:r>
      <w:r w:rsidR="0038722A">
        <w:rPr>
          <w:rFonts w:ascii="Times New Roman" w:hAnsi="Times New Roman" w:cs="Times New Roman"/>
        </w:rPr>
        <w:t xml:space="preserve"> GDPR</w:t>
      </w:r>
      <w:r>
        <w:rPr>
          <w:rFonts w:ascii="Times New Roman" w:hAnsi="Times New Roman" w:cs="Times New Roman"/>
        </w:rPr>
        <w:t xml:space="preserve">, (2016), </w:t>
      </w:r>
      <w:r w:rsidR="00A11E77" w:rsidRPr="00A11E77">
        <w:rPr>
          <w:rFonts w:ascii="Times New Roman" w:hAnsi="Times New Roman" w:cs="Times New Roman"/>
        </w:rPr>
        <w:t>Regulation (EU) 2016/679 of the European Parliament and of the Council</w:t>
      </w:r>
      <w:r w:rsidR="00A11E77">
        <w:rPr>
          <w:rFonts w:ascii="Times New Roman" w:hAnsi="Times New Roman" w:cs="Times New Roman"/>
        </w:rPr>
        <w:t xml:space="preserve"> (GDPR). Available at: </w:t>
      </w:r>
      <w:hyperlink r:id="rId24" w:history="1">
        <w:r w:rsidR="00A11E77" w:rsidRPr="00FE5D07">
          <w:rPr>
            <w:rStyle w:val="Hyperlink"/>
            <w:rFonts w:ascii="Times New Roman" w:hAnsi="Times New Roman" w:cs="Times New Roman"/>
          </w:rPr>
          <w:t>https://www.legislation.gov.uk/eur/2016/679/contents</w:t>
        </w:r>
      </w:hyperlink>
      <w:r w:rsidR="00A11E77">
        <w:rPr>
          <w:rFonts w:ascii="Times New Roman" w:hAnsi="Times New Roman" w:cs="Times New Roman"/>
        </w:rPr>
        <w:t xml:space="preserve"> </w:t>
      </w:r>
      <w:r w:rsidR="00A11E77" w:rsidRPr="002467EB">
        <w:rPr>
          <w:rFonts w:ascii="Times New Roman" w:hAnsi="Times New Roman" w:cs="Times New Roman"/>
        </w:rPr>
        <w:t>[Accessed 14/04/2022]</w:t>
      </w:r>
    </w:p>
    <w:p w14:paraId="123B3A5E" w14:textId="053ADFF9" w:rsidR="00B12AAE" w:rsidRDefault="00B12AAE" w:rsidP="0098760D">
      <w:pPr>
        <w:shd w:val="clear" w:color="auto" w:fill="FFFFFF" w:themeFill="background1"/>
        <w:jc w:val="both"/>
        <w:rPr>
          <w:rFonts w:ascii="Times New Roman" w:hAnsi="Times New Roman" w:cs="Times New Roman"/>
        </w:rPr>
      </w:pPr>
    </w:p>
    <w:p w14:paraId="3EAF134C" w14:textId="78CF2196" w:rsidR="00B12AAE" w:rsidRDefault="00B12AAE" w:rsidP="0098760D">
      <w:pPr>
        <w:shd w:val="clear" w:color="auto" w:fill="FFFFFF" w:themeFill="background1"/>
        <w:jc w:val="both"/>
        <w:rPr>
          <w:rFonts w:ascii="Times New Roman" w:hAnsi="Times New Roman" w:cs="Times New Roman"/>
        </w:rPr>
      </w:pPr>
      <w:r>
        <w:rPr>
          <w:rFonts w:ascii="Times New Roman" w:hAnsi="Times New Roman" w:cs="Times New Roman"/>
        </w:rPr>
        <w:t xml:space="preserve">Marriott, (2021), </w:t>
      </w:r>
      <w:r w:rsidRPr="00B12AAE">
        <w:rPr>
          <w:rFonts w:ascii="Times New Roman" w:hAnsi="Times New Roman" w:cs="Times New Roman"/>
        </w:rPr>
        <w:t>MARRIOTT GROUP GLOBAL PRIVACY STATEMENT</w:t>
      </w:r>
      <w:r>
        <w:rPr>
          <w:rFonts w:ascii="Times New Roman" w:hAnsi="Times New Roman" w:cs="Times New Roman"/>
        </w:rPr>
        <w:t xml:space="preserve">. Available at: </w:t>
      </w:r>
      <w:hyperlink r:id="rId25" w:history="1">
        <w:r w:rsidRPr="00FE5D07">
          <w:rPr>
            <w:rStyle w:val="Hyperlink"/>
            <w:rFonts w:ascii="Times New Roman" w:hAnsi="Times New Roman" w:cs="Times New Roman"/>
          </w:rPr>
          <w:t>https://www.marriott.com/about/privacy.mi</w:t>
        </w:r>
      </w:hyperlink>
      <w:r>
        <w:rPr>
          <w:rFonts w:ascii="Times New Roman" w:hAnsi="Times New Roman" w:cs="Times New Roman"/>
        </w:rPr>
        <w:t xml:space="preserve"> </w:t>
      </w:r>
      <w:r w:rsidRPr="002467EB">
        <w:rPr>
          <w:rFonts w:ascii="Times New Roman" w:hAnsi="Times New Roman" w:cs="Times New Roman"/>
        </w:rPr>
        <w:t>[Accessed 14/04/2022]</w:t>
      </w:r>
      <w:r>
        <w:rPr>
          <w:rFonts w:ascii="Times New Roman" w:hAnsi="Times New Roman" w:cs="Times New Roman"/>
        </w:rPr>
        <w:t xml:space="preserve"> </w:t>
      </w:r>
    </w:p>
    <w:p w14:paraId="526CB30A" w14:textId="4B92B492" w:rsidR="00A11E77" w:rsidRDefault="00A11E77" w:rsidP="0098760D">
      <w:pPr>
        <w:shd w:val="clear" w:color="auto" w:fill="FFFFFF" w:themeFill="background1"/>
        <w:jc w:val="both"/>
        <w:rPr>
          <w:rFonts w:ascii="Times New Roman" w:hAnsi="Times New Roman" w:cs="Times New Roman"/>
        </w:rPr>
      </w:pPr>
    </w:p>
    <w:p w14:paraId="56260FE4" w14:textId="6C10F1AC" w:rsidR="00C61C65" w:rsidRDefault="00C61C65" w:rsidP="0098760D">
      <w:pPr>
        <w:shd w:val="clear" w:color="auto" w:fill="FFFFFF" w:themeFill="background1"/>
        <w:jc w:val="both"/>
        <w:rPr>
          <w:rFonts w:ascii="Times New Roman" w:hAnsi="Times New Roman" w:cs="Times New Roman"/>
        </w:rPr>
      </w:pPr>
      <w:proofErr w:type="spellStart"/>
      <w:r w:rsidRPr="00C61C65">
        <w:rPr>
          <w:rFonts w:ascii="Times New Roman" w:hAnsi="Times New Roman" w:cs="Times New Roman"/>
          <w:shd w:val="clear" w:color="auto" w:fill="FFFFFF"/>
        </w:rPr>
        <w:t>Esayas</w:t>
      </w:r>
      <w:proofErr w:type="spellEnd"/>
      <w:r w:rsidRPr="00C61C65">
        <w:rPr>
          <w:rFonts w:ascii="Times New Roman" w:hAnsi="Times New Roman" w:cs="Times New Roman"/>
          <w:shd w:val="clear" w:color="auto" w:fill="FFFFFF"/>
        </w:rPr>
        <w:t>, Samson, The Role of Anonymisation and Pseudonymisation Under the EU Data Privacy Rules: Beyond the ‘All or Nothing’ Approach (Oct 15, 2015). European Journal of Law and Technology, Vol 6, No 2, 2015, Available at SSRN: </w:t>
      </w:r>
      <w:hyperlink r:id="rId26" w:tgtFrame="_blank" w:history="1">
        <w:r w:rsidRPr="00C61C65">
          <w:rPr>
            <w:rStyle w:val="Hyperlink"/>
            <w:rFonts w:ascii="Times New Roman" w:hAnsi="Times New Roman" w:cs="Times New Roman"/>
            <w:color w:val="auto"/>
            <w:shd w:val="clear" w:color="auto" w:fill="FFFFFF"/>
          </w:rPr>
          <w:t>https://ssrn.com/abstract=2746831</w:t>
        </w:r>
      </w:hyperlink>
      <w:r w:rsidRPr="00C61C65">
        <w:rPr>
          <w:rFonts w:ascii="Times New Roman" w:hAnsi="Times New Roman" w:cs="Times New Roman"/>
        </w:rPr>
        <w:t xml:space="preserve"> [Accessed 14/04/2022]</w:t>
      </w:r>
    </w:p>
    <w:p w14:paraId="61144F30" w14:textId="632EE071" w:rsidR="00F22AEB" w:rsidRDefault="00F22AEB" w:rsidP="0098760D">
      <w:pPr>
        <w:shd w:val="clear" w:color="auto" w:fill="FFFFFF" w:themeFill="background1"/>
        <w:jc w:val="both"/>
        <w:rPr>
          <w:rFonts w:ascii="Times New Roman" w:hAnsi="Times New Roman" w:cs="Times New Roman"/>
        </w:rPr>
      </w:pPr>
    </w:p>
    <w:p w14:paraId="1865407F" w14:textId="62B0FD21" w:rsidR="00F22AEB" w:rsidRDefault="00F22AEB" w:rsidP="0098760D">
      <w:pPr>
        <w:shd w:val="clear" w:color="auto" w:fill="FFFFFF" w:themeFill="background1"/>
        <w:jc w:val="both"/>
        <w:rPr>
          <w:rFonts w:ascii="Times New Roman" w:hAnsi="Times New Roman" w:cs="Times New Roman"/>
        </w:rPr>
      </w:pPr>
      <w:r>
        <w:rPr>
          <w:rFonts w:ascii="Times New Roman" w:hAnsi="Times New Roman" w:cs="Times New Roman"/>
        </w:rPr>
        <w:t xml:space="preserve">Keen, (2020), The ever-growing weaknesses of anonymised data: Available at: </w:t>
      </w:r>
      <w:hyperlink r:id="rId27" w:history="1">
        <w:r w:rsidRPr="00FE5D07">
          <w:rPr>
            <w:rStyle w:val="Hyperlink"/>
            <w:rFonts w:ascii="Times New Roman" w:hAnsi="Times New Roman" w:cs="Times New Roman"/>
          </w:rPr>
          <w:t>https://hazy.com/blog/2020/04/08/weaknesses-of-anonymised-data/</w:t>
        </w:r>
      </w:hyperlink>
      <w:r>
        <w:rPr>
          <w:rFonts w:ascii="Times New Roman" w:hAnsi="Times New Roman" w:cs="Times New Roman"/>
        </w:rPr>
        <w:t xml:space="preserve"> </w:t>
      </w:r>
      <w:r w:rsidRPr="00C61C65">
        <w:rPr>
          <w:rFonts w:ascii="Times New Roman" w:hAnsi="Times New Roman" w:cs="Times New Roman"/>
        </w:rPr>
        <w:t>[Accessed 14/04/2022]</w:t>
      </w:r>
    </w:p>
    <w:p w14:paraId="5161FEA5" w14:textId="590DC626" w:rsidR="0062147E" w:rsidRDefault="0062147E" w:rsidP="0062147E">
      <w:pPr>
        <w:shd w:val="clear" w:color="auto" w:fill="FFFFFF"/>
        <w:spacing w:before="100" w:beforeAutospacing="1" w:after="100" w:afterAutospacing="1"/>
        <w:rPr>
          <w:rFonts w:ascii="Times New Roman" w:eastAsia="Times New Roman" w:hAnsi="Times New Roman" w:cs="Times New Roman"/>
          <w:color w:val="212529"/>
          <w:lang w:eastAsia="en-GB"/>
        </w:rPr>
      </w:pPr>
      <w:r w:rsidRPr="0062147E">
        <w:rPr>
          <w:rFonts w:ascii="Times New Roman" w:eastAsia="Times New Roman" w:hAnsi="Times New Roman" w:cs="Times New Roman"/>
          <w:color w:val="212529"/>
          <w:lang w:eastAsia="en-GB"/>
        </w:rPr>
        <w:t>Hashem, I. A. T., Yaqoob, I., Anuar, N. B., Mokhtar, S., Gani, A., &amp; Khan, S. U. (2015). The rise of “big data” on cloud computing: Review and open research issues. </w:t>
      </w:r>
      <w:r w:rsidRPr="0062147E">
        <w:rPr>
          <w:rFonts w:ascii="Times New Roman" w:eastAsia="Times New Roman" w:hAnsi="Times New Roman" w:cs="Times New Roman"/>
          <w:i/>
          <w:iCs/>
          <w:color w:val="212529"/>
          <w:lang w:eastAsia="en-GB"/>
        </w:rPr>
        <w:t>Information Systems</w:t>
      </w:r>
      <w:r w:rsidRPr="0062147E">
        <w:rPr>
          <w:rFonts w:ascii="Times New Roman" w:eastAsia="Times New Roman" w:hAnsi="Times New Roman" w:cs="Times New Roman"/>
          <w:color w:val="212529"/>
          <w:lang w:eastAsia="en-GB"/>
        </w:rPr>
        <w:t>, </w:t>
      </w:r>
      <w:r w:rsidRPr="0062147E">
        <w:rPr>
          <w:rFonts w:ascii="Times New Roman" w:eastAsia="Times New Roman" w:hAnsi="Times New Roman" w:cs="Times New Roman"/>
          <w:i/>
          <w:iCs/>
          <w:color w:val="212529"/>
          <w:lang w:eastAsia="en-GB"/>
        </w:rPr>
        <w:t>47</w:t>
      </w:r>
      <w:r w:rsidRPr="0062147E">
        <w:rPr>
          <w:rFonts w:ascii="Times New Roman" w:eastAsia="Times New Roman" w:hAnsi="Times New Roman" w:cs="Times New Roman"/>
          <w:color w:val="212529"/>
          <w:lang w:eastAsia="en-GB"/>
        </w:rPr>
        <w:t>, 98-115. Doi: 10.1016/j.is.2014.07.006</w:t>
      </w:r>
    </w:p>
    <w:p w14:paraId="4132BEFC" w14:textId="1C41B248" w:rsidR="0062147E" w:rsidRDefault="0062147E" w:rsidP="0062147E">
      <w:pPr>
        <w:shd w:val="clear" w:color="auto" w:fill="FFFFFF"/>
        <w:spacing w:before="100" w:beforeAutospacing="1" w:after="100" w:afterAutospacing="1"/>
        <w:rPr>
          <w:rFonts w:ascii="Times New Roman" w:eastAsia="Times New Roman" w:hAnsi="Times New Roman" w:cs="Times New Roman"/>
          <w:color w:val="212529"/>
          <w:lang w:eastAsia="en-GB"/>
        </w:rPr>
      </w:pPr>
      <w:proofErr w:type="spellStart"/>
      <w:r w:rsidRPr="0062147E">
        <w:rPr>
          <w:rFonts w:ascii="Times New Roman" w:eastAsia="Times New Roman" w:hAnsi="Times New Roman" w:cs="Times New Roman"/>
          <w:color w:val="212529"/>
          <w:lang w:eastAsia="en-GB"/>
        </w:rPr>
        <w:t>Kshetri</w:t>
      </w:r>
      <w:proofErr w:type="spellEnd"/>
      <w:r w:rsidRPr="0062147E">
        <w:rPr>
          <w:rFonts w:ascii="Times New Roman" w:eastAsia="Times New Roman" w:hAnsi="Times New Roman" w:cs="Times New Roman"/>
          <w:color w:val="212529"/>
          <w:lang w:eastAsia="en-GB"/>
        </w:rPr>
        <w:t>, N. (2013). Privacy and security issues in cloud computing: The role of institutions and institutional evolution. </w:t>
      </w:r>
      <w:r w:rsidRPr="0062147E">
        <w:rPr>
          <w:rFonts w:ascii="Times New Roman" w:eastAsia="Times New Roman" w:hAnsi="Times New Roman" w:cs="Times New Roman"/>
          <w:i/>
          <w:iCs/>
          <w:color w:val="212529"/>
          <w:lang w:eastAsia="en-GB"/>
        </w:rPr>
        <w:t>Telecommunications Policy</w:t>
      </w:r>
      <w:r w:rsidRPr="0062147E">
        <w:rPr>
          <w:rFonts w:ascii="Times New Roman" w:eastAsia="Times New Roman" w:hAnsi="Times New Roman" w:cs="Times New Roman"/>
          <w:color w:val="212529"/>
          <w:lang w:eastAsia="en-GB"/>
        </w:rPr>
        <w:t>, </w:t>
      </w:r>
      <w:r w:rsidRPr="0062147E">
        <w:rPr>
          <w:rFonts w:ascii="Times New Roman" w:eastAsia="Times New Roman" w:hAnsi="Times New Roman" w:cs="Times New Roman"/>
          <w:i/>
          <w:iCs/>
          <w:color w:val="212529"/>
          <w:lang w:eastAsia="en-GB"/>
        </w:rPr>
        <w:t>37</w:t>
      </w:r>
      <w:r w:rsidRPr="0062147E">
        <w:rPr>
          <w:rFonts w:ascii="Times New Roman" w:eastAsia="Times New Roman" w:hAnsi="Times New Roman" w:cs="Times New Roman"/>
          <w:color w:val="212529"/>
          <w:lang w:eastAsia="en-GB"/>
        </w:rPr>
        <w:t xml:space="preserve">(4-5), 372-386. </w:t>
      </w:r>
      <w:proofErr w:type="gramStart"/>
      <w:r w:rsidRPr="0062147E">
        <w:rPr>
          <w:rFonts w:ascii="Times New Roman" w:eastAsia="Times New Roman" w:hAnsi="Times New Roman" w:cs="Times New Roman"/>
          <w:color w:val="212529"/>
          <w:lang w:eastAsia="en-GB"/>
        </w:rPr>
        <w:t>Doi:10.1016/j.telpol</w:t>
      </w:r>
      <w:proofErr w:type="gramEnd"/>
      <w:r w:rsidRPr="0062147E">
        <w:rPr>
          <w:rFonts w:ascii="Times New Roman" w:eastAsia="Times New Roman" w:hAnsi="Times New Roman" w:cs="Times New Roman"/>
          <w:color w:val="212529"/>
          <w:lang w:eastAsia="en-GB"/>
        </w:rPr>
        <w:t>.2012.04.011</w:t>
      </w:r>
    </w:p>
    <w:p w14:paraId="1F61454E" w14:textId="24B2259E" w:rsidR="009A4CF6" w:rsidRDefault="009A4CF6" w:rsidP="0062147E">
      <w:pPr>
        <w:shd w:val="clear" w:color="auto" w:fill="FFFFFF"/>
        <w:spacing w:before="100" w:beforeAutospacing="1" w:after="100" w:afterAutospacing="1"/>
        <w:rPr>
          <w:rFonts w:ascii="Times New Roman" w:hAnsi="Times New Roman" w:cs="Times New Roman"/>
        </w:rPr>
      </w:pPr>
      <w:r w:rsidRPr="00257419">
        <w:rPr>
          <w:rFonts w:ascii="Times New Roman" w:eastAsia="Times New Roman" w:hAnsi="Times New Roman" w:cs="Times New Roman"/>
          <w:color w:val="212529"/>
          <w:lang w:eastAsia="en-GB"/>
        </w:rPr>
        <w:t xml:space="preserve">Cave, B. (2016). Op-ed: Don’t blame companies for convoluted Privacy Practices. Available at: </w:t>
      </w:r>
      <w:hyperlink r:id="rId28" w:history="1">
        <w:r w:rsidRPr="00257419">
          <w:rPr>
            <w:rStyle w:val="Hyperlink"/>
            <w:rFonts w:ascii="Times New Roman" w:hAnsi="Times New Roman" w:cs="Times New Roman"/>
          </w:rPr>
          <w:t xml:space="preserve">Op-ed: Don’t Blame Companies for Convoluted Privacy Policies - </w:t>
        </w:r>
        <w:proofErr w:type="spellStart"/>
        <w:r w:rsidRPr="00257419">
          <w:rPr>
            <w:rStyle w:val="Hyperlink"/>
            <w:rFonts w:ascii="Times New Roman" w:hAnsi="Times New Roman" w:cs="Times New Roman"/>
          </w:rPr>
          <w:t>Lexology</w:t>
        </w:r>
        <w:proofErr w:type="spellEnd"/>
      </w:hyperlink>
      <w:r w:rsidRPr="00257419">
        <w:rPr>
          <w:rFonts w:ascii="Times New Roman" w:hAnsi="Times New Roman" w:cs="Times New Roman"/>
        </w:rPr>
        <w:t xml:space="preserve"> [Accessed 16/04/2022]</w:t>
      </w:r>
    </w:p>
    <w:p w14:paraId="42A27CB0" w14:textId="160294D7" w:rsidR="009979B7" w:rsidRDefault="00FE4364" w:rsidP="0062147E">
      <w:p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 xml:space="preserve">Layton, R. (2019). The 10 Problems with GDPR. Available at: </w:t>
      </w:r>
      <w:hyperlink r:id="rId29" w:history="1">
        <w:r>
          <w:rPr>
            <w:rStyle w:val="Hyperlink"/>
          </w:rPr>
          <w:t>Layton Testimony1.pdf (senate.gov)</w:t>
        </w:r>
      </w:hyperlink>
      <w:r>
        <w:t xml:space="preserve"> </w:t>
      </w:r>
      <w:r w:rsidRPr="00257419">
        <w:rPr>
          <w:rFonts w:ascii="Times New Roman" w:hAnsi="Times New Roman" w:cs="Times New Roman"/>
        </w:rPr>
        <w:t>[Accessed 16/04/2022]</w:t>
      </w:r>
    </w:p>
    <w:p w14:paraId="7C14AB15" w14:textId="6FDADC73" w:rsidR="009979B7" w:rsidRPr="009979B7" w:rsidRDefault="009979B7" w:rsidP="0062147E">
      <w:p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 xml:space="preserve">Pinsent Masons (2013). Data protection enforcement in UK, France and Germany explained. Available at: </w:t>
      </w:r>
      <w:hyperlink r:id="rId30" w:history="1">
        <w:r>
          <w:rPr>
            <w:rStyle w:val="Hyperlink"/>
          </w:rPr>
          <w:t>Data protection enforcement in UK, France and Germany explained (pinsentmasons.com)</w:t>
        </w:r>
      </w:hyperlink>
      <w:r>
        <w:t xml:space="preserve"> [Accessed 18/04/2022]</w:t>
      </w:r>
    </w:p>
    <w:p w14:paraId="0077802B" w14:textId="3FC53030" w:rsidR="0062147E" w:rsidRDefault="00E21326" w:rsidP="0062147E">
      <w:pPr>
        <w:shd w:val="clear" w:color="auto" w:fill="FFFFFF"/>
        <w:spacing w:before="100" w:beforeAutospacing="1" w:after="100" w:afterAutospacing="1"/>
      </w:pPr>
      <w:r>
        <w:rPr>
          <w:rFonts w:ascii="Times New Roman" w:eastAsia="Times New Roman" w:hAnsi="Times New Roman" w:cs="Times New Roman"/>
          <w:color w:val="212529"/>
          <w:lang w:eastAsia="en-GB"/>
        </w:rPr>
        <w:lastRenderedPageBreak/>
        <w:t xml:space="preserve">Gunn, </w:t>
      </w:r>
      <w:proofErr w:type="gramStart"/>
      <w:r>
        <w:rPr>
          <w:rFonts w:ascii="Times New Roman" w:eastAsia="Times New Roman" w:hAnsi="Times New Roman" w:cs="Times New Roman"/>
          <w:color w:val="212529"/>
          <w:lang w:eastAsia="en-GB"/>
        </w:rPr>
        <w:t>J,.</w:t>
      </w:r>
      <w:proofErr w:type="gramEnd"/>
      <w:r>
        <w:rPr>
          <w:rFonts w:ascii="Times New Roman" w:eastAsia="Times New Roman" w:hAnsi="Times New Roman" w:cs="Times New Roman"/>
          <w:color w:val="212529"/>
          <w:lang w:eastAsia="en-GB"/>
        </w:rPr>
        <w:t xml:space="preserve"> Beverly-Smith, </w:t>
      </w:r>
      <w:proofErr w:type="gramStart"/>
      <w:r>
        <w:rPr>
          <w:rFonts w:ascii="Times New Roman" w:eastAsia="Times New Roman" w:hAnsi="Times New Roman" w:cs="Times New Roman"/>
          <w:color w:val="212529"/>
          <w:lang w:eastAsia="en-GB"/>
        </w:rPr>
        <w:t>H,.</w:t>
      </w:r>
      <w:proofErr w:type="gramEnd"/>
      <w:r>
        <w:rPr>
          <w:rFonts w:ascii="Times New Roman" w:eastAsia="Times New Roman" w:hAnsi="Times New Roman" w:cs="Times New Roman"/>
          <w:color w:val="212529"/>
          <w:lang w:eastAsia="en-GB"/>
        </w:rPr>
        <w:t xml:space="preserve"> (2021). Significant Changes Proposed to UK GDPR. Available at: </w:t>
      </w:r>
      <w:hyperlink r:id="rId31" w:history="1">
        <w:r>
          <w:rPr>
            <w:rStyle w:val="Hyperlink"/>
          </w:rPr>
          <w:t>Significant Changes Proposed to U.K. GDPR | Publications | Insights | Faegre Drinker Biddle &amp; Reath LLP</w:t>
        </w:r>
      </w:hyperlink>
      <w:r>
        <w:t xml:space="preserve"> [Accessed 18/04/2022] </w:t>
      </w:r>
    </w:p>
    <w:p w14:paraId="0AD68552" w14:textId="10F72028" w:rsidR="006523B0" w:rsidRDefault="006523B0" w:rsidP="0062147E">
      <w:pPr>
        <w:shd w:val="clear" w:color="auto" w:fill="FFFFFF"/>
        <w:spacing w:before="100" w:beforeAutospacing="1" w:after="100" w:afterAutospacing="1"/>
      </w:pPr>
      <w:r>
        <w:t xml:space="preserve">Sorensen, </w:t>
      </w:r>
      <w:proofErr w:type="gramStart"/>
      <w:r>
        <w:t>E,.</w:t>
      </w:r>
      <w:proofErr w:type="gramEnd"/>
      <w:r>
        <w:t xml:space="preserve"> (2021). GDPR Adequacy Decision for the UK. Available at: </w:t>
      </w:r>
      <w:hyperlink r:id="rId32" w:anchor=":~:text=The%20adequacy%20decision%20for%20the,adequate%20level%20of%20data%20protection." w:history="1">
        <w:r>
          <w:rPr>
            <w:rStyle w:val="Hyperlink"/>
          </w:rPr>
          <w:t xml:space="preserve">GDPR adequacy decision for the UK - </w:t>
        </w:r>
        <w:proofErr w:type="spellStart"/>
        <w:r>
          <w:rPr>
            <w:rStyle w:val="Hyperlink"/>
          </w:rPr>
          <w:t>activeMind.legal</w:t>
        </w:r>
        <w:proofErr w:type="spellEnd"/>
      </w:hyperlink>
      <w:r>
        <w:t xml:space="preserve"> [Accessed 18/04/2022]</w:t>
      </w:r>
    </w:p>
    <w:p w14:paraId="6A2F9583" w14:textId="0E4C792F" w:rsidR="007807A1" w:rsidRPr="0062147E" w:rsidRDefault="007807A1" w:rsidP="0062147E">
      <w:pPr>
        <w:shd w:val="clear" w:color="auto" w:fill="FFFFFF"/>
        <w:spacing w:before="100" w:beforeAutospacing="1" w:after="100" w:afterAutospacing="1"/>
        <w:rPr>
          <w:rFonts w:ascii="Times New Roman" w:eastAsia="Times New Roman" w:hAnsi="Times New Roman" w:cs="Times New Roman"/>
          <w:color w:val="212529"/>
          <w:lang w:eastAsia="en-GB"/>
        </w:rPr>
      </w:pPr>
      <w:r>
        <w:t xml:space="preserve">NYTimes, (2021). Some Hotels are Mandating Vaccines, Will Others Follow? Available at: </w:t>
      </w:r>
      <w:hyperlink r:id="rId33" w:history="1">
        <w:r>
          <w:rPr>
            <w:rStyle w:val="Hyperlink"/>
          </w:rPr>
          <w:t>Some Hotels Are Mandating Vaccines. Will Others Follow? - The New York Times (nytimes.com)</w:t>
        </w:r>
      </w:hyperlink>
      <w:r>
        <w:t xml:space="preserve"> [Accessed 18/04/2022]</w:t>
      </w:r>
    </w:p>
    <w:p w14:paraId="294DCFF2" w14:textId="1E6ABD77" w:rsidR="0062147E" w:rsidRDefault="00CE2EEF" w:rsidP="0098760D">
      <w:pPr>
        <w:shd w:val="clear" w:color="auto" w:fill="FFFFFF" w:themeFill="background1"/>
        <w:jc w:val="both"/>
      </w:pPr>
      <w:r>
        <w:rPr>
          <w:rFonts w:ascii="Times New Roman" w:hAnsi="Times New Roman" w:cs="Times New Roman"/>
        </w:rPr>
        <w:t xml:space="preserve">Irwin, </w:t>
      </w:r>
      <w:proofErr w:type="gramStart"/>
      <w:r>
        <w:rPr>
          <w:rFonts w:ascii="Times New Roman" w:hAnsi="Times New Roman" w:cs="Times New Roman"/>
        </w:rPr>
        <w:t>L,.</w:t>
      </w:r>
      <w:proofErr w:type="gramEnd"/>
      <w:r>
        <w:rPr>
          <w:rFonts w:ascii="Times New Roman" w:hAnsi="Times New Roman" w:cs="Times New Roman"/>
        </w:rPr>
        <w:t xml:space="preserve"> (2022). What exactly is personal data? Available at: </w:t>
      </w:r>
      <w:hyperlink r:id="rId34" w:history="1">
        <w:r>
          <w:rPr>
            <w:rStyle w:val="Hyperlink"/>
          </w:rPr>
          <w:t xml:space="preserve">The GDPR: What exactly is personal data? - IT Governance Blog </w:t>
        </w:r>
        <w:proofErr w:type="spellStart"/>
        <w:r>
          <w:rPr>
            <w:rStyle w:val="Hyperlink"/>
          </w:rPr>
          <w:t>En</w:t>
        </w:r>
        <w:proofErr w:type="spellEnd"/>
      </w:hyperlink>
      <w:r>
        <w:t xml:space="preserve"> [Accessed 18/04/2022]</w:t>
      </w:r>
    </w:p>
    <w:p w14:paraId="7FF34A21" w14:textId="336FD444" w:rsidR="00043269" w:rsidRDefault="00043269" w:rsidP="0098760D">
      <w:pPr>
        <w:shd w:val="clear" w:color="auto" w:fill="FFFFFF" w:themeFill="background1"/>
        <w:jc w:val="both"/>
      </w:pPr>
    </w:p>
    <w:p w14:paraId="642F0D57" w14:textId="2D2B1FF8" w:rsidR="00043269" w:rsidRPr="00043269" w:rsidRDefault="00043269" w:rsidP="0098760D">
      <w:pPr>
        <w:shd w:val="clear" w:color="auto" w:fill="FFFFFF" w:themeFill="background1"/>
        <w:jc w:val="both"/>
        <w:rPr>
          <w:rFonts w:ascii="Times New Roman" w:hAnsi="Times New Roman" w:cs="Times New Roman"/>
        </w:rPr>
      </w:pPr>
      <w:r w:rsidRPr="00043269">
        <w:rPr>
          <w:rFonts w:ascii="Times New Roman" w:hAnsi="Times New Roman" w:cs="Times New Roman"/>
        </w:rPr>
        <w:t xml:space="preserve">Statista, (2022). Revenue of Marriott International Inc Worldwide from 1999 to 2021. Available at: </w:t>
      </w:r>
      <w:hyperlink r:id="rId35" w:history="1">
        <w:r w:rsidRPr="00043269">
          <w:rPr>
            <w:rStyle w:val="Hyperlink"/>
            <w:rFonts w:ascii="Times New Roman" w:hAnsi="Times New Roman" w:cs="Times New Roman"/>
          </w:rPr>
          <w:t>• Marriott revenue worldwide 2021 | Statista</w:t>
        </w:r>
      </w:hyperlink>
      <w:r w:rsidRPr="00043269">
        <w:rPr>
          <w:rFonts w:ascii="Times New Roman" w:hAnsi="Times New Roman" w:cs="Times New Roman"/>
        </w:rPr>
        <w:t xml:space="preserve"> [Accessed 18/04/2022]</w:t>
      </w:r>
    </w:p>
    <w:p w14:paraId="17273B52" w14:textId="77777777" w:rsidR="00A11E77" w:rsidRPr="002467EB" w:rsidRDefault="00A11E77" w:rsidP="0098760D">
      <w:pPr>
        <w:shd w:val="clear" w:color="auto" w:fill="FFFFFF" w:themeFill="background1"/>
        <w:jc w:val="both"/>
        <w:rPr>
          <w:rFonts w:ascii="Times New Roman" w:hAnsi="Times New Roman" w:cs="Times New Roman"/>
        </w:rPr>
      </w:pPr>
    </w:p>
    <w:p w14:paraId="62BB9AD9" w14:textId="23A434FC" w:rsidR="002467EB" w:rsidRDefault="002467EB" w:rsidP="0098760D">
      <w:pPr>
        <w:shd w:val="clear" w:color="auto" w:fill="FFFFFF" w:themeFill="background1"/>
        <w:jc w:val="both"/>
      </w:pPr>
    </w:p>
    <w:p w14:paraId="6D917A7D" w14:textId="3FCD3EDC" w:rsidR="00B16262" w:rsidRDefault="00B16262" w:rsidP="0098760D">
      <w:pPr>
        <w:shd w:val="clear" w:color="auto" w:fill="FFFFFF" w:themeFill="background1"/>
        <w:jc w:val="both"/>
      </w:pPr>
    </w:p>
    <w:p w14:paraId="28AC7807" w14:textId="52305FF5" w:rsidR="002467EB" w:rsidRPr="002467EB" w:rsidRDefault="002467EB" w:rsidP="0098760D">
      <w:pPr>
        <w:pStyle w:val="Heading1"/>
        <w:shd w:val="clear" w:color="auto" w:fill="FFFFFF"/>
        <w:spacing w:before="0"/>
        <w:jc w:val="both"/>
        <w:textAlignment w:val="baseline"/>
        <w:rPr>
          <w:rFonts w:ascii="Times New Roman" w:hAnsi="Times New Roman" w:cs="Times New Roman"/>
          <w:color w:val="auto"/>
          <w:sz w:val="24"/>
          <w:szCs w:val="24"/>
        </w:rPr>
      </w:pPr>
    </w:p>
    <w:p w14:paraId="330002FC" w14:textId="7B856534" w:rsidR="002467EB" w:rsidRDefault="002467EB" w:rsidP="0098760D">
      <w:pPr>
        <w:shd w:val="clear" w:color="auto" w:fill="FFFFFF" w:themeFill="background1"/>
        <w:jc w:val="both"/>
      </w:pPr>
      <w:r>
        <w:t xml:space="preserve"> </w:t>
      </w:r>
    </w:p>
    <w:p w14:paraId="62FD3FEA" w14:textId="2889CE13" w:rsidR="00B50C1E" w:rsidRDefault="00B50C1E" w:rsidP="0098760D">
      <w:pPr>
        <w:shd w:val="clear" w:color="auto" w:fill="FFFFFF" w:themeFill="background1"/>
        <w:jc w:val="both"/>
      </w:pPr>
    </w:p>
    <w:p w14:paraId="49B36F1E" w14:textId="77777777" w:rsidR="00B50C1E" w:rsidRPr="00B50C1E" w:rsidRDefault="00B50C1E" w:rsidP="0098760D">
      <w:pPr>
        <w:shd w:val="clear" w:color="auto" w:fill="FFFFFF" w:themeFill="background1"/>
        <w:jc w:val="both"/>
        <w:rPr>
          <w:rFonts w:ascii="Times New Roman" w:hAnsi="Times New Roman" w:cs="Times New Roman"/>
        </w:rPr>
      </w:pPr>
    </w:p>
    <w:p w14:paraId="11E992FF" w14:textId="77777777" w:rsidR="00512F3F" w:rsidRPr="00512F3F" w:rsidRDefault="00512F3F" w:rsidP="0098760D">
      <w:pPr>
        <w:shd w:val="clear" w:color="auto" w:fill="FFFFFF" w:themeFill="background1"/>
        <w:jc w:val="both"/>
        <w:rPr>
          <w:rStyle w:val="Hyperlink"/>
          <w:rFonts w:ascii="Times New Roman" w:hAnsi="Times New Roman" w:cs="Times New Roman"/>
          <w:color w:val="auto"/>
          <w:u w:val="none"/>
        </w:rPr>
      </w:pPr>
    </w:p>
    <w:p w14:paraId="526C942B" w14:textId="2A7D13A8" w:rsidR="00512F3F" w:rsidRDefault="00512F3F" w:rsidP="0098760D">
      <w:pPr>
        <w:shd w:val="clear" w:color="auto" w:fill="FFFFFF" w:themeFill="background1"/>
        <w:jc w:val="both"/>
        <w:rPr>
          <w:rStyle w:val="Hyperlink"/>
          <w:rFonts w:ascii="Times New Roman" w:hAnsi="Times New Roman" w:cs="Times New Roman"/>
        </w:rPr>
      </w:pPr>
    </w:p>
    <w:p w14:paraId="1B67EC4D" w14:textId="1D86A511" w:rsidR="00512F3F" w:rsidRDefault="00512F3F" w:rsidP="0098760D">
      <w:pPr>
        <w:shd w:val="clear" w:color="auto" w:fill="FFFFFF" w:themeFill="background1"/>
        <w:jc w:val="both"/>
        <w:rPr>
          <w:rFonts w:ascii="Times New Roman" w:hAnsi="Times New Roman" w:cs="Times New Roman"/>
        </w:rPr>
      </w:pPr>
    </w:p>
    <w:p w14:paraId="174D9AD2" w14:textId="77777777" w:rsidR="009F7F9E" w:rsidRPr="009F7F9E" w:rsidRDefault="009F7F9E" w:rsidP="0098760D">
      <w:pPr>
        <w:shd w:val="clear" w:color="auto" w:fill="FFFFFF" w:themeFill="background1"/>
        <w:jc w:val="both"/>
        <w:rPr>
          <w:rFonts w:ascii="Times New Roman" w:hAnsi="Times New Roman" w:cs="Times New Roman"/>
        </w:rPr>
      </w:pPr>
    </w:p>
    <w:p w14:paraId="173A783B" w14:textId="392329BB" w:rsidR="0015403B" w:rsidRPr="00D106E7" w:rsidRDefault="007F69EF" w:rsidP="0098760D">
      <w:pPr>
        <w:jc w:val="both"/>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98760D">
      <w:pPr>
        <w:pStyle w:val="Heading1"/>
        <w:jc w:val="both"/>
        <w:rPr>
          <w:rFonts w:ascii="Times New Roman" w:hAnsi="Times New Roman" w:cs="Times New Roman"/>
        </w:rPr>
      </w:pPr>
      <w:bookmarkStart w:id="5" w:name="_Toc53045824"/>
      <w:r w:rsidRPr="004A5DB0">
        <w:rPr>
          <w:rFonts w:ascii="Times New Roman" w:hAnsi="Times New Roman" w:cs="Times New Roman"/>
        </w:rPr>
        <w:lastRenderedPageBreak/>
        <w:t>Appendices</w:t>
      </w:r>
      <w:bookmarkEnd w:id="5"/>
    </w:p>
    <w:p w14:paraId="05594CF4" w14:textId="6886AF1D" w:rsidR="007F69EF" w:rsidRPr="004A5DB0" w:rsidRDefault="007F69EF" w:rsidP="0098760D">
      <w:pPr>
        <w:jc w:val="both"/>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36"/>
      <w:headerReference w:type="default" r:id="rId37"/>
      <w:footerReference w:type="even"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2C15" w14:textId="77777777" w:rsidR="004046CA" w:rsidRDefault="004046CA" w:rsidP="006C56FA">
      <w:r>
        <w:separator/>
      </w:r>
    </w:p>
  </w:endnote>
  <w:endnote w:type="continuationSeparator" w:id="0">
    <w:p w14:paraId="0DED5358" w14:textId="77777777" w:rsidR="004046CA" w:rsidRDefault="004046CA"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0708" w14:textId="77777777" w:rsidR="004046CA" w:rsidRDefault="004046CA" w:rsidP="006C56FA">
      <w:r>
        <w:separator/>
      </w:r>
    </w:p>
  </w:footnote>
  <w:footnote w:type="continuationSeparator" w:id="0">
    <w:p w14:paraId="07A0E383" w14:textId="77777777" w:rsidR="004046CA" w:rsidRDefault="004046CA"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101B0"/>
    <w:multiLevelType w:val="multilevel"/>
    <w:tmpl w:val="ECC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95551"/>
    <w:multiLevelType w:val="multilevel"/>
    <w:tmpl w:val="9F0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43269"/>
    <w:rsid w:val="00044C67"/>
    <w:rsid w:val="00062E0E"/>
    <w:rsid w:val="00064563"/>
    <w:rsid w:val="000678B5"/>
    <w:rsid w:val="0007639B"/>
    <w:rsid w:val="00080C0B"/>
    <w:rsid w:val="00084B05"/>
    <w:rsid w:val="000A344D"/>
    <w:rsid w:val="000A374C"/>
    <w:rsid w:val="000A44AB"/>
    <w:rsid w:val="000B21D6"/>
    <w:rsid w:val="000B575E"/>
    <w:rsid w:val="000D2F0E"/>
    <w:rsid w:val="000E426E"/>
    <w:rsid w:val="0012362A"/>
    <w:rsid w:val="00140568"/>
    <w:rsid w:val="001407B6"/>
    <w:rsid w:val="00153FE2"/>
    <w:rsid w:val="0015403B"/>
    <w:rsid w:val="0015770E"/>
    <w:rsid w:val="001741E7"/>
    <w:rsid w:val="001A7767"/>
    <w:rsid w:val="001B482D"/>
    <w:rsid w:val="001C0865"/>
    <w:rsid w:val="001F1833"/>
    <w:rsid w:val="001F279A"/>
    <w:rsid w:val="00200E10"/>
    <w:rsid w:val="00204CEB"/>
    <w:rsid w:val="00207E20"/>
    <w:rsid w:val="00226F8C"/>
    <w:rsid w:val="002467EB"/>
    <w:rsid w:val="00246914"/>
    <w:rsid w:val="00257419"/>
    <w:rsid w:val="00263B73"/>
    <w:rsid w:val="00266ED1"/>
    <w:rsid w:val="0027191D"/>
    <w:rsid w:val="00286FB1"/>
    <w:rsid w:val="00291AA5"/>
    <w:rsid w:val="00291EDF"/>
    <w:rsid w:val="00292849"/>
    <w:rsid w:val="002B6D2B"/>
    <w:rsid w:val="002C577A"/>
    <w:rsid w:val="002C602F"/>
    <w:rsid w:val="00313EB6"/>
    <w:rsid w:val="00350E3A"/>
    <w:rsid w:val="00355971"/>
    <w:rsid w:val="0038722A"/>
    <w:rsid w:val="00394B24"/>
    <w:rsid w:val="0039507B"/>
    <w:rsid w:val="003A231C"/>
    <w:rsid w:val="003A68A8"/>
    <w:rsid w:val="003B2A00"/>
    <w:rsid w:val="003D1AC1"/>
    <w:rsid w:val="003F4C02"/>
    <w:rsid w:val="004046CA"/>
    <w:rsid w:val="00466A80"/>
    <w:rsid w:val="00476A87"/>
    <w:rsid w:val="00484926"/>
    <w:rsid w:val="004935CB"/>
    <w:rsid w:val="004A438B"/>
    <w:rsid w:val="004A5DB0"/>
    <w:rsid w:val="004C5B07"/>
    <w:rsid w:val="004E6C02"/>
    <w:rsid w:val="004F1DC8"/>
    <w:rsid w:val="004F4A4C"/>
    <w:rsid w:val="00512F3F"/>
    <w:rsid w:val="00524220"/>
    <w:rsid w:val="00532827"/>
    <w:rsid w:val="005338EE"/>
    <w:rsid w:val="0057032D"/>
    <w:rsid w:val="00582D9B"/>
    <w:rsid w:val="005839F7"/>
    <w:rsid w:val="005A2D2B"/>
    <w:rsid w:val="005A6E98"/>
    <w:rsid w:val="0062147E"/>
    <w:rsid w:val="00621BBC"/>
    <w:rsid w:val="00630970"/>
    <w:rsid w:val="00631B52"/>
    <w:rsid w:val="00633380"/>
    <w:rsid w:val="00644FA8"/>
    <w:rsid w:val="00650F4E"/>
    <w:rsid w:val="006523B0"/>
    <w:rsid w:val="006608AA"/>
    <w:rsid w:val="00671D5E"/>
    <w:rsid w:val="006A07CC"/>
    <w:rsid w:val="006A53DA"/>
    <w:rsid w:val="006A696F"/>
    <w:rsid w:val="006B4188"/>
    <w:rsid w:val="006B75EB"/>
    <w:rsid w:val="006C56FA"/>
    <w:rsid w:val="006D4BC1"/>
    <w:rsid w:val="00707C96"/>
    <w:rsid w:val="0072716A"/>
    <w:rsid w:val="007350BB"/>
    <w:rsid w:val="0074688E"/>
    <w:rsid w:val="00746F40"/>
    <w:rsid w:val="00754B14"/>
    <w:rsid w:val="00757A18"/>
    <w:rsid w:val="00763BD9"/>
    <w:rsid w:val="007807A1"/>
    <w:rsid w:val="0079256F"/>
    <w:rsid w:val="007B6C17"/>
    <w:rsid w:val="007E350D"/>
    <w:rsid w:val="007F69EF"/>
    <w:rsid w:val="008013D4"/>
    <w:rsid w:val="00810B0E"/>
    <w:rsid w:val="00814A73"/>
    <w:rsid w:val="008225F1"/>
    <w:rsid w:val="00853166"/>
    <w:rsid w:val="00887B76"/>
    <w:rsid w:val="008A0017"/>
    <w:rsid w:val="008A31C5"/>
    <w:rsid w:val="008A7CEE"/>
    <w:rsid w:val="008C07D0"/>
    <w:rsid w:val="008C55F3"/>
    <w:rsid w:val="008C70BE"/>
    <w:rsid w:val="008D1071"/>
    <w:rsid w:val="009065F0"/>
    <w:rsid w:val="009249D4"/>
    <w:rsid w:val="00924D0A"/>
    <w:rsid w:val="00937262"/>
    <w:rsid w:val="00956F47"/>
    <w:rsid w:val="009634A5"/>
    <w:rsid w:val="00966098"/>
    <w:rsid w:val="00967B8A"/>
    <w:rsid w:val="00972A8C"/>
    <w:rsid w:val="00975252"/>
    <w:rsid w:val="0098760D"/>
    <w:rsid w:val="009979B7"/>
    <w:rsid w:val="009A4CF6"/>
    <w:rsid w:val="009B66A2"/>
    <w:rsid w:val="009D4DE7"/>
    <w:rsid w:val="009F7F9E"/>
    <w:rsid w:val="00A044B4"/>
    <w:rsid w:val="00A054E8"/>
    <w:rsid w:val="00A11E77"/>
    <w:rsid w:val="00A21752"/>
    <w:rsid w:val="00A47409"/>
    <w:rsid w:val="00A545DA"/>
    <w:rsid w:val="00A6174C"/>
    <w:rsid w:val="00A70617"/>
    <w:rsid w:val="00A836C5"/>
    <w:rsid w:val="00A91AC9"/>
    <w:rsid w:val="00AB40E2"/>
    <w:rsid w:val="00AC1392"/>
    <w:rsid w:val="00AC6C78"/>
    <w:rsid w:val="00AD13E3"/>
    <w:rsid w:val="00AE2524"/>
    <w:rsid w:val="00AE33AB"/>
    <w:rsid w:val="00AF6DED"/>
    <w:rsid w:val="00B066C4"/>
    <w:rsid w:val="00B12AAE"/>
    <w:rsid w:val="00B16262"/>
    <w:rsid w:val="00B50C1E"/>
    <w:rsid w:val="00B62BE8"/>
    <w:rsid w:val="00B67814"/>
    <w:rsid w:val="00BB3767"/>
    <w:rsid w:val="00BC19AF"/>
    <w:rsid w:val="00BD1960"/>
    <w:rsid w:val="00BD68B3"/>
    <w:rsid w:val="00BD769A"/>
    <w:rsid w:val="00C20B9A"/>
    <w:rsid w:val="00C36C82"/>
    <w:rsid w:val="00C50999"/>
    <w:rsid w:val="00C52C6B"/>
    <w:rsid w:val="00C54D84"/>
    <w:rsid w:val="00C552FB"/>
    <w:rsid w:val="00C61C65"/>
    <w:rsid w:val="00C72194"/>
    <w:rsid w:val="00CC4B14"/>
    <w:rsid w:val="00CE2EEF"/>
    <w:rsid w:val="00CE39D4"/>
    <w:rsid w:val="00CF7D6F"/>
    <w:rsid w:val="00D01BF9"/>
    <w:rsid w:val="00D106E7"/>
    <w:rsid w:val="00D22E90"/>
    <w:rsid w:val="00D2446A"/>
    <w:rsid w:val="00D33F4C"/>
    <w:rsid w:val="00D43F13"/>
    <w:rsid w:val="00D55933"/>
    <w:rsid w:val="00D70C3E"/>
    <w:rsid w:val="00E006A6"/>
    <w:rsid w:val="00E02983"/>
    <w:rsid w:val="00E21326"/>
    <w:rsid w:val="00E332D8"/>
    <w:rsid w:val="00E60A72"/>
    <w:rsid w:val="00E77E46"/>
    <w:rsid w:val="00E81CBF"/>
    <w:rsid w:val="00E95816"/>
    <w:rsid w:val="00EA5424"/>
    <w:rsid w:val="00EC64EE"/>
    <w:rsid w:val="00EE3489"/>
    <w:rsid w:val="00EF1F1C"/>
    <w:rsid w:val="00F067B7"/>
    <w:rsid w:val="00F1100F"/>
    <w:rsid w:val="00F120D3"/>
    <w:rsid w:val="00F22AEB"/>
    <w:rsid w:val="00F27C47"/>
    <w:rsid w:val="00F54B8D"/>
    <w:rsid w:val="00F5691E"/>
    <w:rsid w:val="00F67EC7"/>
    <w:rsid w:val="00F71141"/>
    <w:rsid w:val="00F82508"/>
    <w:rsid w:val="00F84281"/>
    <w:rsid w:val="00F868F8"/>
    <w:rsid w:val="00F97971"/>
    <w:rsid w:val="00FA6B12"/>
    <w:rsid w:val="00FA7B3C"/>
    <w:rsid w:val="00FB0FFD"/>
    <w:rsid w:val="00FB36DD"/>
    <w:rsid w:val="00FB6D4D"/>
    <w:rsid w:val="00FD024D"/>
    <w:rsid w:val="00FE4364"/>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 w:type="paragraph" w:styleId="Subtitle">
    <w:name w:val="Subtitle"/>
    <w:basedOn w:val="Normal"/>
    <w:next w:val="Normal"/>
    <w:link w:val="SubtitleChar"/>
    <w:uiPriority w:val="11"/>
    <w:qFormat/>
    <w:rsid w:val="00B12A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AA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310863401">
      <w:bodyDiv w:val="1"/>
      <w:marLeft w:val="0"/>
      <w:marRight w:val="0"/>
      <w:marTop w:val="0"/>
      <w:marBottom w:val="0"/>
      <w:divBdr>
        <w:top w:val="none" w:sz="0" w:space="0" w:color="auto"/>
        <w:left w:val="none" w:sz="0" w:space="0" w:color="auto"/>
        <w:bottom w:val="none" w:sz="0" w:space="0" w:color="auto"/>
        <w:right w:val="none" w:sz="0" w:space="0" w:color="auto"/>
      </w:divBdr>
    </w:div>
    <w:div w:id="1445534622">
      <w:bodyDiv w:val="1"/>
      <w:marLeft w:val="0"/>
      <w:marRight w:val="0"/>
      <w:marTop w:val="0"/>
      <w:marBottom w:val="0"/>
      <w:divBdr>
        <w:top w:val="none" w:sz="0" w:space="0" w:color="auto"/>
        <w:left w:val="none" w:sz="0" w:space="0" w:color="auto"/>
        <w:bottom w:val="none" w:sz="0" w:space="0" w:color="auto"/>
        <w:right w:val="none" w:sz="0" w:space="0" w:color="auto"/>
      </w:divBdr>
    </w:div>
    <w:div w:id="1715737975">
      <w:bodyDiv w:val="1"/>
      <w:marLeft w:val="0"/>
      <w:marRight w:val="0"/>
      <w:marTop w:val="0"/>
      <w:marBottom w:val="0"/>
      <w:divBdr>
        <w:top w:val="none" w:sz="0" w:space="0" w:color="auto"/>
        <w:left w:val="none" w:sz="0" w:space="0" w:color="auto"/>
        <w:bottom w:val="none" w:sz="0" w:space="0" w:color="auto"/>
        <w:right w:val="none" w:sz="0" w:space="0" w:color="auto"/>
      </w:divBdr>
    </w:div>
    <w:div w:id="1858082904">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rn.com/abstract=3374955" TargetMode="External"/><Relationship Id="rId18" Type="http://schemas.openxmlformats.org/officeDocument/2006/relationships/hyperlink" Target="https://publications.parliament.uk/pa/ld201719/ldselect/ldai%20/100/100.pdf" TargetMode="External"/><Relationship Id="rId26" Type="http://schemas.openxmlformats.org/officeDocument/2006/relationships/hyperlink" Target="https://ssrn.com/abstract=2746831" TargetMode="External"/><Relationship Id="rId39" Type="http://schemas.openxmlformats.org/officeDocument/2006/relationships/footer" Target="footer2.xml"/><Relationship Id="rId21" Type="http://schemas.openxmlformats.org/officeDocument/2006/relationships/hyperlink" Target="https://ico.org.uk/for-organisations/guide-to-data-protection/guide-to-the-general-data-protection-regulation-gdpr/personal-data-breaches/" TargetMode="External"/><Relationship Id="rId34" Type="http://schemas.openxmlformats.org/officeDocument/2006/relationships/hyperlink" Target="https://www.itgovernance.eu/blog/en/the-gdpr-what-exactly-is-personal-data"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isel.aisnet.org/acis2020/27" TargetMode="External"/><Relationship Id="rId20" Type="http://schemas.openxmlformats.org/officeDocument/2006/relationships/hyperlink" Target="https://blog.revolutionanalytics.com/2017/12/the-trouble-with-bias-by-kate-crawford.html" TargetMode="External"/><Relationship Id="rId29" Type="http://schemas.openxmlformats.org/officeDocument/2006/relationships/hyperlink" Target="https://www.judiciary.senate.gov/imo/media/doc/Layton%20Testimony1.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uters.com/article/us-amazon-com-jobs-automation-insight/amazon-scraps-secret-ai-recruiting-tool-that-showed-bias-against-women-idUSKCN1MK08G" TargetMode="External"/><Relationship Id="rId24" Type="http://schemas.openxmlformats.org/officeDocument/2006/relationships/hyperlink" Target="https://www.legislation.gov.uk/eur/2016/679/contents" TargetMode="External"/><Relationship Id="rId32" Type="http://schemas.openxmlformats.org/officeDocument/2006/relationships/hyperlink" Target="https://www.activemind.legal/gb/guides/adequacy-decision-uk/"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i.org/10.7717/peerj-cs.111" TargetMode="External"/><Relationship Id="rId23" Type="http://schemas.openxmlformats.org/officeDocument/2006/relationships/hyperlink" Target="https://www.bbc.co.uk/news/technology-54748843" TargetMode="External"/><Relationship Id="rId28" Type="http://schemas.openxmlformats.org/officeDocument/2006/relationships/hyperlink" Target="https://www.lexology.com/library/detail.aspx?g=1bb1ecb7-597d-46ac-8ff2-605727545fcf"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gov.uk/government/publications/data-ethics-framework/data-ethics-framework-2020" TargetMode="External"/><Relationship Id="rId31" Type="http://schemas.openxmlformats.org/officeDocument/2006/relationships/hyperlink" Target="https://www.faegredrinker.com/en/insights/publications/2021/9/significant-changes-proposed-to-uk-gdp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x.doi.org/10.2139/ssrn.3374955" TargetMode="External"/><Relationship Id="rId22" Type="http://schemas.openxmlformats.org/officeDocument/2006/relationships/hyperlink" Target="https://ico.org.uk/media/action-weve-taken/mpns/2618524/marriott-international-inc-mpn-20201030.pdf" TargetMode="External"/><Relationship Id="rId27" Type="http://schemas.openxmlformats.org/officeDocument/2006/relationships/hyperlink" Target="https://hazy.com/blog/2020/04/08/weaknesses-of-anonymised-data/" TargetMode="External"/><Relationship Id="rId30" Type="http://schemas.openxmlformats.org/officeDocument/2006/relationships/hyperlink" Target="https://www.pinsentmasons.com/out-law/analysis/data-protection-enforcement-in-uk-france-and-germany-explained" TargetMode="External"/><Relationship Id="rId35" Type="http://schemas.openxmlformats.org/officeDocument/2006/relationships/hyperlink" Target="https://www.statista.com/statistics/266279/revenue-of-the-marriott-international-inc-hotel-chain/"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aclu.org/sites/default/files/field_document/jointstatementpredictivepolicing17orgs.pdf" TargetMode="External"/><Relationship Id="rId17" Type="http://schemas.openxmlformats.org/officeDocument/2006/relationships/hyperlink" Target="https://doi.org/10.3127/ajis.v24i0.2799" TargetMode="External"/><Relationship Id="rId25" Type="http://schemas.openxmlformats.org/officeDocument/2006/relationships/hyperlink" Target="https://www.marriott.com/about/privacy.mi" TargetMode="External"/><Relationship Id="rId33" Type="http://schemas.openxmlformats.org/officeDocument/2006/relationships/hyperlink" Target="https://www.nytimes.com/2021/08/27/travel/hotels-vaccine-mandate.html"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16</Pages>
  <Words>5197</Words>
  <Characters>29625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91</cp:revision>
  <dcterms:created xsi:type="dcterms:W3CDTF">2022-02-24T12:44:00Z</dcterms:created>
  <dcterms:modified xsi:type="dcterms:W3CDTF">2022-04-18T12:11:00Z</dcterms:modified>
</cp:coreProperties>
</file>