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3864"/>
          <w:sz w:val="36"/>
          <w:szCs w:val="36"/>
        </w:rPr>
        <w:t xml:space="preserve">Happy Hour Laws and Alcohol-Impaired Traffic Deaths</w:t>
      </w:r>
    </w:p>
    <w:p>
      <w:pPr>
        <w:spacing w:after="280"/>
      </w:pPr>
      <w:r>
        <w:rPr>
          <w:color w:val="555555"/>
          <w:sz w:val="20"/>
          <w:szCs w:val="20"/>
        </w:rPr>
        <w:t xml:space="preserve">Elliot Louis  |  Trinity College  |  October 2026</w:t>
      </w:r>
    </w:p>
    <w:p>
      <w:pPr>
        <w:pStyle w:val="Heading1"/>
      </w:pPr>
      <w:r>
        <w:t xml:space="preserve">Abstract</w:t>
      </w:r>
    </w:p>
    <w:p>
      <w:pPr>
        <w:spacing w:after="140" w:line="276"/>
      </w:pPr>
      <w:r>
        <w:t xml:space="preserve">Do bans on happy hour drink discounts reduce drunk-driving deaths? This paper uses crash-level FARS data for 1982–2024 to study two natural experiments: three states that lifted bans between 2012 and 2018, and six states that banned time-limited drink discounts between 1984 and 1989. Imputation difference-in-differences estimates, with randomization inference designed for a handful of treated states, find no detectable effect in either direction. The 1980s bans did not lower the share of traffic deaths involving an impaired driver by more than about 2.1 percentage points (5% of baseline), and the repeals did not raise it by more than about 3.0 points. The null holds under synthetic control, synthetic difference-in-differences, alternative codings of the 1980s laws, and controls for driving exposure, other traffic-safety laws and economic conditions.</w:t>
      </w:r>
    </w:p>
    <w:p>
      <w:pPr>
        <w:pStyle w:val="Heading1"/>
      </w:pPr>
      <w:r>
        <w:t xml:space="preserve">Summary</w:t>
      </w:r>
    </w:p>
    <w:p>
      <w:pPr>
        <w:spacing w:after="140" w:line="276"/>
      </w:pPr>
      <w:r>
        <w:t xml:space="preserve">This paper uses raw, crash-level FARS data for 1982–2024 to ask the question twice: once with the three modern repeals (Kansas 2012, Illinois 2015, Oklahoma 2018) and once with the six states that banned time-limited drink discounts in 1984–1989 (Massachusetts, Kansas, Indiana, North Carolina, Vermont and Illinois), compared with the 29 states where a law-by-law check found no statewide change. Estimates come from an imputation difference-in-differences estimator that is robust to staggered timing, and inference comes from size-matched randomization tests built for designs with only a handful of treated states.</w:t>
      </w:r>
    </w:p>
    <w:p>
      <w:pPr>
        <w:spacing w:after="140" w:line="276"/>
      </w:pPr>
      <w:r>
        <w:t xml:space="preserve">Neither experiment shows a detectable effect on alcohol-impaired traffic deaths. Lifting a ban changed the alcohol-impaired share of deaths by −1.4 percentage points (95% randomization interval [−5.0, 3.0], p = 0.69); imposing one changed it by +0.8 points ([−2.1, 3.8], p = 0.63). The 1980s bans did not lower the impaired share by more than about 2.1 points, roughly 5% of its 44% baseline, and the repeals rule out increases larger than about 3.0 points (10% of a 30% baseline). Measured per vehicle-mile with FHWA data, impaired deaths moved +1.5% after repeals (−15.6% to +23.7%) and +3.7% after bans (−8.9% to +15.5%). Pooling all nine law changes, having a ban changes the odds that a traffic death involved an impaired driver by +5% (95% interval −7% to +16%). Adding unemployment and population data from FRED changes nothing: per 100,000 residents, impaired deaths moved −1.1% after repeals (−15.9% to +17.2%) and +6.1% after bans (−8.7% to +18.5%).</w:t>
      </w:r>
    </w:p>
    <w:p>
      <w:pPr>
        <w:spacing w:after="140" w:line="276"/>
      </w:pPr>
      <w:r>
        <w:t xml:space="preserve">A sharper test looks where happy hours actually operate. Comparing the odds that a death involved an impaired driver in weekday 4–10 p.m. crashes with 10 p.m.–6 a.m. crashes, within the same state and year, the estimates point the way the happy-hour mechanism predicts in both experiments (up 15 log points after repeals, down 20 after bans), but neither is statistically significant (p = 0.21 and p = 0.07). In the 1980s the net figure comes from sober crashes: sober deaths shifted from nighttime toward weekday evenings (+19.9 log points, p = 0.001) while impaired deaths did not (+0.2, p = 0.77), a pattern a happy hour law cannot produce. Seat-belt, speed-limit, BAC-law and income controls leave the sober shift in place (Section 7.3). A further test comparing weekday with weekend evenings finds that repeals raised alcohol involvement on weekday evenings (nominal p = 0.008, about 0.05 once the test is calibrated by simulation) and the 1980s bans moved it the other way, which is at most suggestive of timing displacement (Section 7.7).</w:t>
      </w:r>
    </w:p>
    <w:p>
      <w:pPr>
        <w:spacing w:after="140" w:line="276"/>
      </w:pPr>
      <w:r>
        <w:t xml:space="preserve">Illinois was the one state a method singled out: its synthetic control implied a 2.8-point rise after 2015 (placebo rank p = 0.03). Follow-up tests show this is an artifact of the comparison states (Section 7.1). Dropping Mississippi alone cuts the gap to 0.7 points, excluding Southern donors erases it, the same test flags Illinois at a fake 2008 date, and synthetic difference-in-differences puts Illinois at +0.6 points (p = 0.92).</w:t>
      </w:r>
    </w:p>
    <w:p>
      <w:pPr>
        <w:spacing w:after="140" w:line="276"/>
      </w:pPr>
      <w:r>
        <w:t xml:space="preserve">Indiana’s July 2024 change cannot be evaluated properly until 2025 data arrive, but an early look at the six months of 2024 after it took effect finds a change of +2.0 points in the impaired share (95% interval −4.7 to +7.1), far too imprecise to mean anything yet (Section 7.6).</w:t>
      </w:r>
    </w:p>
    <w:p>
      <w:pPr>
        <w:spacing w:after="140" w:line="276"/>
      </w:pPr>
      <w:r>
        <w:t xml:space="preserve">The 1980s coding rests on a law-by-law check of every state’s history (Section 7.9). It found that several states once treated as comparisons had restricted drink specials themselves and that Rhode Island’s law was a partial restriction, so both are left out of the main design. Counting Rhode Island as a ban, or keeping only the four strictest bans, leaves the impaired-share result unchanged. The check also turned up one surprise, a significant drop in the impaired share after the weaker partial restrictions (−3.0 points, p = 0.02); it disappears without Maine and Ohio, both of which changed other drunk-driving laws in the same years.</w:t>
      </w:r>
    </w:p>
    <w:p>
      <w:pPr>
        <w:pStyle w:val="Heading1"/>
      </w:pPr>
      <w:r>
        <w:t xml:space="preserve">1. Data and measures</w:t>
      </w:r>
    </w:p>
    <w:p>
      <w:pPr>
        <w:spacing w:after="140" w:line="276"/>
      </w:pPr>
      <w:r>
        <w:t xml:space="preserve">Crash files and imputed-BAC files come from a GitHub mirror of NHTSA’s FARS archive (github.com/wgetsnaps/ftp.nhtsa.dot.gov--fars) for 1982–2015 and from NHTSA’s national CSV releases for 2016–2024. NHTSA’s multiple-imputation file gives ten imputed blood-alcohol values for every driver. A crash’s deaths count as alcohol-impaired in a given imputation if the highest driver BAC is at least 0.08 g/dL; expected impaired deaths are the crash’s deaths times the share of the ten imputations that meet the threshold. This reproduces NHTSA’s definition of an alcohol-impaired-driving fatality.</w:t>
      </w:r>
    </w:p>
    <w:p>
      <w:pPr>
        <w:spacing w:after="140" w:line="276"/>
      </w:pPr>
      <w:r>
        <w:t xml:space="preserve">National totals match NHTSA’s published figures closely: 21,166 impaired deaths in 1982 against NHTSA’s 21,113; 18,174 in 1985 against 18,125; and 10,212 in 2019 against 10,142, with total deaths matching exactly. As a further check, a conventional two-way fixed-effects (TWFE) specification gives a ban coefficient of 0.0113 (SE 0.0080) on these data, close to the 0.0155 (SE 0.0120) it gives on NHTSA’s published state-level BAC tables for 1994–2024. The two data sources agree, so differences between that specification and the estimates below come from design rather than data.</w:t>
      </w:r>
    </w:p>
    <w:p>
      <w:pPr>
        <w:spacing w:after="140" w:line="276"/>
      </w:pPr>
      <w:r>
        <w:t xml:space="preserve">The state-year outcomes are:</w:t>
      </w:r>
    </w:p>
    <w:p>
      <w:pPr>
        <w:pStyle w:val="ListParagraph"/>
        <w:numPr>
          <w:ilvl w:val="0"/>
          <w:numId w:val="2"/>
        </w:numPr>
        <w:spacing w:after="90" w:line="264"/>
      </w:pPr>
      <w:r>
        <w:rPr>
          <w:b/>
          <w:bCs/>
        </w:rPr>
        <w:t xml:space="preserve">Impaired share: </w:t>
      </w:r>
      <w:r>
        <w:t xml:space="preserve">impaired deaths divided by all deaths.</w:t>
      </w:r>
    </w:p>
    <w:p>
      <w:pPr>
        <w:pStyle w:val="ListParagraph"/>
        <w:numPr>
          <w:ilvl w:val="0"/>
          <w:numId w:val="2"/>
        </w:numPr>
        <w:spacing w:after="90" w:line="264"/>
      </w:pPr>
      <w:r>
        <w:rPr>
          <w:b/>
          <w:bCs/>
        </w:rPr>
        <w:t xml:space="preserve">Log odds: </w:t>
      </w:r>
      <w:r>
        <w:t xml:space="preserve">log of impaired deaths over sober deaths. Sober deaths in the same state and year absorb exposure (miles driven, population, weather, road design), so no outside controls are needed.</w:t>
      </w:r>
    </w:p>
    <w:p>
      <w:pPr>
        <w:pStyle w:val="ListParagraph"/>
        <w:numPr>
          <w:ilvl w:val="0"/>
          <w:numId w:val="2"/>
        </w:numPr>
        <w:spacing w:after="90" w:line="264"/>
      </w:pPr>
      <w:r>
        <w:rPr>
          <w:b/>
          <w:bCs/>
        </w:rPr>
        <w:t xml:space="preserve">Single-vehicle-night share: </w:t>
      </w:r>
      <w:r>
        <w:t xml:space="preserve">deaths in single-vehicle crashes between 8 p.m. and 4 a.m. divided by all deaths, a standard proxy that uses no BAC data.</w:t>
      </w:r>
    </w:p>
    <w:p>
      <w:pPr>
        <w:pStyle w:val="ListParagraph"/>
        <w:numPr>
          <w:ilvl w:val="0"/>
          <w:numId w:val="2"/>
        </w:numPr>
        <w:spacing w:after="90" w:line="264"/>
      </w:pPr>
      <w:r>
        <w:rPr>
          <w:b/>
          <w:bCs/>
        </w:rPr>
        <w:t xml:space="preserve">Evening-versus-night contrast: </w:t>
      </w:r>
      <w:r>
        <w:t xml:space="preserve">log of impaired deaths on weekdays 4–10 p.m. over impaired deaths 10 p.m.–6 a.m., plus the same ratio for sober deaths as a placebo.</w:t>
      </w:r>
    </w:p>
    <w:p>
      <w:pPr>
        <w:pStyle w:val="ListParagraph"/>
        <w:numPr>
          <w:ilvl w:val="0"/>
          <w:numId w:val="2"/>
        </w:numPr>
        <w:spacing w:after="90" w:line="264"/>
      </w:pPr>
      <w:r>
        <w:rPr>
          <w:b/>
          <w:bCs/>
        </w:rPr>
        <w:t xml:space="preserve">Net evening test: </w:t>
      </w:r>
      <w:r>
        <w:t xml:space="preserve">the impaired ratio minus the sober ratio, i.e. the log odds ratio of alcohol involvement in weekday-evening versus nighttime crashes. Anything that shifts all crashes between evening and night cancels out.</w:t>
      </w:r>
    </w:p>
    <w:p>
      <w:pPr>
        <w:pStyle w:val="Heading1"/>
      </w:pPr>
      <w:r>
        <w:t xml:space="preserve">2. Designs and methods</w:t>
      </w:r>
    </w:p>
    <w:p>
      <w:pPr>
        <w:keepNext/>
        <w:spacing w:after="80" w:before="200"/>
      </w:pPr>
      <w:r>
        <w:rPr>
          <w:b/>
          <w:bCs/>
          <w:sz w:val="20"/>
          <w:szCs w:val="20"/>
        </w:rPr>
        <w:t xml:space="preserve">Table 1. Treatment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150"/>
        <w:gridCol w:w="1050"/>
        <w:gridCol w:w="4760"/>
      </w:tblGrid>
      <w:tr>
        <w:trPr>
          <w:tblHeader/>
        </w:trPr>
        <w:tc>
          <w:tcPr>
            <w:tcW w:type="dxa" w:w="900"/>
            <w:shd w:fill="DCE6F1" w:color="auto" w:val="clear"/>
            <w:tcMar>
              <w:top w:type="dxa" w:w="50"/>
              <w:left w:type="dxa" w:w="90"/>
              <w:bottom w:type="dxa" w:w="50"/>
              <w:right w:type="dxa" w:w="90"/>
            </w:tcMar>
          </w:tcPr>
          <w:p>
            <w:pPr>
              <w:jc w:val="left"/>
            </w:pPr>
            <w:r>
              <w:rPr>
                <w:b/>
                <w:bCs/>
                <w:sz w:val="18"/>
                <w:szCs w:val="18"/>
              </w:rPr>
              <w:t xml:space="preserve">State</w:t>
            </w:r>
          </w:p>
        </w:tc>
        <w:tc>
          <w:tcPr>
            <w:tcW w:type="dxa" w:w="1500"/>
            <w:shd w:fill="DCE6F1" w:color="auto" w:val="clear"/>
            <w:tcMar>
              <w:top w:type="dxa" w:w="50"/>
              <w:left w:type="dxa" w:w="90"/>
              <w:bottom w:type="dxa" w:w="50"/>
              <w:right w:type="dxa" w:w="90"/>
            </w:tcMar>
          </w:tcPr>
          <w:p>
            <w:pPr>
              <w:jc w:val="center"/>
            </w:pPr>
            <w:r>
              <w:rPr>
                <w:b/>
                <w:bCs/>
                <w:sz w:val="18"/>
                <w:szCs w:val="18"/>
              </w:rPr>
              <w:t xml:space="preserve">Change</w:t>
            </w:r>
          </w:p>
        </w:tc>
        <w:tc>
          <w:tcPr>
            <w:tcW w:type="dxa" w:w="1150"/>
            <w:shd w:fill="DCE6F1" w:color="auto" w:val="clear"/>
            <w:tcMar>
              <w:top w:type="dxa" w:w="50"/>
              <w:left w:type="dxa" w:w="90"/>
              <w:bottom w:type="dxa" w:w="50"/>
              <w:right w:type="dxa" w:w="90"/>
            </w:tcMar>
          </w:tcPr>
          <w:p>
            <w:pPr>
              <w:jc w:val="center"/>
            </w:pPr>
            <w:r>
              <w:rPr>
                <w:b/>
                <w:bCs/>
                <w:sz w:val="18"/>
                <w:szCs w:val="18"/>
              </w:rPr>
              <w:t xml:space="preserve">Effective</w:t>
            </w:r>
          </w:p>
        </w:tc>
        <w:tc>
          <w:tcPr>
            <w:tcW w:type="dxa" w:w="1050"/>
            <w:shd w:fill="DCE6F1" w:color="auto" w:val="clear"/>
            <w:tcMar>
              <w:top w:type="dxa" w:w="50"/>
              <w:left w:type="dxa" w:w="90"/>
              <w:bottom w:type="dxa" w:w="50"/>
              <w:right w:type="dxa" w:w="90"/>
            </w:tcMar>
          </w:tcPr>
          <w:p>
            <w:pPr>
              <w:jc w:val="center"/>
            </w:pPr>
            <w:r>
              <w:rPr>
                <w:b/>
                <w:bCs/>
                <w:sz w:val="18"/>
                <w:szCs w:val="18"/>
              </w:rPr>
              <w:t xml:space="preserve">First full year</w:t>
            </w:r>
          </w:p>
        </w:tc>
        <w:tc>
          <w:tcPr>
            <w:tcW w:type="dxa" w:w="4760"/>
            <w:shd w:fill="DCE6F1" w:color="auto" w:val="clear"/>
            <w:tcMar>
              <w:top w:type="dxa" w:w="50"/>
              <w:left w:type="dxa" w:w="90"/>
              <w:bottom w:type="dxa" w:w="50"/>
              <w:right w:type="dxa" w:w="90"/>
            </w:tcMar>
          </w:tcPr>
          <w:p>
            <w:pPr>
              <w:jc w:val="center"/>
            </w:pPr>
            <w:r>
              <w:rPr>
                <w:b/>
                <w:bCs/>
                <w:sz w:val="18"/>
                <w:szCs w:val="18"/>
              </w:rPr>
              <w:t xml:space="preserve">Notes</w:t>
            </w:r>
          </w:p>
        </w:tc>
      </w:tr>
      <w:tr>
        <w:tc>
          <w:tcPr>
            <w:tcW w:type="dxa" w:w="900"/>
            <w:tcMar>
              <w:top w:type="dxa" w:w="50"/>
              <w:left w:type="dxa" w:w="90"/>
              <w:bottom w:type="dxa" w:w="50"/>
              <w:right w:type="dxa" w:w="90"/>
            </w:tcMar>
          </w:tcPr>
          <w:p>
            <w:pPr>
              <w:jc w:val="left"/>
            </w:pPr>
            <w:r>
              <w:rPr>
                <w:b w:val="false"/>
                <w:bCs w:val="false"/>
                <w:sz w:val="18"/>
                <w:szCs w:val="18"/>
              </w:rPr>
              <w:t xml:space="preserve">KS</w:t>
            </w:r>
          </w:p>
        </w:tc>
        <w:tc>
          <w:tcPr>
            <w:tcW w:type="dxa" w:w="1500"/>
            <w:tcMar>
              <w:top w:type="dxa" w:w="50"/>
              <w:left w:type="dxa" w:w="90"/>
              <w:bottom w:type="dxa" w:w="50"/>
              <w:right w:type="dxa" w:w="90"/>
            </w:tcMar>
          </w:tcPr>
          <w:p>
            <w:pPr>
              <w:jc w:val="left"/>
            </w:pPr>
            <w:r>
              <w:rPr>
                <w:b w:val="false"/>
                <w:bCs w:val="false"/>
                <w:sz w:val="18"/>
                <w:szCs w:val="18"/>
              </w:rPr>
              <w:t xml:space="preserve">Ban lifted</w:t>
            </w:r>
          </w:p>
        </w:tc>
        <w:tc>
          <w:tcPr>
            <w:tcW w:type="dxa" w:w="1150"/>
            <w:tcMar>
              <w:top w:type="dxa" w:w="50"/>
              <w:left w:type="dxa" w:w="90"/>
              <w:bottom w:type="dxa" w:w="50"/>
              <w:right w:type="dxa" w:w="90"/>
            </w:tcMar>
          </w:tcPr>
          <w:p>
            <w:pPr>
              <w:jc w:val="left"/>
            </w:pPr>
            <w:r>
              <w:rPr>
                <w:b w:val="false"/>
                <w:bCs w:val="false"/>
                <w:sz w:val="18"/>
                <w:szCs w:val="18"/>
              </w:rPr>
              <w:t xml:space="preserve">7/1/2012</w:t>
            </w:r>
          </w:p>
        </w:tc>
        <w:tc>
          <w:tcPr>
            <w:tcW w:type="dxa" w:w="1050"/>
            <w:tcMar>
              <w:top w:type="dxa" w:w="50"/>
              <w:left w:type="dxa" w:w="90"/>
              <w:bottom w:type="dxa" w:w="50"/>
              <w:right w:type="dxa" w:w="90"/>
            </w:tcMar>
          </w:tcPr>
          <w:p>
            <w:pPr>
              <w:jc w:val="left"/>
            </w:pPr>
            <w:r>
              <w:rPr>
                <w:b w:val="false"/>
                <w:bCs w:val="false"/>
                <w:sz w:val="18"/>
                <w:szCs w:val="18"/>
              </w:rPr>
              <w:t xml:space="preserve">2013</w:t>
            </w:r>
          </w:p>
        </w:tc>
        <w:tc>
          <w:tcPr>
            <w:tcW w:type="dxa" w:w="4760"/>
            <w:tcMar>
              <w:top w:type="dxa" w:w="50"/>
              <w:left w:type="dxa" w:w="90"/>
              <w:bottom w:type="dxa" w:w="50"/>
              <w:right w:type="dxa" w:w="90"/>
            </w:tcMar>
          </w:tcPr>
          <w:p>
            <w:pPr>
              <w:jc w:val="left"/>
            </w:pPr>
            <w:r>
              <w:rPr>
                <w:b w:val="false"/>
                <w:bCs w:val="false"/>
                <w:sz w:val="18"/>
                <w:szCs w:val="18"/>
              </w:rPr>
              <w:t xml:space="preserve">Broad liquor bill (Sub. for HB 2689) that also allowed retailer tastings and microdistillery licenses</w:t>
            </w:r>
          </w:p>
        </w:tc>
      </w:tr>
      <w:tr>
        <w:tc>
          <w:tcPr>
            <w:tcW w:type="dxa" w:w="900"/>
            <w:tcMar>
              <w:top w:type="dxa" w:w="50"/>
              <w:left w:type="dxa" w:w="90"/>
              <w:bottom w:type="dxa" w:w="50"/>
              <w:right w:type="dxa" w:w="90"/>
            </w:tcMar>
          </w:tcPr>
          <w:p>
            <w:pPr>
              <w:jc w:val="left"/>
            </w:pPr>
            <w:r>
              <w:rPr>
                <w:b w:val="false"/>
                <w:bCs w:val="false"/>
                <w:sz w:val="18"/>
                <w:szCs w:val="18"/>
              </w:rPr>
              <w:t xml:space="preserve">IL</w:t>
            </w:r>
          </w:p>
        </w:tc>
        <w:tc>
          <w:tcPr>
            <w:tcW w:type="dxa" w:w="1500"/>
            <w:tcMar>
              <w:top w:type="dxa" w:w="50"/>
              <w:left w:type="dxa" w:w="90"/>
              <w:bottom w:type="dxa" w:w="50"/>
              <w:right w:type="dxa" w:w="90"/>
            </w:tcMar>
          </w:tcPr>
          <w:p>
            <w:pPr>
              <w:jc w:val="left"/>
            </w:pPr>
            <w:r>
              <w:rPr>
                <w:b w:val="false"/>
                <w:bCs w:val="false"/>
                <w:sz w:val="18"/>
                <w:szCs w:val="18"/>
              </w:rPr>
              <w:t xml:space="preserve">Ban → restricted</w:t>
            </w:r>
          </w:p>
        </w:tc>
        <w:tc>
          <w:tcPr>
            <w:tcW w:type="dxa" w:w="1150"/>
            <w:tcMar>
              <w:top w:type="dxa" w:w="50"/>
              <w:left w:type="dxa" w:w="90"/>
              <w:bottom w:type="dxa" w:w="50"/>
              <w:right w:type="dxa" w:w="90"/>
            </w:tcMar>
          </w:tcPr>
          <w:p>
            <w:pPr>
              <w:jc w:val="left"/>
            </w:pPr>
            <w:r>
              <w:rPr>
                <w:b w:val="false"/>
                <w:bCs w:val="false"/>
                <w:sz w:val="18"/>
                <w:szCs w:val="18"/>
              </w:rPr>
              <w:t xml:space="preserve">7/15/2015</w:t>
            </w:r>
          </w:p>
        </w:tc>
        <w:tc>
          <w:tcPr>
            <w:tcW w:type="dxa" w:w="1050"/>
            <w:tcMar>
              <w:top w:type="dxa" w:w="50"/>
              <w:left w:type="dxa" w:w="90"/>
              <w:bottom w:type="dxa" w:w="50"/>
              <w:right w:type="dxa" w:w="90"/>
            </w:tcMar>
          </w:tcPr>
          <w:p>
            <w:pPr>
              <w:jc w:val="left"/>
            </w:pPr>
            <w:r>
              <w:rPr>
                <w:b w:val="false"/>
                <w:bCs w:val="false"/>
                <w:sz w:val="18"/>
                <w:szCs w:val="18"/>
              </w:rPr>
              <w:t xml:space="preserve">2016</w:t>
            </w:r>
          </w:p>
        </w:tc>
        <w:tc>
          <w:tcPr>
            <w:tcW w:type="dxa" w:w="4760"/>
            <w:tcMar>
              <w:top w:type="dxa" w:w="50"/>
              <w:left w:type="dxa" w:w="90"/>
              <w:bottom w:type="dxa" w:w="50"/>
              <w:right w:type="dxa" w:w="90"/>
            </w:tcMar>
          </w:tcPr>
          <w:p>
            <w:pPr>
              <w:jc w:val="left"/>
            </w:pPr>
            <w:r>
              <w:rPr>
                <w:b w:val="false"/>
                <w:bCs w:val="false"/>
                <w:sz w:val="18"/>
                <w:szCs w:val="18"/>
              </w:rPr>
              <w:t xml:space="preserve">APIS codes Illinois as restricted, not repealed</w:t>
            </w:r>
          </w:p>
        </w:tc>
      </w:tr>
      <w:tr>
        <w:tc>
          <w:tcPr>
            <w:tcW w:type="dxa" w:w="900"/>
            <w:tcMar>
              <w:top w:type="dxa" w:w="50"/>
              <w:left w:type="dxa" w:w="90"/>
              <w:bottom w:type="dxa" w:w="50"/>
              <w:right w:type="dxa" w:w="90"/>
            </w:tcMar>
          </w:tcPr>
          <w:p>
            <w:pPr>
              <w:jc w:val="left"/>
            </w:pPr>
            <w:r>
              <w:rPr>
                <w:b w:val="false"/>
                <w:bCs w:val="false"/>
                <w:sz w:val="18"/>
                <w:szCs w:val="18"/>
              </w:rPr>
              <w:t xml:space="preserve">OK</w:t>
            </w:r>
          </w:p>
        </w:tc>
        <w:tc>
          <w:tcPr>
            <w:tcW w:type="dxa" w:w="1500"/>
            <w:tcMar>
              <w:top w:type="dxa" w:w="50"/>
              <w:left w:type="dxa" w:w="90"/>
              <w:bottom w:type="dxa" w:w="50"/>
              <w:right w:type="dxa" w:w="90"/>
            </w:tcMar>
          </w:tcPr>
          <w:p>
            <w:pPr>
              <w:jc w:val="left"/>
            </w:pPr>
            <w:r>
              <w:rPr>
                <w:b w:val="false"/>
                <w:bCs w:val="false"/>
                <w:sz w:val="18"/>
                <w:szCs w:val="18"/>
              </w:rPr>
              <w:t xml:space="preserve">Ban lifted</w:t>
            </w:r>
          </w:p>
        </w:tc>
        <w:tc>
          <w:tcPr>
            <w:tcW w:type="dxa" w:w="1150"/>
            <w:tcMar>
              <w:top w:type="dxa" w:w="50"/>
              <w:left w:type="dxa" w:w="90"/>
              <w:bottom w:type="dxa" w:w="50"/>
              <w:right w:type="dxa" w:w="90"/>
            </w:tcMar>
          </w:tcPr>
          <w:p>
            <w:pPr>
              <w:jc w:val="left"/>
            </w:pPr>
            <w:r>
              <w:rPr>
                <w:b w:val="false"/>
                <w:bCs w:val="false"/>
                <w:sz w:val="18"/>
                <w:szCs w:val="18"/>
              </w:rPr>
              <w:t xml:space="preserve">10/1/2018</w:t>
            </w:r>
          </w:p>
        </w:tc>
        <w:tc>
          <w:tcPr>
            <w:tcW w:type="dxa" w:w="1050"/>
            <w:tcMar>
              <w:top w:type="dxa" w:w="50"/>
              <w:left w:type="dxa" w:w="90"/>
              <w:bottom w:type="dxa" w:w="50"/>
              <w:right w:type="dxa" w:w="90"/>
            </w:tcMar>
          </w:tcPr>
          <w:p>
            <w:pPr>
              <w:jc w:val="left"/>
            </w:pPr>
            <w:r>
              <w:rPr>
                <w:b w:val="false"/>
                <w:bCs w:val="false"/>
                <w:sz w:val="18"/>
                <w:szCs w:val="18"/>
              </w:rPr>
              <w:t xml:space="preserve">2019</w:t>
            </w:r>
          </w:p>
        </w:tc>
        <w:tc>
          <w:tcPr>
            <w:tcW w:type="dxa" w:w="4760"/>
            <w:tcMar>
              <w:top w:type="dxa" w:w="50"/>
              <w:left w:type="dxa" w:w="90"/>
              <w:bottom w:type="dxa" w:w="50"/>
              <w:right w:type="dxa" w:w="90"/>
            </w:tcMar>
          </w:tcPr>
          <w:p>
            <w:pPr>
              <w:jc w:val="left"/>
            </w:pPr>
            <w:r>
              <w:rPr>
                <w:b w:val="false"/>
                <w:bCs w:val="false"/>
                <w:sz w:val="18"/>
                <w:szCs w:val="18"/>
              </w:rPr>
              <w:t xml:space="preserve">Same day State Question 792 took effect (full-strength beer and wine in grocery stores), plus later brewery hours</w:t>
            </w:r>
          </w:p>
        </w:tc>
      </w:tr>
      <w:tr>
        <w:tc>
          <w:tcPr>
            <w:tcW w:type="dxa" w:w="900"/>
            <w:tcMar>
              <w:top w:type="dxa" w:w="50"/>
              <w:left w:type="dxa" w:w="90"/>
              <w:bottom w:type="dxa" w:w="50"/>
              <w:right w:type="dxa" w:w="90"/>
            </w:tcMar>
          </w:tcPr>
          <w:p>
            <w:pPr>
              <w:jc w:val="left"/>
            </w:pPr>
            <w:r>
              <w:rPr>
                <w:b w:val="false"/>
                <w:bCs w:val="false"/>
                <w:sz w:val="18"/>
                <w:szCs w:val="18"/>
              </w:rPr>
              <w:t xml:space="preserve">IN</w:t>
            </w:r>
          </w:p>
        </w:tc>
        <w:tc>
          <w:tcPr>
            <w:tcW w:type="dxa" w:w="1500"/>
            <w:tcMar>
              <w:top w:type="dxa" w:w="50"/>
              <w:left w:type="dxa" w:w="90"/>
              <w:bottom w:type="dxa" w:w="50"/>
              <w:right w:type="dxa" w:w="90"/>
            </w:tcMar>
          </w:tcPr>
          <w:p>
            <w:pPr>
              <w:jc w:val="left"/>
            </w:pPr>
            <w:r>
              <w:rPr>
                <w:b w:val="false"/>
                <w:bCs w:val="false"/>
                <w:sz w:val="18"/>
                <w:szCs w:val="18"/>
              </w:rPr>
              <w:t xml:space="preserve">Ban → restricted</w:t>
            </w:r>
          </w:p>
        </w:tc>
        <w:tc>
          <w:tcPr>
            <w:tcW w:type="dxa" w:w="1150"/>
            <w:tcMar>
              <w:top w:type="dxa" w:w="50"/>
              <w:left w:type="dxa" w:w="90"/>
              <w:bottom w:type="dxa" w:w="50"/>
              <w:right w:type="dxa" w:w="90"/>
            </w:tcMar>
          </w:tcPr>
          <w:p>
            <w:pPr>
              <w:jc w:val="left"/>
            </w:pPr>
            <w:r>
              <w:rPr>
                <w:b w:val="false"/>
                <w:bCs w:val="false"/>
                <w:sz w:val="18"/>
                <w:szCs w:val="18"/>
              </w:rPr>
              <w:t xml:space="preserve">7/1/2024</w:t>
            </w:r>
          </w:p>
        </w:tc>
        <w:tc>
          <w:tcPr>
            <w:tcW w:type="dxa" w:w="1050"/>
            <w:tcMar>
              <w:top w:type="dxa" w:w="50"/>
              <w:left w:type="dxa" w:w="90"/>
              <w:bottom w:type="dxa" w:w="50"/>
              <w:right w:type="dxa" w:w="90"/>
            </w:tcMar>
          </w:tcPr>
          <w:p>
            <w:pPr>
              <w:jc w:val="left"/>
            </w:pPr>
            <w:r>
              <w:rPr>
                <w:b w:val="false"/>
                <w:bCs w:val="false"/>
                <w:sz w:val="18"/>
                <w:szCs w:val="18"/>
              </w:rPr>
              <w:t xml:space="preserve">2025</w:t>
            </w:r>
          </w:p>
        </w:tc>
        <w:tc>
          <w:tcPr>
            <w:tcW w:type="dxa" w:w="4760"/>
            <w:tcMar>
              <w:top w:type="dxa" w:w="50"/>
              <w:left w:type="dxa" w:w="90"/>
              <w:bottom w:type="dxa" w:w="50"/>
              <w:right w:type="dxa" w:w="90"/>
            </w:tcMar>
          </w:tcPr>
          <w:p>
            <w:pPr>
              <w:jc w:val="left"/>
            </w:pPr>
            <w:r>
              <w:rPr>
                <w:b w:val="false"/>
                <w:bCs w:val="false"/>
                <w:sz w:val="18"/>
                <w:szCs w:val="18"/>
              </w:rPr>
              <w:t xml:space="preserve">No full post year yet. ≤4 h/day, ≤15 h/week, none 9 p.m.–3 a.m.; $500k liability insurance; to-go cocktails</w:t>
            </w:r>
          </w:p>
        </w:tc>
      </w:tr>
      <w:tr>
        <w:tc>
          <w:tcPr>
            <w:tcW w:type="dxa" w:w="900"/>
            <w:tcMar>
              <w:top w:type="dxa" w:w="50"/>
              <w:left w:type="dxa" w:w="90"/>
              <w:bottom w:type="dxa" w:w="50"/>
              <w:right w:type="dxa" w:w="90"/>
            </w:tcMar>
          </w:tcPr>
          <w:p>
            <w:pPr>
              <w:jc w:val="left"/>
            </w:pPr>
            <w:r>
              <w:rPr>
                <w:b w:val="false"/>
                <w:bCs w:val="false"/>
                <w:sz w:val="18"/>
                <w:szCs w:val="18"/>
              </w:rPr>
              <w:t xml:space="preserve">MA</w:t>
            </w:r>
          </w:p>
        </w:tc>
        <w:tc>
          <w:tcPr>
            <w:tcW w:type="dxa" w:w="1500"/>
            <w:tcMar>
              <w:top w:type="dxa" w:w="50"/>
              <w:left w:type="dxa" w:w="90"/>
              <w:bottom w:type="dxa" w:w="50"/>
              <w:right w:type="dxa" w:w="90"/>
            </w:tcMar>
          </w:tcPr>
          <w:p>
            <w:pPr>
              <w:jc w:val="left"/>
            </w:pPr>
            <w:r>
              <w:rPr>
                <w:b w:val="false"/>
                <w:bCs w:val="false"/>
                <w:sz w:val="18"/>
                <w:szCs w:val="18"/>
              </w:rPr>
              <w:t xml:space="preserve">Ban (204 CMR 4.03)</w:t>
            </w:r>
          </w:p>
        </w:tc>
        <w:tc>
          <w:tcPr>
            <w:tcW w:type="dxa" w:w="1150"/>
            <w:tcMar>
              <w:top w:type="dxa" w:w="50"/>
              <w:left w:type="dxa" w:w="90"/>
              <w:bottom w:type="dxa" w:w="50"/>
              <w:right w:type="dxa" w:w="90"/>
            </w:tcMar>
          </w:tcPr>
          <w:p>
            <w:pPr>
              <w:jc w:val="left"/>
            </w:pPr>
            <w:r>
              <w:rPr>
                <w:b w:val="false"/>
                <w:bCs w:val="false"/>
                <w:sz w:val="18"/>
                <w:szCs w:val="18"/>
              </w:rPr>
              <w:t xml:space="preserve">12/1984</w:t>
            </w:r>
          </w:p>
        </w:tc>
        <w:tc>
          <w:tcPr>
            <w:tcW w:type="dxa" w:w="1050"/>
            <w:tcMar>
              <w:top w:type="dxa" w:w="50"/>
              <w:left w:type="dxa" w:w="90"/>
              <w:bottom w:type="dxa" w:w="50"/>
              <w:right w:type="dxa" w:w="90"/>
            </w:tcMar>
          </w:tcPr>
          <w:p>
            <w:pPr>
              <w:jc w:val="left"/>
            </w:pPr>
            <w:r>
              <w:rPr>
                <w:b w:val="false"/>
                <w:bCs w:val="false"/>
                <w:sz w:val="18"/>
                <w:szCs w:val="18"/>
              </w:rPr>
              <w:t xml:space="preserve">1985</w:t>
            </w:r>
          </w:p>
        </w:tc>
        <w:tc>
          <w:tcPr>
            <w:tcW w:type="dxa" w:w="4760"/>
            <w:tcMar>
              <w:top w:type="dxa" w:w="50"/>
              <w:left w:type="dxa" w:w="90"/>
              <w:bottom w:type="dxa" w:w="50"/>
              <w:right w:type="dxa" w:w="90"/>
            </w:tcMar>
          </w:tcPr>
          <w:p>
            <w:pPr>
              <w:jc w:val="left"/>
            </w:pPr>
            <w:r>
              <w:rPr>
                <w:b w:val="false"/>
                <w:bCs w:val="false"/>
                <w:sz w:val="18"/>
                <w:szCs w:val="18"/>
              </w:rPr>
              <w:t xml:space="preserve">Commission regulation promulgated Nov 21, 1984, in force in December; same week the House passed the drinking-age-21 bill</w:t>
            </w:r>
          </w:p>
        </w:tc>
      </w:tr>
      <w:tr>
        <w:tc>
          <w:tcPr>
            <w:tcW w:type="dxa" w:w="900"/>
            <w:tcMar>
              <w:top w:type="dxa" w:w="50"/>
              <w:left w:type="dxa" w:w="90"/>
              <w:bottom w:type="dxa" w:w="50"/>
              <w:right w:type="dxa" w:w="90"/>
            </w:tcMar>
          </w:tcPr>
          <w:p>
            <w:pPr>
              <w:jc w:val="left"/>
            </w:pPr>
            <w:r>
              <w:rPr>
                <w:b w:val="false"/>
                <w:bCs w:val="false"/>
                <w:sz w:val="18"/>
                <w:szCs w:val="18"/>
              </w:rPr>
              <w:t xml:space="preserve">KS</w:t>
            </w:r>
          </w:p>
        </w:tc>
        <w:tc>
          <w:tcPr>
            <w:tcW w:type="dxa" w:w="1500"/>
            <w:tcMar>
              <w:top w:type="dxa" w:w="50"/>
              <w:left w:type="dxa" w:w="90"/>
              <w:bottom w:type="dxa" w:w="50"/>
              <w:right w:type="dxa" w:w="90"/>
            </w:tcMar>
          </w:tcPr>
          <w:p>
            <w:pPr>
              <w:jc w:val="left"/>
            </w:pPr>
            <w:r>
              <w:rPr>
                <w:b w:val="false"/>
                <w:bCs w:val="false"/>
                <w:sz w:val="18"/>
                <w:szCs w:val="18"/>
              </w:rPr>
              <w:t xml:space="preserve">Ban (L. 1985 ch. 173)</w:t>
            </w:r>
          </w:p>
        </w:tc>
        <w:tc>
          <w:tcPr>
            <w:tcW w:type="dxa" w:w="1150"/>
            <w:tcMar>
              <w:top w:type="dxa" w:w="50"/>
              <w:left w:type="dxa" w:w="90"/>
              <w:bottom w:type="dxa" w:w="50"/>
              <w:right w:type="dxa" w:w="90"/>
            </w:tcMar>
          </w:tcPr>
          <w:p>
            <w:pPr>
              <w:jc w:val="left"/>
            </w:pPr>
            <w:r>
              <w:rPr>
                <w:b w:val="false"/>
                <w:bCs w:val="false"/>
                <w:sz w:val="18"/>
                <w:szCs w:val="18"/>
              </w:rPr>
              <w:t xml:space="preserve">1985</w:t>
            </w:r>
          </w:p>
        </w:tc>
        <w:tc>
          <w:tcPr>
            <w:tcW w:type="dxa" w:w="1050"/>
            <w:tcMar>
              <w:top w:type="dxa" w:w="50"/>
              <w:left w:type="dxa" w:w="90"/>
              <w:bottom w:type="dxa" w:w="50"/>
              <w:right w:type="dxa" w:w="90"/>
            </w:tcMar>
          </w:tcPr>
          <w:p>
            <w:pPr>
              <w:jc w:val="left"/>
            </w:pPr>
            <w:r>
              <w:rPr>
                <w:b w:val="false"/>
                <w:bCs w:val="false"/>
                <w:sz w:val="18"/>
                <w:szCs w:val="18"/>
              </w:rPr>
              <w:t xml:space="preserve">1986</w:t>
            </w:r>
          </w:p>
        </w:tc>
        <w:tc>
          <w:tcPr>
            <w:tcW w:type="dxa" w:w="4760"/>
            <w:tcMar>
              <w:top w:type="dxa" w:w="50"/>
              <w:left w:type="dxa" w:w="90"/>
              <w:bottom w:type="dxa" w:w="50"/>
              <w:right w:type="dxa" w:w="90"/>
            </w:tcMar>
          </w:tcPr>
          <w:p>
            <w:pPr>
              <w:jc w:val="left"/>
            </w:pPr>
            <w:r>
              <w:rPr>
                <w:b w:val="false"/>
                <w:bCs w:val="false"/>
                <w:sz w:val="18"/>
                <w:szCs w:val="18"/>
              </w:rPr>
              <w:t xml:space="preserve">Covered private clubs and 3.2% beer bars, then the only on-premise licensees; same year the age for 3.2% beer rose to 21</w:t>
            </w:r>
          </w:p>
        </w:tc>
      </w:tr>
      <w:tr>
        <w:tc>
          <w:tcPr>
            <w:tcW w:type="dxa" w:w="900"/>
            <w:tcMar>
              <w:top w:type="dxa" w:w="50"/>
              <w:left w:type="dxa" w:w="90"/>
              <w:bottom w:type="dxa" w:w="50"/>
              <w:right w:type="dxa" w:w="90"/>
            </w:tcMar>
          </w:tcPr>
          <w:p>
            <w:pPr>
              <w:jc w:val="left"/>
            </w:pPr>
            <w:r>
              <w:rPr>
                <w:b w:val="false"/>
                <w:bCs w:val="false"/>
                <w:sz w:val="18"/>
                <w:szCs w:val="18"/>
              </w:rPr>
              <w:t xml:space="preserve">IN</w:t>
            </w:r>
          </w:p>
        </w:tc>
        <w:tc>
          <w:tcPr>
            <w:tcW w:type="dxa" w:w="1500"/>
            <w:tcMar>
              <w:top w:type="dxa" w:w="50"/>
              <w:left w:type="dxa" w:w="90"/>
              <w:bottom w:type="dxa" w:w="50"/>
              <w:right w:type="dxa" w:w="90"/>
            </w:tcMar>
          </w:tcPr>
          <w:p>
            <w:pPr>
              <w:jc w:val="left"/>
            </w:pPr>
            <w:r>
              <w:rPr>
                <w:b w:val="false"/>
                <w:bCs w:val="false"/>
                <w:sz w:val="18"/>
                <w:szCs w:val="18"/>
              </w:rPr>
              <w:t xml:space="preserve">Ban (IC 7.1-5-10-20)</w:t>
            </w:r>
          </w:p>
        </w:tc>
        <w:tc>
          <w:tcPr>
            <w:tcW w:type="dxa" w:w="1150"/>
            <w:tcMar>
              <w:top w:type="dxa" w:w="50"/>
              <w:left w:type="dxa" w:w="90"/>
              <w:bottom w:type="dxa" w:w="50"/>
              <w:right w:type="dxa" w:w="90"/>
            </w:tcMar>
          </w:tcPr>
          <w:p>
            <w:pPr>
              <w:jc w:val="left"/>
            </w:pPr>
            <w:r>
              <w:rPr>
                <w:b w:val="false"/>
                <w:bCs w:val="false"/>
                <w:sz w:val="18"/>
                <w:szCs w:val="18"/>
              </w:rPr>
              <w:t xml:space="preserve">1985</w:t>
            </w:r>
          </w:p>
        </w:tc>
        <w:tc>
          <w:tcPr>
            <w:tcW w:type="dxa" w:w="1050"/>
            <w:tcMar>
              <w:top w:type="dxa" w:w="50"/>
              <w:left w:type="dxa" w:w="90"/>
              <w:bottom w:type="dxa" w:w="50"/>
              <w:right w:type="dxa" w:w="90"/>
            </w:tcMar>
          </w:tcPr>
          <w:p>
            <w:pPr>
              <w:jc w:val="left"/>
            </w:pPr>
            <w:r>
              <w:rPr>
                <w:b w:val="false"/>
                <w:bCs w:val="false"/>
                <w:sz w:val="18"/>
                <w:szCs w:val="18"/>
              </w:rPr>
              <w:t xml:space="preserve">1986</w:t>
            </w:r>
          </w:p>
        </w:tc>
        <w:tc>
          <w:tcPr>
            <w:tcW w:type="dxa" w:w="4760"/>
            <w:tcMar>
              <w:top w:type="dxa" w:w="50"/>
              <w:left w:type="dxa" w:w="90"/>
              <w:bottom w:type="dxa" w:w="50"/>
              <w:right w:type="dxa" w:w="90"/>
            </w:tcMar>
          </w:tcPr>
          <w:p>
            <w:pPr>
              <w:jc w:val="left"/>
            </w:pPr>
            <w:r>
              <w:rPr>
                <w:b w:val="false"/>
                <w:bCs w:val="false"/>
                <w:sz w:val="18"/>
                <w:szCs w:val="18"/>
              </w:rPr>
              <w:t xml:space="preserve">Statute (P.L. 86-1985) banning time-of-day price cuts and 2-for-1s; all-day specials allowed</w:t>
            </w:r>
          </w:p>
        </w:tc>
      </w:tr>
      <w:tr>
        <w:tc>
          <w:tcPr>
            <w:tcW w:type="dxa" w:w="900"/>
            <w:tcMar>
              <w:top w:type="dxa" w:w="50"/>
              <w:left w:type="dxa" w:w="90"/>
              <w:bottom w:type="dxa" w:w="50"/>
              <w:right w:type="dxa" w:w="90"/>
            </w:tcMar>
          </w:tcPr>
          <w:p>
            <w:pPr>
              <w:jc w:val="left"/>
            </w:pPr>
            <w:r>
              <w:rPr>
                <w:b w:val="false"/>
                <w:bCs w:val="false"/>
                <w:sz w:val="18"/>
                <w:szCs w:val="18"/>
              </w:rPr>
              <w:t xml:space="preserve">NC</w:t>
            </w:r>
          </w:p>
        </w:tc>
        <w:tc>
          <w:tcPr>
            <w:tcW w:type="dxa" w:w="1500"/>
            <w:tcMar>
              <w:top w:type="dxa" w:w="50"/>
              <w:left w:type="dxa" w:w="90"/>
              <w:bottom w:type="dxa" w:w="50"/>
              <w:right w:type="dxa" w:w="90"/>
            </w:tcMar>
          </w:tcPr>
          <w:p>
            <w:pPr>
              <w:jc w:val="left"/>
            </w:pPr>
            <w:r>
              <w:rPr>
                <w:b w:val="false"/>
                <w:bCs w:val="false"/>
                <w:sz w:val="18"/>
                <w:szCs w:val="18"/>
              </w:rPr>
              <w:t xml:space="preserve">Ban (14B NCAC 15B .0223)</w:t>
            </w:r>
          </w:p>
        </w:tc>
        <w:tc>
          <w:tcPr>
            <w:tcW w:type="dxa" w:w="1150"/>
            <w:tcMar>
              <w:top w:type="dxa" w:w="50"/>
              <w:left w:type="dxa" w:w="90"/>
              <w:bottom w:type="dxa" w:w="50"/>
              <w:right w:type="dxa" w:w="90"/>
            </w:tcMar>
          </w:tcPr>
          <w:p>
            <w:pPr>
              <w:jc w:val="left"/>
            </w:pPr>
            <w:r>
              <w:rPr>
                <w:b w:val="false"/>
                <w:bCs w:val="false"/>
                <w:sz w:val="18"/>
                <w:szCs w:val="18"/>
              </w:rPr>
              <w:t xml:space="preserve">8/1/1985</w:t>
            </w:r>
          </w:p>
        </w:tc>
        <w:tc>
          <w:tcPr>
            <w:tcW w:type="dxa" w:w="1050"/>
            <w:tcMar>
              <w:top w:type="dxa" w:w="50"/>
              <w:left w:type="dxa" w:w="90"/>
              <w:bottom w:type="dxa" w:w="50"/>
              <w:right w:type="dxa" w:w="90"/>
            </w:tcMar>
          </w:tcPr>
          <w:p>
            <w:pPr>
              <w:jc w:val="left"/>
            </w:pPr>
            <w:r>
              <w:rPr>
                <w:b w:val="false"/>
                <w:bCs w:val="false"/>
                <w:sz w:val="18"/>
                <w:szCs w:val="18"/>
              </w:rPr>
              <w:t xml:space="preserve">1986</w:t>
            </w:r>
          </w:p>
        </w:tc>
        <w:tc>
          <w:tcPr>
            <w:tcW w:type="dxa" w:w="4760"/>
            <w:tcMar>
              <w:top w:type="dxa" w:w="50"/>
              <w:left w:type="dxa" w:w="90"/>
              <w:bottom w:type="dxa" w:w="50"/>
              <w:right w:type="dxa" w:w="90"/>
            </w:tcMar>
          </w:tcPr>
          <w:p>
            <w:pPr>
              <w:jc w:val="left"/>
            </w:pPr>
            <w:r>
              <w:rPr>
                <w:b w:val="false"/>
                <w:bCs w:val="false"/>
                <w:sz w:val="18"/>
                <w:szCs w:val="18"/>
              </w:rPr>
              <w:t xml:space="preserve">Commission rule; full-day specials allowed</w:t>
            </w:r>
          </w:p>
        </w:tc>
      </w:tr>
      <w:tr>
        <w:tc>
          <w:tcPr>
            <w:tcW w:type="dxa" w:w="900"/>
            <w:tcMar>
              <w:top w:type="dxa" w:w="50"/>
              <w:left w:type="dxa" w:w="90"/>
              <w:bottom w:type="dxa" w:w="50"/>
              <w:right w:type="dxa" w:w="90"/>
            </w:tcMar>
          </w:tcPr>
          <w:p>
            <w:pPr>
              <w:jc w:val="left"/>
            </w:pPr>
            <w:r>
              <w:rPr>
                <w:b w:val="false"/>
                <w:bCs w:val="false"/>
                <w:sz w:val="18"/>
                <w:szCs w:val="18"/>
              </w:rPr>
              <w:t xml:space="preserve">VT</w:t>
            </w:r>
          </w:p>
        </w:tc>
        <w:tc>
          <w:tcPr>
            <w:tcW w:type="dxa" w:w="1500"/>
            <w:tcMar>
              <w:top w:type="dxa" w:w="50"/>
              <w:left w:type="dxa" w:w="90"/>
              <w:bottom w:type="dxa" w:w="50"/>
              <w:right w:type="dxa" w:w="90"/>
            </w:tcMar>
          </w:tcPr>
          <w:p>
            <w:pPr>
              <w:jc w:val="left"/>
            </w:pPr>
            <w:r>
              <w:rPr>
                <w:b w:val="false"/>
                <w:bCs w:val="false"/>
                <w:sz w:val="18"/>
                <w:szCs w:val="18"/>
              </w:rPr>
              <w:t xml:space="preserve">Ban (Reg. 49)</w:t>
            </w:r>
          </w:p>
        </w:tc>
        <w:tc>
          <w:tcPr>
            <w:tcW w:type="dxa" w:w="1150"/>
            <w:tcMar>
              <w:top w:type="dxa" w:w="50"/>
              <w:left w:type="dxa" w:w="90"/>
              <w:bottom w:type="dxa" w:w="50"/>
              <w:right w:type="dxa" w:w="90"/>
            </w:tcMar>
          </w:tcPr>
          <w:p>
            <w:pPr>
              <w:jc w:val="left"/>
            </w:pPr>
            <w:r>
              <w:rPr>
                <w:b w:val="false"/>
                <w:bCs w:val="false"/>
                <w:sz w:val="18"/>
                <w:szCs w:val="18"/>
              </w:rPr>
              <w:t xml:space="preserve">~1985</w:t>
            </w:r>
          </w:p>
        </w:tc>
        <w:tc>
          <w:tcPr>
            <w:tcW w:type="dxa" w:w="1050"/>
            <w:tcMar>
              <w:top w:type="dxa" w:w="50"/>
              <w:left w:type="dxa" w:w="90"/>
              <w:bottom w:type="dxa" w:w="50"/>
              <w:right w:type="dxa" w:w="90"/>
            </w:tcMar>
          </w:tcPr>
          <w:p>
            <w:pPr>
              <w:jc w:val="left"/>
            </w:pPr>
            <w:r>
              <w:rPr>
                <w:b w:val="false"/>
                <w:bCs w:val="false"/>
                <w:sz w:val="18"/>
                <w:szCs w:val="18"/>
              </w:rPr>
              <w:t xml:space="preserve">1986</w:t>
            </w:r>
          </w:p>
        </w:tc>
        <w:tc>
          <w:tcPr>
            <w:tcW w:type="dxa" w:w="4760"/>
            <w:tcMar>
              <w:top w:type="dxa" w:w="50"/>
              <w:left w:type="dxa" w:w="90"/>
              <w:bottom w:type="dxa" w:w="50"/>
              <w:right w:type="dxa" w:w="90"/>
            </w:tcMar>
          </w:tcPr>
          <w:p>
            <w:pPr>
              <w:jc w:val="left"/>
            </w:pPr>
            <w:r>
              <w:rPr>
                <w:b w:val="false"/>
                <w:bCs w:val="false"/>
                <w:sz w:val="18"/>
                <w:szCs w:val="18"/>
              </w:rPr>
              <w:t xml:space="preserve">Liquor Control Board regulation; adoption year unverified (1985 or 1986)</w:t>
            </w:r>
          </w:p>
        </w:tc>
      </w:tr>
      <w:tr>
        <w:tc>
          <w:tcPr>
            <w:tcW w:type="dxa" w:w="900"/>
            <w:tcMar>
              <w:top w:type="dxa" w:w="50"/>
              <w:left w:type="dxa" w:w="90"/>
              <w:bottom w:type="dxa" w:w="50"/>
              <w:right w:type="dxa" w:w="90"/>
            </w:tcMar>
          </w:tcPr>
          <w:p>
            <w:pPr>
              <w:jc w:val="left"/>
            </w:pPr>
            <w:r>
              <w:rPr>
                <w:b w:val="false"/>
                <w:bCs w:val="false"/>
                <w:sz w:val="18"/>
                <w:szCs w:val="18"/>
              </w:rPr>
              <w:t xml:space="preserve">IL</w:t>
            </w:r>
          </w:p>
        </w:tc>
        <w:tc>
          <w:tcPr>
            <w:tcW w:type="dxa" w:w="1500"/>
            <w:tcMar>
              <w:top w:type="dxa" w:w="50"/>
              <w:left w:type="dxa" w:w="90"/>
              <w:bottom w:type="dxa" w:w="50"/>
              <w:right w:type="dxa" w:w="90"/>
            </w:tcMar>
          </w:tcPr>
          <w:p>
            <w:pPr>
              <w:jc w:val="left"/>
            </w:pPr>
            <w:r>
              <w:rPr>
                <w:b w:val="false"/>
                <w:bCs w:val="false"/>
                <w:sz w:val="18"/>
                <w:szCs w:val="18"/>
              </w:rPr>
              <w:t xml:space="preserve">Ban (235 ILCS 5/6-28)</w:t>
            </w:r>
          </w:p>
        </w:tc>
        <w:tc>
          <w:tcPr>
            <w:tcW w:type="dxa" w:w="1150"/>
            <w:tcMar>
              <w:top w:type="dxa" w:w="50"/>
              <w:left w:type="dxa" w:w="90"/>
              <w:bottom w:type="dxa" w:w="50"/>
              <w:right w:type="dxa" w:w="90"/>
            </w:tcMar>
          </w:tcPr>
          <w:p>
            <w:pPr>
              <w:jc w:val="left"/>
            </w:pPr>
            <w:r>
              <w:rPr>
                <w:b w:val="false"/>
                <w:bCs w:val="false"/>
                <w:sz w:val="18"/>
                <w:szCs w:val="18"/>
              </w:rPr>
              <w:t xml:space="preserve">1989</w:t>
            </w:r>
          </w:p>
        </w:tc>
        <w:tc>
          <w:tcPr>
            <w:tcW w:type="dxa" w:w="1050"/>
            <w:tcMar>
              <w:top w:type="dxa" w:w="50"/>
              <w:left w:type="dxa" w:w="90"/>
              <w:bottom w:type="dxa" w:w="50"/>
              <w:right w:type="dxa" w:w="90"/>
            </w:tcMar>
          </w:tcPr>
          <w:p>
            <w:pPr>
              <w:jc w:val="left"/>
            </w:pPr>
            <w:r>
              <w:rPr>
                <w:b w:val="false"/>
                <w:bCs w:val="false"/>
                <w:sz w:val="18"/>
                <w:szCs w:val="18"/>
              </w:rPr>
              <w:t xml:space="preserve">1990</w:t>
            </w:r>
          </w:p>
        </w:tc>
        <w:tc>
          <w:tcPr>
            <w:tcW w:type="dxa" w:w="4760"/>
            <w:tcMar>
              <w:top w:type="dxa" w:w="50"/>
              <w:left w:type="dxa" w:w="90"/>
              <w:bottom w:type="dxa" w:w="50"/>
              <w:right w:type="dxa" w:w="90"/>
            </w:tcMar>
          </w:tcPr>
          <w:p>
            <w:pPr>
              <w:jc w:val="left"/>
            </w:pPr>
            <w:r>
              <w:rPr>
                <w:b w:val="false"/>
                <w:bCs w:val="false"/>
                <w:sz w:val="18"/>
                <w:szCs w:val="18"/>
              </w:rPr>
              <w:t xml:space="preserve">Ended by the 2015 law after 26 years</w:t>
            </w:r>
          </w:p>
        </w:tc>
      </w:tr>
    </w:tbl>
    <w:p>
      <w:pPr>
        <w:spacing w:after="220" w:before="60"/>
      </w:pPr>
      <w:r>
        <w:rPr>
          <w:i/>
          <w:iCs/>
          <w:color w:val="444444"/>
          <w:sz w:val="17"/>
          <w:szCs w:val="17"/>
        </w:rPr>
        <w:t xml:space="preserve">1980s comparison group: the 29 states in the drinking-age data where the law-by-law check found no statewide happy-hour change in 1980–1995 (data/inputs/coding_1980s_verified.csv). States with partial restrictions (PA, CT, VA, ME, TX, WA, MI, OH and RI) are left out; AK, HI and DC fall outside the drinking-age data. Mid-year transition years are dropped for the treated state. Section 7.9 compares alternative codings.</w:t>
      </w:r>
    </w:p>
    <w:p>
      <w:pPr>
        <w:spacing w:after="140" w:line="276"/>
      </w:pPr>
      <w:r>
        <w:t xml:space="preserve">For each design, state and year fixed effects are fit on untreated state-years only (never-treated states plus treated states before their change). Each treated state’s counterfactual is then imputed, and actual minus imputed outcomes are averaged over the first six full years under the new law (Borusyak, Jaravel &amp; Spiess, 2024). The 1980s models add the minimum legal drinking age, which was rising in the same years, taken from Ruhm’s 1982–88 state panel.</w:t>
      </w:r>
    </w:p>
    <w:p>
      <w:pPr>
        <w:spacing w:after="140" w:line="276"/>
      </w:pPr>
      <w:r>
        <w:t xml:space="preserve">With three to six treated states, cluster-robust standard errors are unreliable (Conley &amp; Taber, 2011). Inference instead uses joint randomization. Each draw gives every treated state’s event dates to a different never-treated state of similar size (0.5 to 2 times its pre-period deaths, or the 8 closest in size when fewer qualify), re-fits the model with all of those placebo states treated at once, and recomputes the pooled estimate. Five thousand draws form the null distribution; p-values are equal-tailed and 95% intervals invert that distribution. Per-state p-values compare each state with single-state placebo fits from its size pool. For the modern repeals, each state also gets a synthetic control with in-space placebos (Abadie, Diamond &amp; Hainmueller, 2010).</w:t>
      </w:r>
    </w:p>
    <w:p>
      <w:pPr>
        <w:spacing w:after="140" w:line="276"/>
      </w:pPr>
      <w:r>
        <w:t xml:space="preserve">An audit script re-derives the key pieces independently (audit_log.md lists every check). Rebuilding sample years from the raw FARS files reproduces the stored aggregates exactly, a saturated two-way fixed-effects regression reproduces the imputation estimates to machine precision, and the synthetic-control and synthetic-DiD weights match an exact constrained optimizer. The audit caught one data quirk, a single 1985 vehicle with two imputed-BAC records, which the build de-duplicates (it moved Texas’s 1985 count by 0.3 deaths). Simulations test the inference by giving the real event dates to randomly chosen never-treated states, where the true effect is zero: at the 5% level the joint test rejected 7.0% of the time in the modern design and 8.3% in the 1980s design (300 simulations each), somewhat above the nominal 5% (Section 7.6). Building the null from separate one-state fits would understate its spread when several states share event dates, as in the 1980s wave, because those states also share the estimation error in the year effects; the joint test avoids this.</w:t>
      </w:r>
    </w:p>
    <w:p>
      <w:pPr>
        <w:pStyle w:val="Heading1"/>
      </w:pPr>
      <w:r>
        <w:t xml:space="preserve">3. Results: the modern repeals</w:t>
      </w:r>
    </w:p>
    <w:p>
      <w:pPr>
        <w:keepNext/>
        <w:spacing w:after="80" w:before="200"/>
      </w:pPr>
      <w:r>
        <w:rPr>
          <w:b/>
          <w:bCs/>
          <w:sz w:val="20"/>
          <w:szCs w:val="20"/>
        </w:rPr>
        <w:t xml:space="preserve">Table 2. Headline estimates (average over the first six full years under the new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230"/>
        <w:gridCol w:w="800"/>
        <w:gridCol w:w="2430"/>
        <w:gridCol w:w="800"/>
      </w:tblGrid>
      <w:tr>
        <w:trPr>
          <w:tblHeader/>
        </w:trPr>
        <w:tc>
          <w:tcPr>
            <w:tcW w:type="dxa" w:w="3100"/>
            <w:shd w:fill="DCE6F1" w:color="auto" w:val="clear"/>
            <w:tcMar>
              <w:top w:type="dxa" w:w="50"/>
              <w:left w:type="dxa" w:w="90"/>
              <w:bottom w:type="dxa" w:w="50"/>
              <w:right w:type="dxa" w:w="90"/>
            </w:tcMar>
          </w:tcPr>
          <w:p>
            <w:pPr>
              <w:jc w:val="left"/>
            </w:pPr>
            <w:r>
              <w:rPr>
                <w:b/>
                <w:bCs/>
                <w:sz w:val="18"/>
                <w:szCs w:val="18"/>
              </w:rPr>
              <w:t xml:space="preserve">Outcome</w:t>
            </w:r>
          </w:p>
        </w:tc>
        <w:tc>
          <w:tcPr>
            <w:tcW w:type="dxa" w:w="2230"/>
            <w:shd w:fill="DCE6F1" w:color="auto" w:val="clear"/>
            <w:tcMar>
              <w:top w:type="dxa" w:w="50"/>
              <w:left w:type="dxa" w:w="90"/>
              <w:bottom w:type="dxa" w:w="50"/>
              <w:right w:type="dxa" w:w="90"/>
            </w:tcMar>
          </w:tcPr>
          <w:p>
            <w:pPr>
              <w:jc w:val="center"/>
            </w:pPr>
            <w:r>
              <w:rPr>
                <w:b/>
                <w:bCs/>
                <w:sz w:val="18"/>
                <w:szCs w:val="18"/>
              </w:rPr>
              <w:t xml:space="preserve">Repeals: estimate [95% CI]</w:t>
            </w:r>
          </w:p>
        </w:tc>
        <w:tc>
          <w:tcPr>
            <w:tcW w:type="dxa" w:w="800"/>
            <w:shd w:fill="DCE6F1" w:color="auto" w:val="clear"/>
            <w:tcMar>
              <w:top w:type="dxa" w:w="50"/>
              <w:left w:type="dxa" w:w="90"/>
              <w:bottom w:type="dxa" w:w="50"/>
              <w:right w:type="dxa" w:w="90"/>
            </w:tcMar>
          </w:tcPr>
          <w:p>
            <w:pPr>
              <w:jc w:val="center"/>
            </w:pPr>
            <w:r>
              <w:rPr>
                <w:b/>
                <w:bCs/>
                <w:sz w:val="18"/>
                <w:szCs w:val="18"/>
              </w:rPr>
              <w:t xml:space="preserve">p</w:t>
            </w:r>
          </w:p>
        </w:tc>
        <w:tc>
          <w:tcPr>
            <w:tcW w:type="dxa" w:w="2430"/>
            <w:shd w:fill="DCE6F1" w:color="auto" w:val="clear"/>
            <w:tcMar>
              <w:top w:type="dxa" w:w="50"/>
              <w:left w:type="dxa" w:w="90"/>
              <w:bottom w:type="dxa" w:w="50"/>
              <w:right w:type="dxa" w:w="90"/>
            </w:tcMar>
          </w:tcPr>
          <w:p>
            <w:pPr>
              <w:jc w:val="center"/>
            </w:pPr>
            <w:r>
              <w:rPr>
                <w:b/>
                <w:bCs/>
                <w:sz w:val="18"/>
                <w:szCs w:val="18"/>
              </w:rPr>
              <w:t xml:space="preserve">1980s bans: estimate [95% CI]</w:t>
            </w:r>
          </w:p>
        </w:tc>
        <w:tc>
          <w:tcPr>
            <w:tcW w:type="dxa" w:w="800"/>
            <w:shd w:fill="DCE6F1" w:color="auto" w:val="clear"/>
            <w:tcMar>
              <w:top w:type="dxa" w:w="50"/>
              <w:left w:type="dxa" w:w="90"/>
              <w:bottom w:type="dxa" w:w="50"/>
              <w:right w:type="dxa" w:w="90"/>
            </w:tcMar>
          </w:tcPr>
          <w:p>
            <w:pPr>
              <w:jc w:val="center"/>
            </w:pPr>
            <w:r>
              <w:rPr>
                <w:b/>
                <w:bCs/>
                <w:sz w:val="18"/>
                <w:szCs w:val="18"/>
              </w:rPr>
              <w:t xml:space="preserve">p</w:t>
            </w:r>
          </w:p>
        </w:tc>
      </w:tr>
      <w:tr>
        <w:tc>
          <w:tcPr>
            <w:tcW w:type="dxa" w:w="3100"/>
            <w:tcMar>
              <w:top w:type="dxa" w:w="50"/>
              <w:left w:type="dxa" w:w="90"/>
              <w:bottom w:type="dxa" w:w="50"/>
              <w:right w:type="dxa" w:w="90"/>
            </w:tcMar>
          </w:tcPr>
          <w:p>
            <w:pPr>
              <w:jc w:val="left"/>
            </w:pPr>
            <w:r>
              <w:rPr>
                <w:b w:val="false"/>
                <w:bCs w:val="false"/>
                <w:sz w:val="18"/>
                <w:szCs w:val="18"/>
              </w:rPr>
              <w:t xml:space="preserve">Alcohol-impaired share of deaths (pp)</w:t>
            </w:r>
          </w:p>
        </w:tc>
        <w:tc>
          <w:tcPr>
            <w:tcW w:type="dxa" w:w="2230"/>
            <w:tcMar>
              <w:top w:type="dxa" w:w="50"/>
              <w:left w:type="dxa" w:w="90"/>
              <w:bottom w:type="dxa" w:w="50"/>
              <w:right w:type="dxa" w:w="90"/>
            </w:tcMar>
          </w:tcPr>
          <w:p>
            <w:pPr>
              <w:jc w:val="center"/>
            </w:pPr>
            <w:r>
              <w:rPr>
                <w:b w:val="false"/>
                <w:bCs w:val="false"/>
                <w:sz w:val="18"/>
                <w:szCs w:val="18"/>
              </w:rPr>
              <w:t xml:space="preserve">−1.39  [−5.02, 3.00]</w:t>
            </w:r>
          </w:p>
        </w:tc>
        <w:tc>
          <w:tcPr>
            <w:tcW w:type="dxa" w:w="800"/>
            <w:tcMar>
              <w:top w:type="dxa" w:w="50"/>
              <w:left w:type="dxa" w:w="90"/>
              <w:bottom w:type="dxa" w:w="50"/>
              <w:right w:type="dxa" w:w="90"/>
            </w:tcMar>
          </w:tcPr>
          <w:p>
            <w:pPr>
              <w:jc w:val="center"/>
            </w:pPr>
            <w:r>
              <w:rPr>
                <w:b w:val="false"/>
                <w:bCs w:val="false"/>
                <w:sz w:val="18"/>
                <w:szCs w:val="18"/>
              </w:rPr>
              <w:t xml:space="preserve">0.69</w:t>
            </w:r>
          </w:p>
        </w:tc>
        <w:tc>
          <w:tcPr>
            <w:tcW w:type="dxa" w:w="2430"/>
            <w:tcMar>
              <w:top w:type="dxa" w:w="50"/>
              <w:left w:type="dxa" w:w="90"/>
              <w:bottom w:type="dxa" w:w="50"/>
              <w:right w:type="dxa" w:w="90"/>
            </w:tcMar>
          </w:tcPr>
          <w:p>
            <w:pPr>
              <w:jc w:val="center"/>
            </w:pPr>
            <w:r>
              <w:rPr>
                <w:b w:val="false"/>
                <w:bCs w:val="false"/>
                <w:sz w:val="18"/>
                <w:szCs w:val="18"/>
              </w:rPr>
              <w:t xml:space="preserve">+0.78  [−2.08, 3.75]</w:t>
            </w:r>
          </w:p>
        </w:tc>
        <w:tc>
          <w:tcPr>
            <w:tcW w:type="dxa" w:w="800"/>
            <w:tcMar>
              <w:top w:type="dxa" w:w="50"/>
              <w:left w:type="dxa" w:w="90"/>
              <w:bottom w:type="dxa" w:w="50"/>
              <w:right w:type="dxa" w:w="90"/>
            </w:tcMar>
          </w:tcPr>
          <w:p>
            <w:pPr>
              <w:jc w:val="center"/>
            </w:pPr>
            <w:r>
              <w:rPr>
                <w:b w:val="false"/>
                <w:bCs w:val="false"/>
                <w:sz w:val="18"/>
                <w:szCs w:val="18"/>
              </w:rPr>
              <w:t xml:space="preserve">0.63</w:t>
            </w:r>
          </w:p>
        </w:tc>
      </w:tr>
      <w:tr>
        <w:tc>
          <w:tcPr>
            <w:tcW w:type="dxa" w:w="3100"/>
            <w:tcMar>
              <w:top w:type="dxa" w:w="50"/>
              <w:left w:type="dxa" w:w="90"/>
              <w:bottom w:type="dxa" w:w="50"/>
              <w:right w:type="dxa" w:w="90"/>
            </w:tcMar>
          </w:tcPr>
          <w:p>
            <w:pPr>
              <w:jc w:val="left"/>
            </w:pPr>
            <w:r>
              <w:rPr>
                <w:b w:val="false"/>
                <w:bCs w:val="false"/>
                <w:sz w:val="18"/>
                <w:szCs w:val="18"/>
              </w:rPr>
              <w:t xml:space="preserve">Log odds, impaired vs. sober deaths (x100)</w:t>
            </w:r>
          </w:p>
        </w:tc>
        <w:tc>
          <w:tcPr>
            <w:tcW w:type="dxa" w:w="2230"/>
            <w:tcMar>
              <w:top w:type="dxa" w:w="50"/>
              <w:left w:type="dxa" w:w="90"/>
              <w:bottom w:type="dxa" w:w="50"/>
              <w:right w:type="dxa" w:w="90"/>
            </w:tcMar>
          </w:tcPr>
          <w:p>
            <w:pPr>
              <w:jc w:val="center"/>
            </w:pPr>
            <w:r>
              <w:rPr>
                <w:b w:val="false"/>
                <w:bCs w:val="false"/>
                <w:sz w:val="18"/>
                <w:szCs w:val="18"/>
              </w:rPr>
              <w:t xml:space="preserve">−7.31  [−24.15, 14.46]</w:t>
            </w:r>
          </w:p>
        </w:tc>
        <w:tc>
          <w:tcPr>
            <w:tcW w:type="dxa" w:w="800"/>
            <w:tcMar>
              <w:top w:type="dxa" w:w="50"/>
              <w:left w:type="dxa" w:w="90"/>
              <w:bottom w:type="dxa" w:w="50"/>
              <w:right w:type="dxa" w:w="90"/>
            </w:tcMar>
          </w:tcPr>
          <w:p>
            <w:pPr>
              <w:jc w:val="center"/>
            </w:pPr>
            <w:r>
              <w:rPr>
                <w:b w:val="false"/>
                <w:bCs w:val="false"/>
                <w:sz w:val="18"/>
                <w:szCs w:val="18"/>
              </w:rPr>
              <w:t xml:space="preserve">0.68</w:t>
            </w:r>
          </w:p>
        </w:tc>
        <w:tc>
          <w:tcPr>
            <w:tcW w:type="dxa" w:w="2430"/>
            <w:tcMar>
              <w:top w:type="dxa" w:w="50"/>
              <w:left w:type="dxa" w:w="90"/>
              <w:bottom w:type="dxa" w:w="50"/>
              <w:right w:type="dxa" w:w="90"/>
            </w:tcMar>
          </w:tcPr>
          <w:p>
            <w:pPr>
              <w:jc w:val="center"/>
            </w:pPr>
            <w:r>
              <w:rPr>
                <w:b w:val="false"/>
                <w:bCs w:val="false"/>
                <w:sz w:val="18"/>
                <w:szCs w:val="18"/>
              </w:rPr>
              <w:t xml:space="preserve">+3.55  [−9.28, 15.99]</w:t>
            </w:r>
          </w:p>
        </w:tc>
        <w:tc>
          <w:tcPr>
            <w:tcW w:type="dxa" w:w="800"/>
            <w:tcMar>
              <w:top w:type="dxa" w:w="50"/>
              <w:left w:type="dxa" w:w="90"/>
              <w:bottom w:type="dxa" w:w="50"/>
              <w:right w:type="dxa" w:w="90"/>
            </w:tcMar>
          </w:tcPr>
          <w:p>
            <w:pPr>
              <w:jc w:val="center"/>
            </w:pPr>
            <w:r>
              <w:rPr>
                <w:b w:val="false"/>
                <w:bCs w:val="false"/>
                <w:sz w:val="18"/>
                <w:szCs w:val="18"/>
              </w:rPr>
              <w:t xml:space="preserve">0.60</w:t>
            </w:r>
          </w:p>
        </w:tc>
      </w:tr>
      <w:tr>
        <w:tc>
          <w:tcPr>
            <w:tcW w:type="dxa" w:w="3100"/>
            <w:tcMar>
              <w:top w:type="dxa" w:w="50"/>
              <w:left w:type="dxa" w:w="90"/>
              <w:bottom w:type="dxa" w:w="50"/>
              <w:right w:type="dxa" w:w="90"/>
            </w:tcMar>
          </w:tcPr>
          <w:p>
            <w:pPr>
              <w:jc w:val="left"/>
            </w:pPr>
            <w:r>
              <w:rPr>
                <w:b w:val="false"/>
                <w:bCs w:val="false"/>
                <w:sz w:val="18"/>
                <w:szCs w:val="18"/>
              </w:rPr>
              <w:t xml:space="preserve">Single-vehicle-night share, BAC-free (pp)</w:t>
            </w:r>
          </w:p>
        </w:tc>
        <w:tc>
          <w:tcPr>
            <w:tcW w:type="dxa" w:w="2230"/>
            <w:tcMar>
              <w:top w:type="dxa" w:w="50"/>
              <w:left w:type="dxa" w:w="90"/>
              <w:bottom w:type="dxa" w:w="50"/>
              <w:right w:type="dxa" w:w="90"/>
            </w:tcMar>
          </w:tcPr>
          <w:p>
            <w:pPr>
              <w:jc w:val="center"/>
            </w:pPr>
            <w:r>
              <w:rPr>
                <w:b w:val="false"/>
                <w:bCs w:val="false"/>
                <w:sz w:val="18"/>
                <w:szCs w:val="18"/>
              </w:rPr>
              <w:t xml:space="preserve">−0.89  [−2.50, 0.75]</w:t>
            </w:r>
          </w:p>
        </w:tc>
        <w:tc>
          <w:tcPr>
            <w:tcW w:type="dxa" w:w="800"/>
            <w:tcMar>
              <w:top w:type="dxa" w:w="50"/>
              <w:left w:type="dxa" w:w="90"/>
              <w:bottom w:type="dxa" w:w="50"/>
              <w:right w:type="dxa" w:w="90"/>
            </w:tcMar>
          </w:tcPr>
          <w:p>
            <w:pPr>
              <w:jc w:val="center"/>
            </w:pPr>
            <w:r>
              <w:rPr>
                <w:b w:val="false"/>
                <w:bCs w:val="false"/>
                <w:sz w:val="18"/>
                <w:szCs w:val="18"/>
              </w:rPr>
              <w:t xml:space="preserve">0.26</w:t>
            </w:r>
          </w:p>
        </w:tc>
        <w:tc>
          <w:tcPr>
            <w:tcW w:type="dxa" w:w="2430"/>
            <w:tcMar>
              <w:top w:type="dxa" w:w="50"/>
              <w:left w:type="dxa" w:w="90"/>
              <w:bottom w:type="dxa" w:w="50"/>
              <w:right w:type="dxa" w:w="90"/>
            </w:tcMar>
          </w:tcPr>
          <w:p>
            <w:pPr>
              <w:jc w:val="center"/>
            </w:pPr>
            <w:r>
              <w:rPr>
                <w:b w:val="false"/>
                <w:bCs w:val="false"/>
                <w:sz w:val="18"/>
                <w:szCs w:val="18"/>
              </w:rPr>
              <w:t xml:space="preserve">−1.06  [−2.90, 0.45]</w:t>
            </w:r>
          </w:p>
        </w:tc>
        <w:tc>
          <w:tcPr>
            <w:tcW w:type="dxa" w:w="800"/>
            <w:tcMar>
              <w:top w:type="dxa" w:w="50"/>
              <w:left w:type="dxa" w:w="90"/>
              <w:bottom w:type="dxa" w:w="50"/>
              <w:right w:type="dxa" w:w="90"/>
            </w:tcMar>
          </w:tcPr>
          <w:p>
            <w:pPr>
              <w:jc w:val="center"/>
            </w:pPr>
            <w:r>
              <w:rPr>
                <w:b w:val="false"/>
                <w:bCs w:val="false"/>
                <w:sz w:val="18"/>
                <w:szCs w:val="18"/>
              </w:rPr>
              <w:t xml:space="preserve">0.17</w:t>
            </w:r>
          </w:p>
        </w:tc>
      </w:tr>
      <w:tr>
        <w:tc>
          <w:tcPr>
            <w:tcW w:type="dxa" w:w="3100"/>
            <w:tcMar>
              <w:top w:type="dxa" w:w="50"/>
              <w:left w:type="dxa" w:w="90"/>
              <w:bottom w:type="dxa" w:w="50"/>
              <w:right w:type="dxa" w:w="90"/>
            </w:tcMar>
          </w:tcPr>
          <w:p>
            <w:pPr>
              <w:jc w:val="left"/>
            </w:pPr>
            <w:r>
              <w:rPr>
                <w:b w:val="false"/>
                <w:bCs w:val="false"/>
                <w:sz w:val="18"/>
                <w:szCs w:val="18"/>
              </w:rPr>
              <w:t xml:space="preserve">Time-of-day DDD, impaired deaths (x100)</w:t>
            </w:r>
          </w:p>
        </w:tc>
        <w:tc>
          <w:tcPr>
            <w:tcW w:type="dxa" w:w="2230"/>
            <w:tcMar>
              <w:top w:type="dxa" w:w="50"/>
              <w:left w:type="dxa" w:w="90"/>
              <w:bottom w:type="dxa" w:w="50"/>
              <w:right w:type="dxa" w:w="90"/>
            </w:tcMar>
          </w:tcPr>
          <w:p>
            <w:pPr>
              <w:jc w:val="center"/>
            </w:pPr>
            <w:r>
              <w:rPr>
                <w:b w:val="false"/>
                <w:bCs w:val="false"/>
                <w:sz w:val="18"/>
                <w:szCs w:val="18"/>
              </w:rPr>
              <w:t xml:space="preserve">+9.39  [−8.05, 26.89]</w:t>
            </w:r>
          </w:p>
        </w:tc>
        <w:tc>
          <w:tcPr>
            <w:tcW w:type="dxa" w:w="800"/>
            <w:tcMar>
              <w:top w:type="dxa" w:w="50"/>
              <w:left w:type="dxa" w:w="90"/>
              <w:bottom w:type="dxa" w:w="50"/>
              <w:right w:type="dxa" w:w="90"/>
            </w:tcMar>
          </w:tcPr>
          <w:p>
            <w:pPr>
              <w:jc w:val="center"/>
            </w:pPr>
            <w:r>
              <w:rPr>
                <w:b w:val="false"/>
                <w:bCs w:val="false"/>
                <w:sz w:val="18"/>
                <w:szCs w:val="18"/>
              </w:rPr>
              <w:t xml:space="preserve">0.35</w:t>
            </w:r>
          </w:p>
        </w:tc>
        <w:tc>
          <w:tcPr>
            <w:tcW w:type="dxa" w:w="2430"/>
            <w:tcMar>
              <w:top w:type="dxa" w:w="50"/>
              <w:left w:type="dxa" w:w="90"/>
              <w:bottom w:type="dxa" w:w="50"/>
              <w:right w:type="dxa" w:w="90"/>
            </w:tcMar>
          </w:tcPr>
          <w:p>
            <w:pPr>
              <w:jc w:val="center"/>
            </w:pPr>
            <w:r>
              <w:rPr>
                <w:b w:val="false"/>
                <w:bCs w:val="false"/>
                <w:sz w:val="18"/>
                <w:szCs w:val="18"/>
              </w:rPr>
              <w:t xml:space="preserve">+0.23  [−12.00, 14.69]</w:t>
            </w:r>
          </w:p>
        </w:tc>
        <w:tc>
          <w:tcPr>
            <w:tcW w:type="dxa" w:w="800"/>
            <w:tcMar>
              <w:top w:type="dxa" w:w="50"/>
              <w:left w:type="dxa" w:w="90"/>
              <w:bottom w:type="dxa" w:w="50"/>
              <w:right w:type="dxa" w:w="90"/>
            </w:tcMar>
          </w:tcPr>
          <w:p>
            <w:pPr>
              <w:jc w:val="center"/>
            </w:pPr>
            <w:r>
              <w:rPr>
                <w:b w:val="false"/>
                <w:bCs w:val="false"/>
                <w:sz w:val="18"/>
                <w:szCs w:val="18"/>
              </w:rPr>
              <w:t xml:space="preserve">0.77</w:t>
            </w:r>
          </w:p>
        </w:tc>
      </w:tr>
      <w:tr>
        <w:tc>
          <w:tcPr>
            <w:tcW w:type="dxa" w:w="3100"/>
            <w:tcMar>
              <w:top w:type="dxa" w:w="50"/>
              <w:left w:type="dxa" w:w="90"/>
              <w:bottom w:type="dxa" w:w="50"/>
              <w:right w:type="dxa" w:w="90"/>
            </w:tcMar>
          </w:tcPr>
          <w:p>
            <w:pPr>
              <w:jc w:val="left"/>
            </w:pPr>
            <w:r>
              <w:rPr>
                <w:b w:val="false"/>
                <w:bCs w:val="false"/>
                <w:sz w:val="18"/>
                <w:szCs w:val="18"/>
              </w:rPr>
              <w:t xml:space="preserve">Time-of-day DDD, sober deaths: placebo (x100)</w:t>
            </w:r>
          </w:p>
        </w:tc>
        <w:tc>
          <w:tcPr>
            <w:tcW w:type="dxa" w:w="2230"/>
            <w:tcMar>
              <w:top w:type="dxa" w:w="50"/>
              <w:left w:type="dxa" w:w="90"/>
              <w:bottom w:type="dxa" w:w="50"/>
              <w:right w:type="dxa" w:w="90"/>
            </w:tcMar>
          </w:tcPr>
          <w:p>
            <w:pPr>
              <w:jc w:val="center"/>
            </w:pPr>
            <w:r>
              <w:rPr>
                <w:b w:val="false"/>
                <w:bCs w:val="false"/>
                <w:sz w:val="18"/>
                <w:szCs w:val="18"/>
              </w:rPr>
              <w:t xml:space="preserve">−5.52  [−15.70, 8.11]</w:t>
            </w:r>
          </w:p>
        </w:tc>
        <w:tc>
          <w:tcPr>
            <w:tcW w:type="dxa" w:w="800"/>
            <w:tcMar>
              <w:top w:type="dxa" w:w="50"/>
              <w:left w:type="dxa" w:w="90"/>
              <w:bottom w:type="dxa" w:w="50"/>
              <w:right w:type="dxa" w:w="90"/>
            </w:tcMar>
          </w:tcPr>
          <w:p>
            <w:pPr>
              <w:jc w:val="center"/>
            </w:pPr>
            <w:r>
              <w:rPr>
                <w:b w:val="false"/>
                <w:bCs w:val="false"/>
                <w:sz w:val="18"/>
                <w:szCs w:val="18"/>
              </w:rPr>
              <w:t xml:space="preserve">0.45</w:t>
            </w:r>
          </w:p>
        </w:tc>
        <w:tc>
          <w:tcPr>
            <w:tcW w:type="dxa" w:w="2430"/>
            <w:tcMar>
              <w:top w:type="dxa" w:w="50"/>
              <w:left w:type="dxa" w:w="90"/>
              <w:bottom w:type="dxa" w:w="50"/>
              <w:right w:type="dxa" w:w="90"/>
            </w:tcMar>
          </w:tcPr>
          <w:p>
            <w:pPr>
              <w:jc w:val="center"/>
            </w:pPr>
            <w:r>
              <w:rPr>
                <w:b w:val="false"/>
                <w:bCs w:val="false"/>
                <w:sz w:val="18"/>
                <w:szCs w:val="18"/>
              </w:rPr>
              <w:t xml:space="preserve">+19.85  [7.93, 34.62]</w:t>
            </w:r>
          </w:p>
        </w:tc>
        <w:tc>
          <w:tcPr>
            <w:tcW w:type="dxa" w:w="800"/>
            <w:tcMar>
              <w:top w:type="dxa" w:w="50"/>
              <w:left w:type="dxa" w:w="90"/>
              <w:bottom w:type="dxa" w:w="50"/>
              <w:right w:type="dxa" w:w="90"/>
            </w:tcMar>
          </w:tcPr>
          <w:p>
            <w:pPr>
              <w:jc w:val="center"/>
            </w:pPr>
            <w:r>
              <w:rPr>
                <w:b w:val="false"/>
                <w:bCs w:val="false"/>
                <w:sz w:val="18"/>
                <w:szCs w:val="18"/>
              </w:rPr>
              <w:t xml:space="preserve">0.001</w:t>
            </w:r>
          </w:p>
        </w:tc>
      </w:tr>
      <w:tr>
        <w:tc>
          <w:tcPr>
            <w:tcW w:type="dxa" w:w="3100"/>
            <w:tcMar>
              <w:top w:type="dxa" w:w="50"/>
              <w:left w:type="dxa" w:w="90"/>
              <w:bottom w:type="dxa" w:w="50"/>
              <w:right w:type="dxa" w:w="90"/>
            </w:tcMar>
          </w:tcPr>
          <w:p>
            <w:pPr>
              <w:jc w:val="left"/>
            </w:pPr>
            <w:r>
              <w:rPr>
                <w:b w:val="false"/>
                <w:bCs w:val="false"/>
                <w:sz w:val="18"/>
                <w:szCs w:val="18"/>
              </w:rPr>
              <w:t xml:space="preserve">Evening-vs-night alcohol odds ratio, net (x100)</w:t>
            </w:r>
          </w:p>
        </w:tc>
        <w:tc>
          <w:tcPr>
            <w:tcW w:type="dxa" w:w="2230"/>
            <w:tcMar>
              <w:top w:type="dxa" w:w="50"/>
              <w:left w:type="dxa" w:w="90"/>
              <w:bottom w:type="dxa" w:w="50"/>
              <w:right w:type="dxa" w:w="90"/>
            </w:tcMar>
          </w:tcPr>
          <w:p>
            <w:pPr>
              <w:jc w:val="center"/>
            </w:pPr>
            <w:r>
              <w:rPr>
                <w:b w:val="false"/>
                <w:bCs w:val="false"/>
                <w:sz w:val="18"/>
                <w:szCs w:val="18"/>
              </w:rPr>
              <w:t xml:space="preserve">+14.89  [−6.40, 34.55]</w:t>
            </w:r>
          </w:p>
        </w:tc>
        <w:tc>
          <w:tcPr>
            <w:tcW w:type="dxa" w:w="800"/>
            <w:tcMar>
              <w:top w:type="dxa" w:w="50"/>
              <w:left w:type="dxa" w:w="90"/>
              <w:bottom w:type="dxa" w:w="50"/>
              <w:right w:type="dxa" w:w="90"/>
            </w:tcMar>
          </w:tcPr>
          <w:p>
            <w:pPr>
              <w:jc w:val="center"/>
            </w:pPr>
            <w:r>
              <w:rPr>
                <w:b w:val="false"/>
                <w:bCs w:val="false"/>
                <w:sz w:val="18"/>
                <w:szCs w:val="18"/>
              </w:rPr>
              <w:t xml:space="preserve">0.21</w:t>
            </w:r>
          </w:p>
        </w:tc>
        <w:tc>
          <w:tcPr>
            <w:tcW w:type="dxa" w:w="2430"/>
            <w:tcMar>
              <w:top w:type="dxa" w:w="50"/>
              <w:left w:type="dxa" w:w="90"/>
              <w:bottom w:type="dxa" w:w="50"/>
              <w:right w:type="dxa" w:w="90"/>
            </w:tcMar>
          </w:tcPr>
          <w:p>
            <w:pPr>
              <w:jc w:val="center"/>
            </w:pPr>
            <w:r>
              <w:rPr>
                <w:b w:val="false"/>
                <w:bCs w:val="false"/>
                <w:sz w:val="18"/>
                <w:szCs w:val="18"/>
              </w:rPr>
              <w:t xml:space="preserve">−19.62  [−36.21, 0.81]</w:t>
            </w:r>
          </w:p>
        </w:tc>
        <w:tc>
          <w:tcPr>
            <w:tcW w:type="dxa" w:w="800"/>
            <w:tcMar>
              <w:top w:type="dxa" w:w="50"/>
              <w:left w:type="dxa" w:w="90"/>
              <w:bottom w:type="dxa" w:w="50"/>
              <w:right w:type="dxa" w:w="90"/>
            </w:tcMar>
          </w:tcPr>
          <w:p>
            <w:pPr>
              <w:jc w:val="center"/>
            </w:pPr>
            <w:r>
              <w:rPr>
                <w:b w:val="false"/>
                <w:bCs w:val="false"/>
                <w:sz w:val="18"/>
                <w:szCs w:val="18"/>
              </w:rPr>
              <w:t xml:space="preserve">0.07</w:t>
            </w:r>
          </w:p>
        </w:tc>
      </w:tr>
    </w:tbl>
    <w:p>
      <w:pPr>
        <w:spacing w:after="220" w:before="60"/>
      </w:pPr>
      <w:r>
        <w:rPr>
          <w:i/>
          <w:iCs/>
          <w:color w:val="444444"/>
          <w:sz w:val="17"/>
          <w:szCs w:val="17"/>
        </w:rPr>
        <w:t xml:space="preserve">Repeal estimates are the effect of lifting a ban (positive values would mean bans were working); 1980s estimates are the effect of imposing one (negative values would mean bans work). Intervals and p-values come from 5,000 joint randomization draws (Section 2).</w:t>
      </w:r>
    </w:p>
    <w:p>
      <w:pPr>
        <w:spacing w:after="140" w:line="276"/>
      </w:pPr>
      <w:r>
        <w:t xml:space="preserve">Across the first six full years after repeal, the impaired share moved by −1.4 points relative to the imputed counterfactual ([−5.0, 3.0], p = 0.69) and the log odds by −7.3 ([−24.2, 14.5]). State by state, Kansas moved −3.8 points, Illinois +0.0 and Oklahoma −0.4; none is unusual against its size-matched placebos (p = 0.35, 0.89 and 1.00). A timing placebo that pretends each repeal happened five years early finds nothing (−0.3 points, p = 0.86), so there is no sign of pre-existing trends. The estimates barely move when 2020–21 or 2024 are dropped, with fatality weights, with state-specific linear trends, or when only the two full repeals are pooled (Table 4).</w:t>
      </w:r>
    </w:p>
    <w:p>
      <w:pPr>
        <w:keepNext/>
        <w:spacing w:before="120"/>
        <w:jc w:val="center"/>
      </w:pPr>
      <w:r>
        <w:drawing>
          <wp:inline distT="0" distB="0" distL="0" distR="0">
            <wp:extent cx="59436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704975"/>
                    </a:xfrm>
                    <a:prstGeom prst="rect">
                      <a:avLst/>
                    </a:prstGeom>
                  </pic:spPr>
                </pic:pic>
              </a:graphicData>
            </a:graphic>
          </wp:inline>
        </w:drawing>
      </w:r>
    </w:p>
    <w:p>
      <w:pPr>
        <w:spacing w:after="220" w:before="60"/>
      </w:pPr>
      <w:r>
        <w:rPr>
          <w:i/>
          <w:iCs/>
          <w:color w:val="444444"/>
          <w:sz w:val="17"/>
          <w:szCs w:val="17"/>
        </w:rPr>
        <w:t xml:space="preserve">Figure 1. Modern repeals: actual minus imputed outcomes by event year. Solid black = mean of the three states; it turns dotted where fewer states contribute (Kansas and Illinois through year 8, Kansas alone after that). Colored lines = individual states; gray = 95% range of the same statistic across joint placebo draws. The headline estimates average event years 0–5. Pre-period values are in-sample residuals, so they show fit rather than test for pre-trends; the timing placebo in Table 4 is the formal test.</w:t>
      </w:r>
    </w:p>
    <w:p>
      <w:pPr>
        <w:keepNext/>
        <w:spacing w:after="80" w:before="200"/>
      </w:pPr>
      <w:r>
        <w:rPr>
          <w:b/>
          <w:bCs/>
          <w:sz w:val="20"/>
          <w:szCs w:val="20"/>
        </w:rPr>
        <w:t xml:space="preserve">Table 3. Synthetic control, alcohol-impaired share (percentage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50"/>
        <w:gridCol w:w="1250"/>
        <w:gridCol w:w="1250"/>
        <w:gridCol w:w="1200"/>
        <w:gridCol w:w="3510"/>
      </w:tblGrid>
      <w:tr>
        <w:trPr>
          <w:tblHeader/>
        </w:trPr>
        <w:tc>
          <w:tcPr>
            <w:tcW w:type="dxa" w:w="700"/>
            <w:shd w:fill="DCE6F1" w:color="auto" w:val="clear"/>
            <w:tcMar>
              <w:top w:type="dxa" w:w="50"/>
              <w:left w:type="dxa" w:w="90"/>
              <w:bottom w:type="dxa" w:w="50"/>
              <w:right w:type="dxa" w:w="90"/>
            </w:tcMar>
          </w:tcPr>
          <w:p>
            <w:pPr>
              <w:jc w:val="left"/>
            </w:pPr>
            <w:r>
              <w:rPr>
                <w:b/>
                <w:bCs/>
                <w:sz w:val="18"/>
                <w:szCs w:val="18"/>
              </w:rPr>
              <w:t xml:space="preserve">State</w:t>
            </w:r>
          </w:p>
        </w:tc>
        <w:tc>
          <w:tcPr>
            <w:tcW w:type="dxa" w:w="1450"/>
            <w:shd w:fill="DCE6F1" w:color="auto" w:val="clear"/>
            <w:tcMar>
              <w:top w:type="dxa" w:w="50"/>
              <w:left w:type="dxa" w:w="90"/>
              <w:bottom w:type="dxa" w:w="50"/>
              <w:right w:type="dxa" w:w="90"/>
            </w:tcMar>
          </w:tcPr>
          <w:p>
            <w:pPr>
              <w:jc w:val="center"/>
            </w:pPr>
            <w:r>
              <w:rPr>
                <w:b/>
                <w:bCs/>
                <w:sz w:val="18"/>
                <w:szCs w:val="18"/>
              </w:rPr>
              <w:t xml:space="preserve">Pre-period fit (RMSPE)</w:t>
            </w:r>
          </w:p>
        </w:tc>
        <w:tc>
          <w:tcPr>
            <w:tcW w:type="dxa" w:w="1250"/>
            <w:shd w:fill="DCE6F1" w:color="auto" w:val="clear"/>
            <w:tcMar>
              <w:top w:type="dxa" w:w="50"/>
              <w:left w:type="dxa" w:w="90"/>
              <w:bottom w:type="dxa" w:w="50"/>
              <w:right w:type="dxa" w:w="90"/>
            </w:tcMar>
          </w:tcPr>
          <w:p>
            <w:pPr>
              <w:jc w:val="center"/>
            </w:pPr>
            <w:r>
              <w:rPr>
                <w:b/>
                <w:bCs/>
                <w:sz w:val="18"/>
                <w:szCs w:val="18"/>
              </w:rPr>
              <w:t xml:space="preserve">Mean post gap</w:t>
            </w:r>
          </w:p>
        </w:tc>
        <w:tc>
          <w:tcPr>
            <w:tcW w:type="dxa" w:w="1250"/>
            <w:shd w:fill="DCE6F1" w:color="auto" w:val="clear"/>
            <w:tcMar>
              <w:top w:type="dxa" w:w="50"/>
              <w:left w:type="dxa" w:w="90"/>
              <w:bottom w:type="dxa" w:w="50"/>
              <w:right w:type="dxa" w:w="90"/>
            </w:tcMar>
          </w:tcPr>
          <w:p>
            <w:pPr>
              <w:jc w:val="center"/>
            </w:pPr>
            <w:r>
              <w:rPr>
                <w:b/>
                <w:bCs/>
                <w:sz w:val="18"/>
                <w:szCs w:val="18"/>
              </w:rPr>
              <w:t xml:space="preserve">First six years</w:t>
            </w:r>
          </w:p>
        </w:tc>
        <w:tc>
          <w:tcPr>
            <w:tcW w:type="dxa" w:w="1200"/>
            <w:shd w:fill="DCE6F1" w:color="auto" w:val="clear"/>
            <w:tcMar>
              <w:top w:type="dxa" w:w="50"/>
              <w:left w:type="dxa" w:w="90"/>
              <w:bottom w:type="dxa" w:w="50"/>
              <w:right w:type="dxa" w:w="90"/>
            </w:tcMar>
          </w:tcPr>
          <w:p>
            <w:pPr>
              <w:jc w:val="center"/>
            </w:pPr>
            <w:r>
              <w:rPr>
                <w:b/>
                <w:bCs/>
                <w:sz w:val="18"/>
                <w:szCs w:val="18"/>
              </w:rPr>
              <w:t xml:space="preserve">Placebo rank p</w:t>
            </w:r>
          </w:p>
        </w:tc>
        <w:tc>
          <w:tcPr>
            <w:tcW w:type="dxa" w:w="3510"/>
            <w:shd w:fill="DCE6F1" w:color="auto" w:val="clear"/>
            <w:tcMar>
              <w:top w:type="dxa" w:w="50"/>
              <w:left w:type="dxa" w:w="90"/>
              <w:bottom w:type="dxa" w:w="50"/>
              <w:right w:type="dxa" w:w="90"/>
            </w:tcMar>
          </w:tcPr>
          <w:p>
            <w:pPr>
              <w:jc w:val="center"/>
            </w:pPr>
            <w:r>
              <w:rPr>
                <w:b/>
                <w:bCs/>
                <w:sz w:val="18"/>
                <w:szCs w:val="18"/>
              </w:rPr>
              <w:t xml:space="preserve">Largest donor weights</w:t>
            </w:r>
          </w:p>
        </w:tc>
      </w:tr>
      <w:tr>
        <w:tc>
          <w:tcPr>
            <w:tcW w:type="dxa" w:w="700"/>
            <w:tcMar>
              <w:top w:type="dxa" w:w="50"/>
              <w:left w:type="dxa" w:w="90"/>
              <w:bottom w:type="dxa" w:w="50"/>
              <w:right w:type="dxa" w:w="90"/>
            </w:tcMar>
          </w:tcPr>
          <w:p>
            <w:pPr>
              <w:jc w:val="left"/>
            </w:pPr>
            <w:r>
              <w:rPr>
                <w:b w:val="false"/>
                <w:bCs w:val="false"/>
                <w:sz w:val="18"/>
                <w:szCs w:val="18"/>
              </w:rPr>
              <w:t xml:space="preserve">KS</w:t>
            </w:r>
          </w:p>
        </w:tc>
        <w:tc>
          <w:tcPr>
            <w:tcW w:type="dxa" w:w="1450"/>
            <w:tcMar>
              <w:top w:type="dxa" w:w="50"/>
              <w:left w:type="dxa" w:w="90"/>
              <w:bottom w:type="dxa" w:w="50"/>
              <w:right w:type="dxa" w:w="90"/>
            </w:tcMar>
          </w:tcPr>
          <w:p>
            <w:pPr>
              <w:jc w:val="center"/>
            </w:pPr>
            <w:r>
              <w:rPr>
                <w:b w:val="false"/>
                <w:bCs w:val="false"/>
                <w:sz w:val="18"/>
                <w:szCs w:val="18"/>
              </w:rPr>
              <w:t xml:space="preserve">3.21</w:t>
            </w:r>
          </w:p>
        </w:tc>
        <w:tc>
          <w:tcPr>
            <w:tcW w:type="dxa" w:w="1250"/>
            <w:tcMar>
              <w:top w:type="dxa" w:w="50"/>
              <w:left w:type="dxa" w:w="90"/>
              <w:bottom w:type="dxa" w:w="50"/>
              <w:right w:type="dxa" w:w="90"/>
            </w:tcMar>
          </w:tcPr>
          <w:p>
            <w:pPr>
              <w:jc w:val="center"/>
            </w:pPr>
            <w:r>
              <w:rPr>
                <w:b w:val="false"/>
                <w:bCs w:val="false"/>
                <w:sz w:val="18"/>
                <w:szCs w:val="18"/>
              </w:rPr>
              <w:t xml:space="preserve">−3.32</w:t>
            </w:r>
          </w:p>
        </w:tc>
        <w:tc>
          <w:tcPr>
            <w:tcW w:type="dxa" w:w="1250"/>
            <w:tcMar>
              <w:top w:type="dxa" w:w="50"/>
              <w:left w:type="dxa" w:w="90"/>
              <w:bottom w:type="dxa" w:w="50"/>
              <w:right w:type="dxa" w:w="90"/>
            </w:tcMar>
          </w:tcPr>
          <w:p>
            <w:pPr>
              <w:jc w:val="center"/>
            </w:pPr>
            <w:r>
              <w:rPr>
                <w:b w:val="false"/>
                <w:bCs w:val="false"/>
                <w:sz w:val="18"/>
                <w:szCs w:val="18"/>
              </w:rPr>
              <w:t xml:space="preserve">−3.96</w:t>
            </w:r>
          </w:p>
        </w:tc>
        <w:tc>
          <w:tcPr>
            <w:tcW w:type="dxa" w:w="1200"/>
            <w:tcMar>
              <w:top w:type="dxa" w:w="50"/>
              <w:left w:type="dxa" w:w="90"/>
              <w:bottom w:type="dxa" w:w="50"/>
              <w:right w:type="dxa" w:w="90"/>
            </w:tcMar>
          </w:tcPr>
          <w:p>
            <w:pPr>
              <w:jc w:val="center"/>
            </w:pPr>
            <w:r>
              <w:rPr>
                <w:b w:val="false"/>
                <w:bCs w:val="false"/>
                <w:sz w:val="18"/>
                <w:szCs w:val="18"/>
              </w:rPr>
              <w:t xml:space="preserve">0.92</w:t>
            </w:r>
          </w:p>
        </w:tc>
        <w:tc>
          <w:tcPr>
            <w:tcW w:type="dxa" w:w="3510"/>
            <w:tcMar>
              <w:top w:type="dxa" w:w="50"/>
              <w:left w:type="dxa" w:w="90"/>
              <w:bottom w:type="dxa" w:w="50"/>
              <w:right w:type="dxa" w:w="90"/>
            </w:tcMar>
          </w:tcPr>
          <w:p>
            <w:pPr>
              <w:jc w:val="left"/>
            </w:pPr>
            <w:r>
              <w:rPr>
                <w:b w:val="false"/>
                <w:bCs w:val="false"/>
                <w:sz w:val="18"/>
                <w:szCs w:val="18"/>
              </w:rPr>
              <w:t xml:space="preserve">IA 0.28, WV 0.27, SC 0.26, AR 0.10, UT 0.08</w:t>
            </w:r>
          </w:p>
        </w:tc>
      </w:tr>
      <w:tr>
        <w:tc>
          <w:tcPr>
            <w:tcW w:type="dxa" w:w="700"/>
            <w:tcMar>
              <w:top w:type="dxa" w:w="50"/>
              <w:left w:type="dxa" w:w="90"/>
              <w:bottom w:type="dxa" w:w="50"/>
              <w:right w:type="dxa" w:w="90"/>
            </w:tcMar>
          </w:tcPr>
          <w:p>
            <w:pPr>
              <w:jc w:val="left"/>
            </w:pPr>
            <w:r>
              <w:rPr>
                <w:b w:val="false"/>
                <w:bCs w:val="false"/>
                <w:sz w:val="18"/>
                <w:szCs w:val="18"/>
              </w:rPr>
              <w:t xml:space="preserve">IL</w:t>
            </w:r>
          </w:p>
        </w:tc>
        <w:tc>
          <w:tcPr>
            <w:tcW w:type="dxa" w:w="1450"/>
            <w:tcMar>
              <w:top w:type="dxa" w:w="50"/>
              <w:left w:type="dxa" w:w="90"/>
              <w:bottom w:type="dxa" w:w="50"/>
              <w:right w:type="dxa" w:w="90"/>
            </w:tcMar>
          </w:tcPr>
          <w:p>
            <w:pPr>
              <w:jc w:val="center"/>
            </w:pPr>
            <w:r>
              <w:rPr>
                <w:b w:val="false"/>
                <w:bCs w:val="false"/>
                <w:sz w:val="18"/>
                <w:szCs w:val="18"/>
              </w:rPr>
              <w:t xml:space="preserve">0.54</w:t>
            </w:r>
          </w:p>
        </w:tc>
        <w:tc>
          <w:tcPr>
            <w:tcW w:type="dxa" w:w="1250"/>
            <w:tcMar>
              <w:top w:type="dxa" w:w="50"/>
              <w:left w:type="dxa" w:w="90"/>
              <w:bottom w:type="dxa" w:w="50"/>
              <w:right w:type="dxa" w:w="90"/>
            </w:tcMar>
          </w:tcPr>
          <w:p>
            <w:pPr>
              <w:jc w:val="center"/>
            </w:pPr>
            <w:r>
              <w:rPr>
                <w:b w:val="false"/>
                <w:bCs w:val="false"/>
                <w:sz w:val="18"/>
                <w:szCs w:val="18"/>
              </w:rPr>
              <w:t xml:space="preserve">+2.78</w:t>
            </w:r>
          </w:p>
        </w:tc>
        <w:tc>
          <w:tcPr>
            <w:tcW w:type="dxa" w:w="1250"/>
            <w:tcMar>
              <w:top w:type="dxa" w:w="50"/>
              <w:left w:type="dxa" w:w="90"/>
              <w:bottom w:type="dxa" w:w="50"/>
              <w:right w:type="dxa" w:w="90"/>
            </w:tcMar>
          </w:tcPr>
          <w:p>
            <w:pPr>
              <w:jc w:val="center"/>
            </w:pPr>
            <w:r>
              <w:rPr>
                <w:b w:val="false"/>
                <w:bCs w:val="false"/>
                <w:sz w:val="18"/>
                <w:szCs w:val="18"/>
              </w:rPr>
              <w:t xml:space="preserve">+3.33</w:t>
            </w:r>
          </w:p>
        </w:tc>
        <w:tc>
          <w:tcPr>
            <w:tcW w:type="dxa" w:w="1200"/>
            <w:tcMar>
              <w:top w:type="dxa" w:w="50"/>
              <w:left w:type="dxa" w:w="90"/>
              <w:bottom w:type="dxa" w:w="50"/>
              <w:right w:type="dxa" w:w="90"/>
            </w:tcMar>
          </w:tcPr>
          <w:p>
            <w:pPr>
              <w:jc w:val="center"/>
            </w:pPr>
            <w:r>
              <w:rPr>
                <w:b w:val="false"/>
                <w:bCs w:val="false"/>
                <w:sz w:val="18"/>
                <w:szCs w:val="18"/>
              </w:rPr>
              <w:t xml:space="preserve">0.03</w:t>
            </w:r>
          </w:p>
        </w:tc>
        <w:tc>
          <w:tcPr>
            <w:tcW w:type="dxa" w:w="3510"/>
            <w:tcMar>
              <w:top w:type="dxa" w:w="50"/>
              <w:left w:type="dxa" w:w="90"/>
              <w:bottom w:type="dxa" w:w="50"/>
              <w:right w:type="dxa" w:w="90"/>
            </w:tcMar>
          </w:tcPr>
          <w:p>
            <w:pPr>
              <w:jc w:val="left"/>
            </w:pPr>
            <w:r>
              <w:rPr>
                <w:b w:val="false"/>
                <w:bCs w:val="false"/>
                <w:sz w:val="18"/>
                <w:szCs w:val="18"/>
              </w:rPr>
              <w:t xml:space="preserve">MS 0.23, MA 0.15, LA 0.14, WA 0.12, SC 0.08, OH 0.07, NV 0.07, TN 0.06, PA 0.06</w:t>
            </w:r>
          </w:p>
        </w:tc>
      </w:tr>
      <w:tr>
        <w:tc>
          <w:tcPr>
            <w:tcW w:type="dxa" w:w="700"/>
            <w:tcMar>
              <w:top w:type="dxa" w:w="50"/>
              <w:left w:type="dxa" w:w="90"/>
              <w:bottom w:type="dxa" w:w="50"/>
              <w:right w:type="dxa" w:w="90"/>
            </w:tcMar>
          </w:tcPr>
          <w:p>
            <w:pPr>
              <w:jc w:val="left"/>
            </w:pPr>
            <w:r>
              <w:rPr>
                <w:b w:val="false"/>
                <w:bCs w:val="false"/>
                <w:sz w:val="18"/>
                <w:szCs w:val="18"/>
              </w:rPr>
              <w:t xml:space="preserve">OK</w:t>
            </w:r>
          </w:p>
        </w:tc>
        <w:tc>
          <w:tcPr>
            <w:tcW w:type="dxa" w:w="1450"/>
            <w:tcMar>
              <w:top w:type="dxa" w:w="50"/>
              <w:left w:type="dxa" w:w="90"/>
              <w:bottom w:type="dxa" w:w="50"/>
              <w:right w:type="dxa" w:w="90"/>
            </w:tcMar>
          </w:tcPr>
          <w:p>
            <w:pPr>
              <w:jc w:val="center"/>
            </w:pPr>
            <w:r>
              <w:rPr>
                <w:b w:val="false"/>
                <w:bCs w:val="false"/>
                <w:sz w:val="18"/>
                <w:szCs w:val="18"/>
              </w:rPr>
              <w:t xml:space="preserve">2.12</w:t>
            </w:r>
          </w:p>
        </w:tc>
        <w:tc>
          <w:tcPr>
            <w:tcW w:type="dxa" w:w="1250"/>
            <w:tcMar>
              <w:top w:type="dxa" w:w="50"/>
              <w:left w:type="dxa" w:w="90"/>
              <w:bottom w:type="dxa" w:w="50"/>
              <w:right w:type="dxa" w:w="90"/>
            </w:tcMar>
          </w:tcPr>
          <w:p>
            <w:pPr>
              <w:jc w:val="center"/>
            </w:pPr>
            <w:r>
              <w:rPr>
                <w:b w:val="false"/>
                <w:bCs w:val="false"/>
                <w:sz w:val="18"/>
                <w:szCs w:val="18"/>
              </w:rPr>
              <w:t xml:space="preserve">−1.25</w:t>
            </w:r>
          </w:p>
        </w:tc>
        <w:tc>
          <w:tcPr>
            <w:tcW w:type="dxa" w:w="1250"/>
            <w:tcMar>
              <w:top w:type="dxa" w:w="50"/>
              <w:left w:type="dxa" w:w="90"/>
              <w:bottom w:type="dxa" w:w="50"/>
              <w:right w:type="dxa" w:w="90"/>
            </w:tcMar>
          </w:tcPr>
          <w:p>
            <w:pPr>
              <w:jc w:val="center"/>
            </w:pPr>
            <w:r>
              <w:rPr>
                <w:b w:val="false"/>
                <w:bCs w:val="false"/>
                <w:sz w:val="18"/>
                <w:szCs w:val="18"/>
              </w:rPr>
              <w:t xml:space="preserve">−1.25</w:t>
            </w:r>
          </w:p>
        </w:tc>
        <w:tc>
          <w:tcPr>
            <w:tcW w:type="dxa" w:w="1200"/>
            <w:tcMar>
              <w:top w:type="dxa" w:w="50"/>
              <w:left w:type="dxa" w:w="90"/>
              <w:bottom w:type="dxa" w:w="50"/>
              <w:right w:type="dxa" w:w="90"/>
            </w:tcMar>
          </w:tcPr>
          <w:p>
            <w:pPr>
              <w:jc w:val="center"/>
            </w:pPr>
            <w:r>
              <w:rPr>
                <w:b w:val="false"/>
                <w:bCs w:val="false"/>
                <w:sz w:val="18"/>
                <w:szCs w:val="18"/>
              </w:rPr>
              <w:t xml:space="preserve">0.51</w:t>
            </w:r>
          </w:p>
        </w:tc>
        <w:tc>
          <w:tcPr>
            <w:tcW w:type="dxa" w:w="3510"/>
            <w:tcMar>
              <w:top w:type="dxa" w:w="50"/>
              <w:left w:type="dxa" w:w="90"/>
              <w:bottom w:type="dxa" w:w="50"/>
              <w:right w:type="dxa" w:w="90"/>
            </w:tcMar>
          </w:tcPr>
          <w:p>
            <w:pPr>
              <w:jc w:val="left"/>
            </w:pPr>
            <w:r>
              <w:rPr>
                <w:b w:val="false"/>
                <w:bCs w:val="false"/>
                <w:sz w:val="18"/>
                <w:szCs w:val="18"/>
              </w:rPr>
              <w:t xml:space="preserve">ID 0.33, WA 0.14, MN 0.12, NE 0.12, FL 0.11, UT 0.10</w:t>
            </w:r>
          </w:p>
        </w:tc>
      </w:tr>
    </w:tbl>
    <w:p>
      <w:pPr>
        <w:spacing w:after="220" w:before="60"/>
      </w:pPr>
      <w:r>
        <w:rPr>
          <w:i/>
          <w:iCs/>
          <w:color w:val="444444"/>
          <w:sz w:val="17"/>
          <w:szCs w:val="17"/>
        </w:rPr>
        <w:t xml:space="preserve">RMSPE = root mean squared prediction error before the repeal. The placebo rank p is the share of the 37 states (36 donors plus the treated state) with a post/pre RMSPE ratio at least as large as the treated state’s.</w:t>
      </w:r>
    </w:p>
    <w:p>
      <w:pPr>
        <w:spacing w:after="140" w:line="276"/>
      </w:pPr>
      <w:r>
        <w:t xml:space="preserve">Synthetic control tells a similar story for Kansas and Oklahoma: post-repeal gaps of −3.3 and −1.3 points, unremarkable against placebos (p = 0.92 and 0.51), although Kansas is poorly fit before 2012. Illinois is the exception. Synthetic Illinois tracked the real state within 0.5 points from 1994 to 2014, then ran about 2.8 points below it after 2015, the most extreme ratio of the 37 states (p = 0.03).</w:t>
      </w:r>
    </w:p>
    <w:p>
      <w:pPr>
        <w:spacing w:after="140" w:line="276"/>
      </w:pPr>
      <w:r>
        <w:t xml:space="preserve">Three things argue against reading this as a repeal effect. Illinois’s impaired share fell by about 1.7 points between 2012–14 and 2016–19, the same as the national average, so the gap reflects a post-2015 decline in the particular donor states rather than a rise in Illinois. Illinois moved only to restricted happy hours, while Kansas and Oklahoma, which repealed outright, show negative gaps. And with three states tested, the chance that one reaches p ≤ 0.03 by luck is roughly 9%. Section 7.1 tests this directly.</w:t>
      </w:r>
    </w:p>
    <w:p>
      <w:pPr>
        <w:keepNext/>
        <w:spacing w:before="120"/>
        <w:jc w:val="center"/>
      </w:pPr>
      <w:r>
        <w:drawing>
          <wp:inline distT="0" distB="0" distL="0" distR="0">
            <wp:extent cx="59436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638300"/>
                    </a:xfrm>
                    <a:prstGeom prst="rect">
                      <a:avLst/>
                    </a:prstGeom>
                  </pic:spPr>
                </pic:pic>
              </a:graphicData>
            </a:graphic>
          </wp:inline>
        </w:drawing>
      </w:r>
    </w:p>
    <w:p>
      <w:pPr>
        <w:spacing w:after="220" w:before="60"/>
      </w:pPr>
      <w:r>
        <w:rPr>
          <w:i/>
          <w:iCs/>
          <w:color w:val="444444"/>
          <w:sz w:val="17"/>
          <w:szCs w:val="17"/>
        </w:rPr>
        <w:t xml:space="preserve">Figure 2. Synthetic control gaps (actual minus synthetic) for each repeal state, with donor states run as placebo treated units (gray; placebos with pre-period fit more than five times worse than the treated state’s are omitted).</w:t>
      </w:r>
    </w:p>
    <w:p>
      <w:pPr>
        <w:pStyle w:val="Heading1"/>
      </w:pPr>
      <w:r>
        <w:t xml:space="preserve">4. Results: the 1980s bans</w:t>
      </w:r>
    </w:p>
    <w:p>
      <w:pPr>
        <w:spacing w:after="140" w:line="276"/>
      </w:pPr>
      <w:r>
        <w:t xml:space="preserve">The 1980s bans give a more precise answer. After the six bans took effect, the impaired share moved by +0.8 points ([−2.1, 3.8], p = 0.63) and the log odds by +3.5 ([−9.3, 16.0]), controlling for the rising drinking age. State by state the estimates range from −2.4 to +4.5 points, and none is unusual against its size-matched placebos (smallest p = 0.40). The reported minimum detectable effect at 80% power is 4.2 points (9% of baseline), against 5.8 points (20%) for the modern repeals; simulations in Section 7.6 suggest the true 80%-power threshold in the 1980s design is somewhat larger.</w:t>
      </w:r>
    </w:p>
    <w:p>
      <w:pPr>
        <w:spacing w:after="140" w:line="276"/>
      </w:pPr>
      <w:r>
        <w:t xml:space="preserve">The single-vehicle-night share, a proxy that uses no BAC data, fell by 1.1 points ([−2.9, 0.4], p = 0.17). The evening-versus-night tests separate impaired from sober crashes. Impaired deaths did not shift between weekday evenings and nights (+0.2 log points, p = 0.77), but sober deaths did: in ban states they moved from nighttime toward weekday evenings (+19.9 log points, p = 0.001). A happy hour law should not move sober crashes. That shift is what produces the net evening test of −19.6 log points ([−36.2, 0.8], p = 0.07), which points the way a working ban would only because the sober side moved. Section 7.3 shows that seat-belt, speed-limit, BAC-law and income controls do not remove the sober shift, and Section 7.7 finds the same timing shift in all deaths, which use no BAC data.</w:t>
      </w:r>
    </w:p>
    <w:p>
      <w:pPr>
        <w:keepNext/>
        <w:spacing w:before="120"/>
        <w:jc w:val="center"/>
      </w:pPr>
      <w:r>
        <w:drawing>
          <wp:inline distT="0" distB="0" distL="0" distR="0">
            <wp:extent cx="59436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704975"/>
                    </a:xfrm>
                    <a:prstGeom prst="rect">
                      <a:avLst/>
                    </a:prstGeom>
                  </pic:spPr>
                </pic:pic>
              </a:graphicData>
            </a:graphic>
          </wp:inline>
        </w:drawing>
      </w:r>
    </w:p>
    <w:p>
      <w:pPr>
        <w:spacing w:after="220" w:before="60"/>
      </w:pPr>
      <w:r>
        <w:rPr>
          <w:i/>
          <w:iCs/>
          <w:color w:val="444444"/>
          <w:sz w:val="17"/>
          <w:szCs w:val="17"/>
        </w:rPr>
        <w:t xml:space="preserve">Figure 3. 1980s bans: actual minus imputed outcomes by event year. Solid black = mean of the six states, dotted where fewer states contribute; gray lines = individual states; shaded = 95% placebo range.</w:t>
      </w:r>
    </w:p>
    <w:p>
      <w:pPr>
        <w:pStyle w:val="Heading1"/>
      </w:pPr>
      <w:r>
        <w:t xml:space="preserve">5. What the evidence rules out</w:t>
      </w:r>
    </w:p>
    <w:p>
      <w:pPr>
        <w:spacing w:after="140" w:line="276"/>
      </w:pPr>
      <w:r>
        <w:t xml:space="preserve">Figure 4 summarizes every headline estimate with its randomization interval. Read as equivalence bounds, the 1980s evidence rules out ban effects larger than about 5% of the impaired share and 9% of the odds that a death involved an impaired driver. The modern repeals are less precise but rule out increases larger than about 10% of the share and 16% of the odds. Effects beyond those bounds are not supported by the data; smaller effects cannot be excluded.</w:t>
      </w:r>
    </w:p>
    <w:p>
      <w:pPr>
        <w:keepNext/>
        <w:spacing w:before="120"/>
        <w:jc w:val="center"/>
      </w:pPr>
      <w:r>
        <w:drawing>
          <wp:inline distT="0" distB="0" distL="0" distR="0">
            <wp:extent cx="59436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819275"/>
                    </a:xfrm>
                    <a:prstGeom prst="rect">
                      <a:avLst/>
                    </a:prstGeom>
                  </pic:spPr>
                </pic:pic>
              </a:graphicData>
            </a:graphic>
          </wp:inline>
        </w:drawing>
      </w:r>
    </w:p>
    <w:p>
      <w:pPr>
        <w:spacing w:after="220" w:before="60"/>
      </w:pPr>
      <w:r>
        <w:rPr>
          <w:i/>
          <w:iCs/>
          <w:color w:val="444444"/>
          <w:sz w:val="17"/>
          <w:szCs w:val="17"/>
        </w:rPr>
        <w:t xml:space="preserve">Figure 4. All headline estimates with 95% randomization-inference intervals.</w:t>
      </w:r>
    </w:p>
    <w:p>
      <w:pPr>
        <w:pStyle w:val="Heading1"/>
      </w:pPr>
      <w:r>
        <w:t xml:space="preserve">6. Robustness</w:t>
      </w:r>
    </w:p>
    <w:p>
      <w:pPr>
        <w:keepNext/>
        <w:spacing w:after="80" w:before="200"/>
      </w:pPr>
      <w:r>
        <w:rPr>
          <w:b/>
          <w:bCs/>
          <w:sz w:val="20"/>
          <w:szCs w:val="20"/>
        </w:rPr>
        <w:t xml:space="preserve">Table 4. Robustness, modern repeals: estimate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100"/>
        <w:gridCol w:w="2100"/>
        <w:gridCol w:w="2100"/>
      </w:tblGrid>
      <w:tr>
        <w:trPr>
          <w:tblHeader/>
        </w:trPr>
        <w:tc>
          <w:tcPr>
            <w:tcW w:type="dxa" w:w="3060"/>
            <w:shd w:fill="DCE6F1" w:color="auto" w:val="clear"/>
            <w:tcMar>
              <w:top w:type="dxa" w:w="50"/>
              <w:left w:type="dxa" w:w="90"/>
              <w:bottom w:type="dxa" w:w="50"/>
              <w:right w:type="dxa" w:w="90"/>
            </w:tcMar>
          </w:tcPr>
          <w:p>
            <w:pPr>
              <w:jc w:val="left"/>
            </w:pPr>
            <w:r>
              <w:rPr>
                <w:b/>
                <w:bCs/>
                <w:sz w:val="18"/>
                <w:szCs w:val="18"/>
              </w:rPr>
              <w:t xml:space="preserve">Specification</w:t>
            </w:r>
          </w:p>
        </w:tc>
        <w:tc>
          <w:tcPr>
            <w:tcW w:type="dxa" w:w="2100"/>
            <w:shd w:fill="DCE6F1" w:color="auto" w:val="clear"/>
            <w:tcMar>
              <w:top w:type="dxa" w:w="50"/>
              <w:left w:type="dxa" w:w="90"/>
              <w:bottom w:type="dxa" w:w="50"/>
              <w:right w:type="dxa" w:w="90"/>
            </w:tcMar>
          </w:tcPr>
          <w:p>
            <w:pPr>
              <w:jc w:val="center"/>
            </w:pPr>
            <w:r>
              <w:rPr>
                <w:b/>
                <w:bCs/>
                <w:sz w:val="18"/>
                <w:szCs w:val="18"/>
              </w:rPr>
              <w:t xml:space="preserve">Impaired share (pp)</w:t>
            </w:r>
          </w:p>
        </w:tc>
        <w:tc>
          <w:tcPr>
            <w:tcW w:type="dxa" w:w="2100"/>
            <w:shd w:fill="DCE6F1" w:color="auto" w:val="clear"/>
            <w:tcMar>
              <w:top w:type="dxa" w:w="50"/>
              <w:left w:type="dxa" w:w="90"/>
              <w:bottom w:type="dxa" w:w="50"/>
              <w:right w:type="dxa" w:w="90"/>
            </w:tcMar>
          </w:tcPr>
          <w:p>
            <w:pPr>
              <w:jc w:val="center"/>
            </w:pPr>
            <w:r>
              <w:rPr>
                <w:b/>
                <w:bCs/>
                <w:sz w:val="18"/>
                <w:szCs w:val="18"/>
              </w:rPr>
              <w:t xml:space="preserve">Log odds (x100)</w:t>
            </w:r>
          </w:p>
        </w:tc>
        <w:tc>
          <w:tcPr>
            <w:tcW w:type="dxa" w:w="2100"/>
            <w:shd w:fill="DCE6F1" w:color="auto" w:val="clear"/>
            <w:tcMar>
              <w:top w:type="dxa" w:w="50"/>
              <w:left w:type="dxa" w:w="90"/>
              <w:bottom w:type="dxa" w:w="50"/>
              <w:right w:type="dxa" w:w="90"/>
            </w:tcMar>
          </w:tcPr>
          <w:p>
            <w:pPr>
              <w:jc w:val="center"/>
            </w:pPr>
            <w:r>
              <w:rPr>
                <w:b/>
                <w:bCs/>
                <w:sz w:val="18"/>
                <w:szCs w:val="18"/>
              </w:rPr>
              <w:t xml:space="preserve">Net evening test (x100)</w:t>
            </w:r>
          </w:p>
        </w:tc>
      </w:tr>
      <w:tr>
        <w:tc>
          <w:tcPr>
            <w:tcW w:type="dxa" w:w="3060"/>
            <w:tcMar>
              <w:top w:type="dxa" w:w="50"/>
              <w:left w:type="dxa" w:w="90"/>
              <w:bottom w:type="dxa" w:w="50"/>
              <w:right w:type="dxa" w:w="90"/>
            </w:tcMar>
          </w:tcPr>
          <w:p>
            <w:pPr>
              <w:jc w:val="left"/>
            </w:pPr>
            <w:r>
              <w:rPr>
                <w:b w:val="false"/>
                <w:bCs w:val="false"/>
                <w:sz w:val="18"/>
                <w:szCs w:val="18"/>
              </w:rPr>
              <w:t xml:space="preserve">Main</w:t>
            </w:r>
          </w:p>
        </w:tc>
        <w:tc>
          <w:tcPr>
            <w:tcW w:type="dxa" w:w="2100"/>
            <w:tcMar>
              <w:top w:type="dxa" w:w="50"/>
              <w:left w:type="dxa" w:w="90"/>
              <w:bottom w:type="dxa" w:w="50"/>
              <w:right w:type="dxa" w:w="90"/>
            </w:tcMar>
          </w:tcPr>
          <w:p>
            <w:pPr>
              <w:jc w:val="center"/>
            </w:pPr>
            <w:r>
              <w:rPr>
                <w:b w:val="false"/>
                <w:bCs w:val="false"/>
                <w:sz w:val="18"/>
                <w:szCs w:val="18"/>
              </w:rPr>
              <w:t xml:space="preserve">−1.39 (0.69)</w:t>
            </w:r>
          </w:p>
        </w:tc>
        <w:tc>
          <w:tcPr>
            <w:tcW w:type="dxa" w:w="2100"/>
            <w:tcMar>
              <w:top w:type="dxa" w:w="50"/>
              <w:left w:type="dxa" w:w="90"/>
              <w:bottom w:type="dxa" w:w="50"/>
              <w:right w:type="dxa" w:w="90"/>
            </w:tcMar>
          </w:tcPr>
          <w:p>
            <w:pPr>
              <w:jc w:val="center"/>
            </w:pPr>
            <w:r>
              <w:rPr>
                <w:b w:val="false"/>
                <w:bCs w:val="false"/>
                <w:sz w:val="18"/>
                <w:szCs w:val="18"/>
              </w:rPr>
              <w:t xml:space="preserve">−7.31 (0.68)</w:t>
            </w:r>
          </w:p>
        </w:tc>
        <w:tc>
          <w:tcPr>
            <w:tcW w:type="dxa" w:w="2100"/>
            <w:tcMar>
              <w:top w:type="dxa" w:w="50"/>
              <w:left w:type="dxa" w:w="90"/>
              <w:bottom w:type="dxa" w:w="50"/>
              <w:right w:type="dxa" w:w="90"/>
            </w:tcMar>
          </w:tcPr>
          <w:p>
            <w:pPr>
              <w:jc w:val="center"/>
            </w:pPr>
            <w:r>
              <w:rPr>
                <w:b w:val="false"/>
                <w:bCs w:val="false"/>
                <w:sz w:val="18"/>
                <w:szCs w:val="18"/>
              </w:rPr>
              <w:t xml:space="preserve">+14.89 (0.21)</w:t>
            </w:r>
          </w:p>
        </w:tc>
      </w:tr>
      <w:tr>
        <w:tc>
          <w:tcPr>
            <w:tcW w:type="dxa" w:w="3060"/>
            <w:tcMar>
              <w:top w:type="dxa" w:w="50"/>
              <w:left w:type="dxa" w:w="90"/>
              <w:bottom w:type="dxa" w:w="50"/>
              <w:right w:type="dxa" w:w="90"/>
            </w:tcMar>
          </w:tcPr>
          <w:p>
            <w:pPr>
              <w:jc w:val="left"/>
            </w:pPr>
            <w:r>
              <w:rPr>
                <w:b w:val="false"/>
                <w:bCs w:val="false"/>
                <w:sz w:val="18"/>
                <w:szCs w:val="18"/>
              </w:rPr>
              <w:t xml:space="preserve">Drop 2020–21</w:t>
            </w:r>
          </w:p>
        </w:tc>
        <w:tc>
          <w:tcPr>
            <w:tcW w:type="dxa" w:w="2100"/>
            <w:tcMar>
              <w:top w:type="dxa" w:w="50"/>
              <w:left w:type="dxa" w:w="90"/>
              <w:bottom w:type="dxa" w:w="50"/>
              <w:right w:type="dxa" w:w="90"/>
            </w:tcMar>
          </w:tcPr>
          <w:p>
            <w:pPr>
              <w:jc w:val="center"/>
            </w:pPr>
            <w:r>
              <w:rPr>
                <w:b w:val="false"/>
                <w:bCs w:val="false"/>
                <w:sz w:val="18"/>
                <w:szCs w:val="18"/>
              </w:rPr>
              <w:t xml:space="preserve">−1.15 (0.81)</w:t>
            </w:r>
          </w:p>
        </w:tc>
        <w:tc>
          <w:tcPr>
            <w:tcW w:type="dxa" w:w="2100"/>
            <w:tcMar>
              <w:top w:type="dxa" w:w="50"/>
              <w:left w:type="dxa" w:w="90"/>
              <w:bottom w:type="dxa" w:w="50"/>
              <w:right w:type="dxa" w:w="90"/>
            </w:tcMar>
          </w:tcPr>
          <w:p>
            <w:pPr>
              <w:jc w:val="center"/>
            </w:pPr>
            <w:r>
              <w:rPr>
                <w:b w:val="false"/>
                <w:bCs w:val="false"/>
                <w:sz w:val="18"/>
                <w:szCs w:val="18"/>
              </w:rPr>
              <w:t xml:space="preserve">−6.14 (0.76)</w:t>
            </w:r>
          </w:p>
        </w:tc>
        <w:tc>
          <w:tcPr>
            <w:tcW w:type="dxa" w:w="2100"/>
            <w:tcMar>
              <w:top w:type="dxa" w:w="50"/>
              <w:left w:type="dxa" w:w="90"/>
              <w:bottom w:type="dxa" w:w="50"/>
              <w:right w:type="dxa" w:w="90"/>
            </w:tcMar>
          </w:tcPr>
          <w:p>
            <w:pPr>
              <w:jc w:val="center"/>
            </w:pPr>
            <w:r>
              <w:rPr>
                <w:b w:val="false"/>
                <w:bCs w:val="false"/>
                <w:sz w:val="18"/>
                <w:szCs w:val="18"/>
              </w:rPr>
              <w:t xml:space="preserve">+18.26 (0.18)</w:t>
            </w:r>
          </w:p>
        </w:tc>
      </w:tr>
      <w:tr>
        <w:tc>
          <w:tcPr>
            <w:tcW w:type="dxa" w:w="3060"/>
            <w:tcMar>
              <w:top w:type="dxa" w:w="50"/>
              <w:left w:type="dxa" w:w="90"/>
              <w:bottom w:type="dxa" w:w="50"/>
              <w:right w:type="dxa" w:w="90"/>
            </w:tcMar>
          </w:tcPr>
          <w:p>
            <w:pPr>
              <w:jc w:val="left"/>
            </w:pPr>
            <w:r>
              <w:rPr>
                <w:b w:val="false"/>
                <w:bCs w:val="false"/>
                <w:sz w:val="18"/>
                <w:szCs w:val="18"/>
              </w:rPr>
              <w:t xml:space="preserve">Drop 2024</w:t>
            </w:r>
          </w:p>
        </w:tc>
        <w:tc>
          <w:tcPr>
            <w:tcW w:type="dxa" w:w="2100"/>
            <w:tcMar>
              <w:top w:type="dxa" w:w="50"/>
              <w:left w:type="dxa" w:w="90"/>
              <w:bottom w:type="dxa" w:w="50"/>
              <w:right w:type="dxa" w:w="90"/>
            </w:tcMar>
          </w:tcPr>
          <w:p>
            <w:pPr>
              <w:jc w:val="center"/>
            </w:pPr>
            <w:r>
              <w:rPr>
                <w:b w:val="false"/>
                <w:bCs w:val="false"/>
                <w:sz w:val="18"/>
                <w:szCs w:val="18"/>
              </w:rPr>
              <w:t xml:space="preserve">−1.93 (0.52)</w:t>
            </w:r>
          </w:p>
        </w:tc>
        <w:tc>
          <w:tcPr>
            <w:tcW w:type="dxa" w:w="2100"/>
            <w:tcMar>
              <w:top w:type="dxa" w:w="50"/>
              <w:left w:type="dxa" w:w="90"/>
              <w:bottom w:type="dxa" w:w="50"/>
              <w:right w:type="dxa" w:w="90"/>
            </w:tcMar>
          </w:tcPr>
          <w:p>
            <w:pPr>
              <w:jc w:val="center"/>
            </w:pPr>
            <w:r>
              <w:rPr>
                <w:b w:val="false"/>
                <w:bCs w:val="false"/>
                <w:sz w:val="18"/>
                <w:szCs w:val="18"/>
              </w:rPr>
              <w:t xml:space="preserve">−9.88 (0.51)</w:t>
            </w:r>
          </w:p>
        </w:tc>
        <w:tc>
          <w:tcPr>
            <w:tcW w:type="dxa" w:w="2100"/>
            <w:tcMar>
              <w:top w:type="dxa" w:w="50"/>
              <w:left w:type="dxa" w:w="90"/>
              <w:bottom w:type="dxa" w:w="50"/>
              <w:right w:type="dxa" w:w="90"/>
            </w:tcMar>
          </w:tcPr>
          <w:p>
            <w:pPr>
              <w:jc w:val="center"/>
            </w:pPr>
            <w:r>
              <w:rPr>
                <w:b w:val="false"/>
                <w:bCs w:val="false"/>
                <w:sz w:val="18"/>
                <w:szCs w:val="18"/>
              </w:rPr>
              <w:t xml:space="preserve">+15.45 (0.18)</w:t>
            </w:r>
          </w:p>
        </w:tc>
      </w:tr>
      <w:tr>
        <w:tc>
          <w:tcPr>
            <w:tcW w:type="dxa" w:w="3060"/>
            <w:tcMar>
              <w:top w:type="dxa" w:w="50"/>
              <w:left w:type="dxa" w:w="90"/>
              <w:bottom w:type="dxa" w:w="50"/>
              <w:right w:type="dxa" w:w="90"/>
            </w:tcMar>
          </w:tcPr>
          <w:p>
            <w:pPr>
              <w:jc w:val="left"/>
            </w:pPr>
            <w:r>
              <w:rPr>
                <w:b w:val="false"/>
                <w:bCs w:val="false"/>
                <w:sz w:val="18"/>
                <w:szCs w:val="18"/>
              </w:rPr>
              <w:t xml:space="preserve">Fatality-weighted</w:t>
            </w:r>
          </w:p>
        </w:tc>
        <w:tc>
          <w:tcPr>
            <w:tcW w:type="dxa" w:w="2100"/>
            <w:tcMar>
              <w:top w:type="dxa" w:w="50"/>
              <w:left w:type="dxa" w:w="90"/>
              <w:bottom w:type="dxa" w:w="50"/>
              <w:right w:type="dxa" w:w="90"/>
            </w:tcMar>
          </w:tcPr>
          <w:p>
            <w:pPr>
              <w:jc w:val="center"/>
            </w:pPr>
            <w:r>
              <w:rPr>
                <w:b w:val="false"/>
                <w:bCs w:val="false"/>
                <w:sz w:val="18"/>
                <w:szCs w:val="18"/>
              </w:rPr>
              <w:t xml:space="preserve">−0.81 (0.96)</w:t>
            </w:r>
          </w:p>
        </w:tc>
        <w:tc>
          <w:tcPr>
            <w:tcW w:type="dxa" w:w="2100"/>
            <w:tcMar>
              <w:top w:type="dxa" w:w="50"/>
              <w:left w:type="dxa" w:w="90"/>
              <w:bottom w:type="dxa" w:w="50"/>
              <w:right w:type="dxa" w:w="90"/>
            </w:tcMar>
          </w:tcPr>
          <w:p>
            <w:pPr>
              <w:jc w:val="center"/>
            </w:pPr>
            <w:r>
              <w:rPr>
                <w:b w:val="false"/>
                <w:bCs w:val="false"/>
                <w:sz w:val="18"/>
                <w:szCs w:val="18"/>
              </w:rPr>
              <w:t xml:space="preserve">−4.18 (0.99)</w:t>
            </w:r>
          </w:p>
        </w:tc>
        <w:tc>
          <w:tcPr>
            <w:tcW w:type="dxa" w:w="2100"/>
            <w:tcMar>
              <w:top w:type="dxa" w:w="50"/>
              <w:left w:type="dxa" w:w="90"/>
              <w:bottom w:type="dxa" w:w="50"/>
              <w:right w:type="dxa" w:w="90"/>
            </w:tcMar>
          </w:tcPr>
          <w:p>
            <w:pPr>
              <w:jc w:val="center"/>
            </w:pPr>
            <w:r>
              <w:rPr>
                <w:b w:val="false"/>
                <w:bCs w:val="false"/>
                <w:sz w:val="18"/>
                <w:szCs w:val="18"/>
              </w:rPr>
              <w:t xml:space="preserve">+11.62 (0.35)</w:t>
            </w:r>
          </w:p>
        </w:tc>
      </w:tr>
      <w:tr>
        <w:tc>
          <w:tcPr>
            <w:tcW w:type="dxa" w:w="3060"/>
            <w:tcMar>
              <w:top w:type="dxa" w:w="50"/>
              <w:left w:type="dxa" w:w="90"/>
              <w:bottom w:type="dxa" w:w="50"/>
              <w:right w:type="dxa" w:w="90"/>
            </w:tcMar>
          </w:tcPr>
          <w:p>
            <w:pPr>
              <w:jc w:val="left"/>
            </w:pPr>
            <w:r>
              <w:rPr>
                <w:b w:val="false"/>
                <w:bCs w:val="false"/>
                <w:sz w:val="18"/>
                <w:szCs w:val="18"/>
              </w:rPr>
              <w:t xml:space="preserve">All post years</w:t>
            </w:r>
          </w:p>
        </w:tc>
        <w:tc>
          <w:tcPr>
            <w:tcW w:type="dxa" w:w="2100"/>
            <w:tcMar>
              <w:top w:type="dxa" w:w="50"/>
              <w:left w:type="dxa" w:w="90"/>
              <w:bottom w:type="dxa" w:w="50"/>
              <w:right w:type="dxa" w:w="90"/>
            </w:tcMar>
          </w:tcPr>
          <w:p>
            <w:pPr>
              <w:jc w:val="center"/>
            </w:pPr>
            <w:r>
              <w:rPr>
                <w:b w:val="false"/>
                <w:bCs w:val="false"/>
                <w:sz w:val="18"/>
                <w:szCs w:val="18"/>
              </w:rPr>
              <w:t xml:space="preserve">−1.00 (0.82)</w:t>
            </w:r>
          </w:p>
        </w:tc>
        <w:tc>
          <w:tcPr>
            <w:tcW w:type="dxa" w:w="2100"/>
            <w:tcMar>
              <w:top w:type="dxa" w:w="50"/>
              <w:left w:type="dxa" w:w="90"/>
              <w:bottom w:type="dxa" w:w="50"/>
              <w:right w:type="dxa" w:w="90"/>
            </w:tcMar>
          </w:tcPr>
          <w:p>
            <w:pPr>
              <w:jc w:val="center"/>
            </w:pPr>
            <w:r>
              <w:rPr>
                <w:b w:val="false"/>
                <w:bCs w:val="false"/>
                <w:sz w:val="18"/>
                <w:szCs w:val="18"/>
              </w:rPr>
              <w:t xml:space="preserve">−5.41 (0.79)</w:t>
            </w:r>
          </w:p>
        </w:tc>
        <w:tc>
          <w:tcPr>
            <w:tcW w:type="dxa" w:w="2100"/>
            <w:tcMar>
              <w:top w:type="dxa" w:w="50"/>
              <w:left w:type="dxa" w:w="90"/>
              <w:bottom w:type="dxa" w:w="50"/>
              <w:right w:type="dxa" w:w="90"/>
            </w:tcMar>
          </w:tcPr>
          <w:p>
            <w:pPr>
              <w:jc w:val="center"/>
            </w:pPr>
            <w:r>
              <w:rPr>
                <w:b w:val="false"/>
                <w:bCs w:val="false"/>
                <w:sz w:val="18"/>
                <w:szCs w:val="18"/>
              </w:rPr>
              <w:t xml:space="preserve">+13.31 (0.24)</w:t>
            </w:r>
          </w:p>
        </w:tc>
      </w:tr>
      <w:tr>
        <w:tc>
          <w:tcPr>
            <w:tcW w:type="dxa" w:w="3060"/>
            <w:tcMar>
              <w:top w:type="dxa" w:w="50"/>
              <w:left w:type="dxa" w:w="90"/>
              <w:bottom w:type="dxa" w:w="50"/>
              <w:right w:type="dxa" w:w="90"/>
            </w:tcMar>
          </w:tcPr>
          <w:p>
            <w:pPr>
              <w:jc w:val="left"/>
            </w:pPr>
            <w:r>
              <w:rPr>
                <w:b w:val="false"/>
                <w:bCs w:val="false"/>
                <w:sz w:val="18"/>
                <w:szCs w:val="18"/>
              </w:rPr>
              <w:t xml:space="preserve">State linear trends</w:t>
            </w:r>
          </w:p>
        </w:tc>
        <w:tc>
          <w:tcPr>
            <w:tcW w:type="dxa" w:w="2100"/>
            <w:tcMar>
              <w:top w:type="dxa" w:w="50"/>
              <w:left w:type="dxa" w:w="90"/>
              <w:bottom w:type="dxa" w:w="50"/>
              <w:right w:type="dxa" w:w="90"/>
            </w:tcMar>
          </w:tcPr>
          <w:p>
            <w:pPr>
              <w:jc w:val="center"/>
            </w:pPr>
            <w:r>
              <w:rPr>
                <w:b w:val="false"/>
                <w:bCs w:val="false"/>
                <w:sz w:val="18"/>
                <w:szCs w:val="18"/>
              </w:rPr>
              <w:t xml:space="preserve">−1.06 (0.70)</w:t>
            </w:r>
          </w:p>
        </w:tc>
        <w:tc>
          <w:tcPr>
            <w:tcW w:type="dxa" w:w="2100"/>
            <w:tcMar>
              <w:top w:type="dxa" w:w="50"/>
              <w:left w:type="dxa" w:w="90"/>
              <w:bottom w:type="dxa" w:w="50"/>
              <w:right w:type="dxa" w:w="90"/>
            </w:tcMar>
          </w:tcPr>
          <w:p>
            <w:pPr>
              <w:jc w:val="center"/>
            </w:pPr>
            <w:r>
              <w:rPr>
                <w:b w:val="false"/>
                <w:bCs w:val="false"/>
                <w:sz w:val="18"/>
                <w:szCs w:val="18"/>
              </w:rPr>
              <w:t xml:space="preserve">−5.36 (0.67)</w:t>
            </w:r>
          </w:p>
        </w:tc>
        <w:tc>
          <w:tcPr>
            <w:tcW w:type="dxa" w:w="2100"/>
            <w:tcMar>
              <w:top w:type="dxa" w:w="50"/>
              <w:left w:type="dxa" w:w="90"/>
              <w:bottom w:type="dxa" w:w="50"/>
              <w:right w:type="dxa" w:w="90"/>
            </w:tcMar>
          </w:tcPr>
          <w:p>
            <w:pPr>
              <w:jc w:val="center"/>
            </w:pPr>
            <w:r>
              <w:rPr>
                <w:b w:val="false"/>
                <w:bCs w:val="false"/>
                <w:sz w:val="18"/>
                <w:szCs w:val="18"/>
              </w:rPr>
              <w:t xml:space="preserve">+27.13 (0.07)</w:t>
            </w:r>
          </w:p>
        </w:tc>
      </w:tr>
      <w:tr>
        <w:tc>
          <w:tcPr>
            <w:tcW w:type="dxa" w:w="3060"/>
            <w:tcMar>
              <w:top w:type="dxa" w:w="50"/>
              <w:left w:type="dxa" w:w="90"/>
              <w:bottom w:type="dxa" w:w="50"/>
              <w:right w:type="dxa" w:w="90"/>
            </w:tcMar>
          </w:tcPr>
          <w:p>
            <w:pPr>
              <w:jc w:val="left"/>
            </w:pPr>
            <w:r>
              <w:rPr>
                <w:b w:val="false"/>
                <w:bCs w:val="false"/>
                <w:sz w:val="18"/>
                <w:szCs w:val="18"/>
              </w:rPr>
              <w:t xml:space="preserve">KS + OK only</w:t>
            </w:r>
          </w:p>
        </w:tc>
        <w:tc>
          <w:tcPr>
            <w:tcW w:type="dxa" w:w="2100"/>
            <w:tcMar>
              <w:top w:type="dxa" w:w="50"/>
              <w:left w:type="dxa" w:w="90"/>
              <w:bottom w:type="dxa" w:w="50"/>
              <w:right w:type="dxa" w:w="90"/>
            </w:tcMar>
          </w:tcPr>
          <w:p>
            <w:pPr>
              <w:jc w:val="center"/>
            </w:pPr>
            <w:r>
              <w:rPr>
                <w:b w:val="false"/>
                <w:bCs w:val="false"/>
                <w:sz w:val="18"/>
                <w:szCs w:val="18"/>
              </w:rPr>
              <w:t xml:space="preserve">−2.10 (0.41)</w:t>
            </w:r>
          </w:p>
        </w:tc>
        <w:tc>
          <w:tcPr>
            <w:tcW w:type="dxa" w:w="2100"/>
            <w:tcMar>
              <w:top w:type="dxa" w:w="50"/>
              <w:left w:type="dxa" w:w="90"/>
              <w:bottom w:type="dxa" w:w="50"/>
              <w:right w:type="dxa" w:w="90"/>
            </w:tcMar>
          </w:tcPr>
          <w:p>
            <w:pPr>
              <w:jc w:val="center"/>
            </w:pPr>
            <w:r>
              <w:rPr>
                <w:b w:val="false"/>
                <w:bCs w:val="false"/>
                <w:sz w:val="18"/>
                <w:szCs w:val="18"/>
              </w:rPr>
              <w:t xml:space="preserve">−11.25 (0.38)</w:t>
            </w:r>
          </w:p>
        </w:tc>
        <w:tc>
          <w:tcPr>
            <w:tcW w:type="dxa" w:w="2100"/>
            <w:tcMar>
              <w:top w:type="dxa" w:w="50"/>
              <w:left w:type="dxa" w:w="90"/>
              <w:bottom w:type="dxa" w:w="50"/>
              <w:right w:type="dxa" w:w="90"/>
            </w:tcMar>
          </w:tcPr>
          <w:p>
            <w:pPr>
              <w:jc w:val="center"/>
            </w:pPr>
            <w:r>
              <w:rPr>
                <w:b w:val="false"/>
                <w:bCs w:val="false"/>
                <w:sz w:val="18"/>
                <w:szCs w:val="18"/>
              </w:rPr>
              <w:t xml:space="preserve">+17.80 (0.16)</w:t>
            </w:r>
          </w:p>
        </w:tc>
      </w:tr>
      <w:tr>
        <w:tc>
          <w:tcPr>
            <w:tcW w:type="dxa" w:w="3060"/>
            <w:tcMar>
              <w:top w:type="dxa" w:w="50"/>
              <w:left w:type="dxa" w:w="90"/>
              <w:bottom w:type="dxa" w:w="50"/>
              <w:right w:type="dxa" w:w="90"/>
            </w:tcMar>
          </w:tcPr>
          <w:p>
            <w:pPr>
              <w:jc w:val="left"/>
            </w:pPr>
            <w:r>
              <w:rPr>
                <w:b w:val="false"/>
                <w:bCs w:val="false"/>
                <w:sz w:val="18"/>
                <w:szCs w:val="18"/>
              </w:rPr>
              <w:t xml:space="preserve">Timing placebo (5 yrs early)</w:t>
            </w:r>
          </w:p>
        </w:tc>
        <w:tc>
          <w:tcPr>
            <w:tcW w:type="dxa" w:w="2100"/>
            <w:tcMar>
              <w:top w:type="dxa" w:w="50"/>
              <w:left w:type="dxa" w:w="90"/>
              <w:bottom w:type="dxa" w:w="50"/>
              <w:right w:type="dxa" w:w="90"/>
            </w:tcMar>
          </w:tcPr>
          <w:p>
            <w:pPr>
              <w:jc w:val="center"/>
            </w:pPr>
            <w:r>
              <w:rPr>
                <w:b w:val="false"/>
                <w:bCs w:val="false"/>
                <w:sz w:val="18"/>
                <w:szCs w:val="18"/>
              </w:rPr>
              <w:t xml:space="preserve">−0.27 (0.86)</w:t>
            </w:r>
          </w:p>
        </w:tc>
        <w:tc>
          <w:tcPr>
            <w:tcW w:type="dxa" w:w="2100"/>
            <w:tcMar>
              <w:top w:type="dxa" w:w="50"/>
              <w:left w:type="dxa" w:w="90"/>
              <w:bottom w:type="dxa" w:w="50"/>
              <w:right w:type="dxa" w:w="90"/>
            </w:tcMar>
          </w:tcPr>
          <w:p>
            <w:pPr>
              <w:jc w:val="center"/>
            </w:pPr>
            <w:r>
              <w:rPr>
                <w:b w:val="false"/>
                <w:bCs w:val="false"/>
                <w:sz w:val="18"/>
                <w:szCs w:val="18"/>
              </w:rPr>
              <w:t xml:space="preserve">−1.44 (0.88)</w:t>
            </w:r>
          </w:p>
        </w:tc>
        <w:tc>
          <w:tcPr>
            <w:tcW w:type="dxa" w:w="2100"/>
            <w:tcMar>
              <w:top w:type="dxa" w:w="50"/>
              <w:left w:type="dxa" w:w="90"/>
              <w:bottom w:type="dxa" w:w="50"/>
              <w:right w:type="dxa" w:w="90"/>
            </w:tcMar>
          </w:tcPr>
          <w:p>
            <w:pPr>
              <w:jc w:val="center"/>
            </w:pPr>
            <w:r>
              <w:rPr>
                <w:b w:val="false"/>
                <w:bCs w:val="false"/>
                <w:sz w:val="18"/>
                <w:szCs w:val="18"/>
              </w:rPr>
              <w:t xml:space="preserve">−1.79 (0.83)</w:t>
            </w:r>
          </w:p>
        </w:tc>
      </w:tr>
    </w:tbl>
    <w:p>
      <w:pPr>
        <w:spacing w:after="220" w:before="60"/>
      </w:pPr>
      <w:r>
        <w:rPr>
          <w:i/>
          <w:iCs/>
          <w:color w:val="444444"/>
          <w:sz w:val="17"/>
          <w:szCs w:val="17"/>
        </w:rPr>
        <w:t xml:space="preserve">The timing placebo uses only true pre-repeal years, so its window is event years 0–3 of the fake date.</w:t>
      </w:r>
    </w:p>
    <w:p>
      <w:pPr>
        <w:keepNext/>
        <w:spacing w:after="80" w:before="200"/>
      </w:pPr>
      <w:r>
        <w:rPr>
          <w:b/>
          <w:bCs/>
          <w:sz w:val="20"/>
          <w:szCs w:val="20"/>
        </w:rPr>
        <w:t xml:space="preserve">Table 5. Robustness, 1980s bans: estimate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1600"/>
        <w:gridCol w:w="1600"/>
        <w:gridCol w:w="1600"/>
      </w:tblGrid>
      <w:tr>
        <w:trPr>
          <w:tblHeader/>
        </w:trPr>
        <w:tc>
          <w:tcPr>
            <w:tcW w:type="dxa" w:w="2960"/>
            <w:shd w:fill="DCE6F1" w:color="auto" w:val="clear"/>
            <w:tcMar>
              <w:top w:type="dxa" w:w="50"/>
              <w:left w:type="dxa" w:w="90"/>
              <w:bottom w:type="dxa" w:w="50"/>
              <w:right w:type="dxa" w:w="90"/>
            </w:tcMar>
          </w:tcPr>
          <w:p>
            <w:pPr>
              <w:jc w:val="left"/>
            </w:pPr>
            <w:r>
              <w:rPr>
                <w:b/>
                <w:bCs/>
                <w:sz w:val="18"/>
                <w:szCs w:val="18"/>
              </w:rPr>
              <w:t xml:space="preserve">Specification</w:t>
            </w:r>
          </w:p>
        </w:tc>
        <w:tc>
          <w:tcPr>
            <w:tcW w:type="dxa" w:w="1600"/>
            <w:shd w:fill="DCE6F1" w:color="auto" w:val="clear"/>
            <w:tcMar>
              <w:top w:type="dxa" w:w="50"/>
              <w:left w:type="dxa" w:w="90"/>
              <w:bottom w:type="dxa" w:w="50"/>
              <w:right w:type="dxa" w:w="90"/>
            </w:tcMar>
          </w:tcPr>
          <w:p>
            <w:pPr>
              <w:jc w:val="center"/>
            </w:pPr>
            <w:r>
              <w:rPr>
                <w:b/>
                <w:bCs/>
                <w:sz w:val="18"/>
                <w:szCs w:val="18"/>
              </w:rPr>
              <w:t xml:space="preserve">Impaired share (pp)</w:t>
            </w:r>
          </w:p>
        </w:tc>
        <w:tc>
          <w:tcPr>
            <w:tcW w:type="dxa" w:w="1600"/>
            <w:shd w:fill="DCE6F1" w:color="auto" w:val="clear"/>
            <w:tcMar>
              <w:top w:type="dxa" w:w="50"/>
              <w:left w:type="dxa" w:w="90"/>
              <w:bottom w:type="dxa" w:w="50"/>
              <w:right w:type="dxa" w:w="90"/>
            </w:tcMar>
          </w:tcPr>
          <w:p>
            <w:pPr>
              <w:jc w:val="center"/>
            </w:pPr>
            <w:r>
              <w:rPr>
                <w:b/>
                <w:bCs/>
                <w:sz w:val="18"/>
                <w:szCs w:val="18"/>
              </w:rPr>
              <w:t xml:space="preserve">Single-vehicle-night (pp)</w:t>
            </w:r>
          </w:p>
        </w:tc>
        <w:tc>
          <w:tcPr>
            <w:tcW w:type="dxa" w:w="1600"/>
            <w:shd w:fill="DCE6F1" w:color="auto" w:val="clear"/>
            <w:tcMar>
              <w:top w:type="dxa" w:w="50"/>
              <w:left w:type="dxa" w:w="90"/>
              <w:bottom w:type="dxa" w:w="50"/>
              <w:right w:type="dxa" w:w="90"/>
            </w:tcMar>
          </w:tcPr>
          <w:p>
            <w:pPr>
              <w:jc w:val="center"/>
            </w:pPr>
            <w:r>
              <w:rPr>
                <w:b/>
                <w:bCs/>
                <w:sz w:val="18"/>
                <w:szCs w:val="18"/>
              </w:rPr>
              <w:t xml:space="preserve">Sober placebo (x100)</w:t>
            </w:r>
          </w:p>
        </w:tc>
        <w:tc>
          <w:tcPr>
            <w:tcW w:type="dxa" w:w="1600"/>
            <w:shd w:fill="DCE6F1" w:color="auto" w:val="clear"/>
            <w:tcMar>
              <w:top w:type="dxa" w:w="50"/>
              <w:left w:type="dxa" w:w="90"/>
              <w:bottom w:type="dxa" w:w="50"/>
              <w:right w:type="dxa" w:w="90"/>
            </w:tcMar>
          </w:tcPr>
          <w:p>
            <w:pPr>
              <w:jc w:val="center"/>
            </w:pPr>
            <w:r>
              <w:rPr>
                <w:b/>
                <w:bCs/>
                <w:sz w:val="18"/>
                <w:szCs w:val="18"/>
              </w:rPr>
              <w:t xml:space="preserve">Net evening test (x100)</w:t>
            </w:r>
          </w:p>
        </w:tc>
      </w:tr>
      <w:tr>
        <w:tc>
          <w:tcPr>
            <w:tcW w:type="dxa" w:w="2960"/>
            <w:tcMar>
              <w:top w:type="dxa" w:w="50"/>
              <w:left w:type="dxa" w:w="90"/>
              <w:bottom w:type="dxa" w:w="50"/>
              <w:right w:type="dxa" w:w="90"/>
            </w:tcMar>
          </w:tcPr>
          <w:p>
            <w:pPr>
              <w:jc w:val="left"/>
            </w:pPr>
            <w:r>
              <w:rPr>
                <w:b w:val="false"/>
                <w:bCs w:val="false"/>
                <w:sz w:val="18"/>
                <w:szCs w:val="18"/>
              </w:rPr>
              <w:t xml:space="preserve">Main</w:t>
            </w:r>
          </w:p>
        </w:tc>
        <w:tc>
          <w:tcPr>
            <w:tcW w:type="dxa" w:w="1600"/>
            <w:tcMar>
              <w:top w:type="dxa" w:w="50"/>
              <w:left w:type="dxa" w:w="90"/>
              <w:bottom w:type="dxa" w:w="50"/>
              <w:right w:type="dxa" w:w="90"/>
            </w:tcMar>
          </w:tcPr>
          <w:p>
            <w:pPr>
              <w:jc w:val="center"/>
            </w:pPr>
            <w:r>
              <w:rPr>
                <w:b w:val="false"/>
                <w:bCs w:val="false"/>
                <w:sz w:val="18"/>
                <w:szCs w:val="18"/>
              </w:rPr>
              <w:t xml:space="preserve">+0.78 (0.63)</w:t>
            </w:r>
          </w:p>
        </w:tc>
        <w:tc>
          <w:tcPr>
            <w:tcW w:type="dxa" w:w="1600"/>
            <w:tcMar>
              <w:top w:type="dxa" w:w="50"/>
              <w:left w:type="dxa" w:w="90"/>
              <w:bottom w:type="dxa" w:w="50"/>
              <w:right w:type="dxa" w:w="90"/>
            </w:tcMar>
          </w:tcPr>
          <w:p>
            <w:pPr>
              <w:jc w:val="center"/>
            </w:pPr>
            <w:r>
              <w:rPr>
                <w:b w:val="false"/>
                <w:bCs w:val="false"/>
                <w:sz w:val="18"/>
                <w:szCs w:val="18"/>
              </w:rPr>
              <w:t xml:space="preserve">−1.06 (0.17)</w:t>
            </w:r>
          </w:p>
        </w:tc>
        <w:tc>
          <w:tcPr>
            <w:tcW w:type="dxa" w:w="1600"/>
            <w:tcMar>
              <w:top w:type="dxa" w:w="50"/>
              <w:left w:type="dxa" w:w="90"/>
              <w:bottom w:type="dxa" w:w="50"/>
              <w:right w:type="dxa" w:w="90"/>
            </w:tcMar>
          </w:tcPr>
          <w:p>
            <w:pPr>
              <w:jc w:val="center"/>
            </w:pPr>
            <w:r>
              <w:rPr>
                <w:b w:val="false"/>
                <w:bCs w:val="false"/>
                <w:sz w:val="18"/>
                <w:szCs w:val="18"/>
              </w:rPr>
              <w:t xml:space="preserve">+19.85 (0.001)</w:t>
            </w:r>
          </w:p>
        </w:tc>
        <w:tc>
          <w:tcPr>
            <w:tcW w:type="dxa" w:w="1600"/>
            <w:tcMar>
              <w:top w:type="dxa" w:w="50"/>
              <w:left w:type="dxa" w:w="90"/>
              <w:bottom w:type="dxa" w:w="50"/>
              <w:right w:type="dxa" w:w="90"/>
            </w:tcMar>
          </w:tcPr>
          <w:p>
            <w:pPr>
              <w:jc w:val="center"/>
            </w:pPr>
            <w:r>
              <w:rPr>
                <w:b w:val="false"/>
                <w:bCs w:val="false"/>
                <w:sz w:val="18"/>
                <w:szCs w:val="18"/>
              </w:rPr>
              <w:t xml:space="preserve">−19.62 (0.07)</w:t>
            </w:r>
          </w:p>
        </w:tc>
      </w:tr>
      <w:tr>
        <w:tc>
          <w:tcPr>
            <w:tcW w:type="dxa" w:w="2960"/>
            <w:tcMar>
              <w:top w:type="dxa" w:w="50"/>
              <w:left w:type="dxa" w:w="90"/>
              <w:bottom w:type="dxa" w:w="50"/>
              <w:right w:type="dxa" w:w="90"/>
            </w:tcMar>
          </w:tcPr>
          <w:p>
            <w:pPr>
              <w:jc w:val="left"/>
            </w:pPr>
            <w:r>
              <w:rPr>
                <w:b w:val="false"/>
                <w:bCs w:val="false"/>
                <w:sz w:val="18"/>
                <w:szCs w:val="18"/>
              </w:rPr>
              <w:t xml:space="preserve">Include partial-restriction states as controls</w:t>
            </w:r>
          </w:p>
        </w:tc>
        <w:tc>
          <w:tcPr>
            <w:tcW w:type="dxa" w:w="1600"/>
            <w:tcMar>
              <w:top w:type="dxa" w:w="50"/>
              <w:left w:type="dxa" w:w="90"/>
              <w:bottom w:type="dxa" w:w="50"/>
              <w:right w:type="dxa" w:w="90"/>
            </w:tcMar>
          </w:tcPr>
          <w:p>
            <w:pPr>
              <w:jc w:val="center"/>
            </w:pPr>
            <w:r>
              <w:rPr>
                <w:b w:val="false"/>
                <w:bCs w:val="false"/>
                <w:sz w:val="18"/>
                <w:szCs w:val="18"/>
              </w:rPr>
              <w:t xml:space="preserve">+1.23 (0.49)</w:t>
            </w:r>
          </w:p>
        </w:tc>
        <w:tc>
          <w:tcPr>
            <w:tcW w:type="dxa" w:w="1600"/>
            <w:tcMar>
              <w:top w:type="dxa" w:w="50"/>
              <w:left w:type="dxa" w:w="90"/>
              <w:bottom w:type="dxa" w:w="50"/>
              <w:right w:type="dxa" w:w="90"/>
            </w:tcMar>
          </w:tcPr>
          <w:p>
            <w:pPr>
              <w:jc w:val="center"/>
            </w:pPr>
            <w:r>
              <w:rPr>
                <w:b w:val="false"/>
                <w:bCs w:val="false"/>
                <w:sz w:val="18"/>
                <w:szCs w:val="18"/>
              </w:rPr>
              <w:t xml:space="preserve">−0.53 (0.61)</w:t>
            </w:r>
          </w:p>
        </w:tc>
        <w:tc>
          <w:tcPr>
            <w:tcW w:type="dxa" w:w="1600"/>
            <w:tcMar>
              <w:top w:type="dxa" w:w="50"/>
              <w:left w:type="dxa" w:w="90"/>
              <w:bottom w:type="dxa" w:w="50"/>
              <w:right w:type="dxa" w:w="90"/>
            </w:tcMar>
          </w:tcPr>
          <w:p>
            <w:pPr>
              <w:jc w:val="center"/>
            </w:pPr>
            <w:r>
              <w:rPr>
                <w:b w:val="false"/>
                <w:bCs w:val="false"/>
                <w:sz w:val="18"/>
                <w:szCs w:val="18"/>
              </w:rPr>
              <w:t xml:space="preserve">+17.84 (0.008)</w:t>
            </w:r>
          </w:p>
        </w:tc>
        <w:tc>
          <w:tcPr>
            <w:tcW w:type="dxa" w:w="1600"/>
            <w:tcMar>
              <w:top w:type="dxa" w:w="50"/>
              <w:left w:type="dxa" w:w="90"/>
              <w:bottom w:type="dxa" w:w="50"/>
              <w:right w:type="dxa" w:w="90"/>
            </w:tcMar>
          </w:tcPr>
          <w:p>
            <w:pPr>
              <w:jc w:val="center"/>
            </w:pPr>
            <w:r>
              <w:rPr>
                <w:b w:val="false"/>
                <w:bCs w:val="false"/>
                <w:sz w:val="18"/>
                <w:szCs w:val="18"/>
              </w:rPr>
              <w:t xml:space="preserve">−19.11 (0.07)</w:t>
            </w:r>
          </w:p>
        </w:tc>
      </w:tr>
      <w:tr>
        <w:tc>
          <w:tcPr>
            <w:tcW w:type="dxa" w:w="2960"/>
            <w:tcMar>
              <w:top w:type="dxa" w:w="50"/>
              <w:left w:type="dxa" w:w="90"/>
              <w:bottom w:type="dxa" w:w="50"/>
              <w:right w:type="dxa" w:w="90"/>
            </w:tcMar>
          </w:tcPr>
          <w:p>
            <w:pPr>
              <w:jc w:val="left"/>
            </w:pPr>
            <w:r>
              <w:rPr>
                <w:b w:val="false"/>
                <w:bCs w:val="false"/>
                <w:sz w:val="18"/>
                <w:szCs w:val="18"/>
              </w:rPr>
              <w:t xml:space="preserve">No drinking-age covariate</w:t>
            </w:r>
          </w:p>
        </w:tc>
        <w:tc>
          <w:tcPr>
            <w:tcW w:type="dxa" w:w="1600"/>
            <w:tcMar>
              <w:top w:type="dxa" w:w="50"/>
              <w:left w:type="dxa" w:w="90"/>
              <w:bottom w:type="dxa" w:w="50"/>
              <w:right w:type="dxa" w:w="90"/>
            </w:tcMar>
          </w:tcPr>
          <w:p>
            <w:pPr>
              <w:jc w:val="center"/>
            </w:pPr>
            <w:r>
              <w:rPr>
                <w:b w:val="false"/>
                <w:bCs w:val="false"/>
                <w:sz w:val="18"/>
                <w:szCs w:val="18"/>
              </w:rPr>
              <w:t xml:space="preserve">+0.68 (0.68)</w:t>
            </w:r>
          </w:p>
        </w:tc>
        <w:tc>
          <w:tcPr>
            <w:tcW w:type="dxa" w:w="1600"/>
            <w:tcMar>
              <w:top w:type="dxa" w:w="50"/>
              <w:left w:type="dxa" w:w="90"/>
              <w:bottom w:type="dxa" w:w="50"/>
              <w:right w:type="dxa" w:w="90"/>
            </w:tcMar>
          </w:tcPr>
          <w:p>
            <w:pPr>
              <w:jc w:val="center"/>
            </w:pPr>
            <w:r>
              <w:rPr>
                <w:b w:val="false"/>
                <w:bCs w:val="false"/>
                <w:sz w:val="18"/>
                <w:szCs w:val="18"/>
              </w:rPr>
              <w:t xml:space="preserve">−1.13 (0.16)</w:t>
            </w:r>
          </w:p>
        </w:tc>
        <w:tc>
          <w:tcPr>
            <w:tcW w:type="dxa" w:w="1600"/>
            <w:tcMar>
              <w:top w:type="dxa" w:w="50"/>
              <w:left w:type="dxa" w:w="90"/>
              <w:bottom w:type="dxa" w:w="50"/>
              <w:right w:type="dxa" w:w="90"/>
            </w:tcMar>
          </w:tcPr>
          <w:p>
            <w:pPr>
              <w:jc w:val="center"/>
            </w:pPr>
            <w:r>
              <w:rPr>
                <w:b w:val="false"/>
                <w:bCs w:val="false"/>
                <w:sz w:val="18"/>
                <w:szCs w:val="18"/>
              </w:rPr>
              <w:t xml:space="preserve">+19.25 (0.001)</w:t>
            </w:r>
          </w:p>
        </w:tc>
        <w:tc>
          <w:tcPr>
            <w:tcW w:type="dxa" w:w="1600"/>
            <w:tcMar>
              <w:top w:type="dxa" w:w="50"/>
              <w:left w:type="dxa" w:w="90"/>
              <w:bottom w:type="dxa" w:w="50"/>
              <w:right w:type="dxa" w:w="90"/>
            </w:tcMar>
          </w:tcPr>
          <w:p>
            <w:pPr>
              <w:jc w:val="center"/>
            </w:pPr>
            <w:r>
              <w:rPr>
                <w:b w:val="false"/>
                <w:bCs w:val="false"/>
                <w:sz w:val="18"/>
                <w:szCs w:val="18"/>
              </w:rPr>
              <w:t xml:space="preserve">−19.16 (0.07)</w:t>
            </w:r>
          </w:p>
        </w:tc>
      </w:tr>
      <w:tr>
        <w:tc>
          <w:tcPr>
            <w:tcW w:type="dxa" w:w="2960"/>
            <w:tcMar>
              <w:top w:type="dxa" w:w="50"/>
              <w:left w:type="dxa" w:w="90"/>
              <w:bottom w:type="dxa" w:w="50"/>
              <w:right w:type="dxa" w:w="90"/>
            </w:tcMar>
          </w:tcPr>
          <w:p>
            <w:pPr>
              <w:jc w:val="left"/>
            </w:pPr>
            <w:r>
              <w:rPr>
                <w:b w:val="false"/>
                <w:bCs w:val="false"/>
                <w:sz w:val="18"/>
                <w:szCs w:val="18"/>
              </w:rPr>
              <w:t xml:space="preserve">Fatality-weighted</w:t>
            </w:r>
          </w:p>
        </w:tc>
        <w:tc>
          <w:tcPr>
            <w:tcW w:type="dxa" w:w="1600"/>
            <w:tcMar>
              <w:top w:type="dxa" w:w="50"/>
              <w:left w:type="dxa" w:w="90"/>
              <w:bottom w:type="dxa" w:w="50"/>
              <w:right w:type="dxa" w:w="90"/>
            </w:tcMar>
          </w:tcPr>
          <w:p>
            <w:pPr>
              <w:jc w:val="center"/>
            </w:pPr>
            <w:r>
              <w:rPr>
                <w:b w:val="false"/>
                <w:bCs w:val="false"/>
                <w:sz w:val="18"/>
                <w:szCs w:val="18"/>
              </w:rPr>
              <w:t xml:space="preserve">+0.16 (0.85)</w:t>
            </w:r>
          </w:p>
        </w:tc>
        <w:tc>
          <w:tcPr>
            <w:tcW w:type="dxa" w:w="1600"/>
            <w:tcMar>
              <w:top w:type="dxa" w:w="50"/>
              <w:left w:type="dxa" w:w="90"/>
              <w:bottom w:type="dxa" w:w="50"/>
              <w:right w:type="dxa" w:w="90"/>
            </w:tcMar>
          </w:tcPr>
          <w:p>
            <w:pPr>
              <w:jc w:val="center"/>
            </w:pPr>
            <w:r>
              <w:rPr>
                <w:b w:val="false"/>
                <w:bCs w:val="false"/>
                <w:sz w:val="18"/>
                <w:szCs w:val="18"/>
              </w:rPr>
              <w:t xml:space="preserve">−1.13 (0.09)</w:t>
            </w:r>
          </w:p>
        </w:tc>
        <w:tc>
          <w:tcPr>
            <w:tcW w:type="dxa" w:w="1600"/>
            <w:tcMar>
              <w:top w:type="dxa" w:w="50"/>
              <w:left w:type="dxa" w:w="90"/>
              <w:bottom w:type="dxa" w:w="50"/>
              <w:right w:type="dxa" w:w="90"/>
            </w:tcMar>
          </w:tcPr>
          <w:p>
            <w:pPr>
              <w:jc w:val="center"/>
            </w:pPr>
            <w:r>
              <w:rPr>
                <w:b w:val="false"/>
                <w:bCs w:val="false"/>
                <w:sz w:val="18"/>
                <w:szCs w:val="18"/>
              </w:rPr>
              <w:t xml:space="preserve">+11.02 (0.03)</w:t>
            </w:r>
          </w:p>
        </w:tc>
        <w:tc>
          <w:tcPr>
            <w:tcW w:type="dxa" w:w="1600"/>
            <w:tcMar>
              <w:top w:type="dxa" w:w="50"/>
              <w:left w:type="dxa" w:w="90"/>
              <w:bottom w:type="dxa" w:w="50"/>
              <w:right w:type="dxa" w:w="90"/>
            </w:tcMar>
          </w:tcPr>
          <w:p>
            <w:pPr>
              <w:jc w:val="center"/>
            </w:pPr>
            <w:r>
              <w:rPr>
                <w:b w:val="false"/>
                <w:bCs w:val="false"/>
                <w:sz w:val="18"/>
                <w:szCs w:val="18"/>
              </w:rPr>
              <w:t xml:space="preserve">−10.72 (0.11)</w:t>
            </w:r>
          </w:p>
        </w:tc>
      </w:tr>
    </w:tbl>
    <w:p>
      <w:pPr>
        <w:spacing w:after="220" w:before="60"/>
      </w:pPr>
      <w:r>
        <w:rPr>
          <w:i/>
          <w:iCs/>
          <w:color w:val="444444"/>
          <w:sz w:val="17"/>
          <w:szCs w:val="17"/>
        </w:rPr>
        <w:t xml:space="preserve">Partial-restriction states are the nine identified by the law-by-law check (Table 1 note).</w:t>
      </w:r>
    </w:p>
    <w:p>
      <w:pPr>
        <w:pStyle w:val="Heading1"/>
      </w:pPr>
      <w:r>
        <w:t xml:space="preserve">7. Follow-up checks</w:t>
      </w:r>
    </w:p>
    <w:p>
      <w:pPr>
        <w:pStyle w:val="Heading2"/>
      </w:pPr>
      <w:r>
        <w:t xml:space="preserve">7.1 Stress-testing the Illinois synthetic control</w:t>
      </w:r>
    </w:p>
    <w:p>
      <w:pPr>
        <w:spacing w:after="140" w:line="276"/>
      </w:pPr>
      <w:r>
        <w:t xml:space="preserve">The Illinois gap depends on which states make up synthetic Illinois (Table 6, Figure 5). Mississippi carries the largest weight (0.23); dropping it alone cuts the post-2015 gap from 2.8 to 0.7 points, and excluding Southern donors erases it (−0.6 points, p = 0.35). With Midwestern and Northeastern donors only, the gap is +1.0 points (p = 0.26), and across the leave-one-out fits it ranges from 0.7 to 3.5 points. An in-time placebo that pretends Illinois repealed in 2008, using only data through 2014, produces a −1.1-point gap that is also nominally significant (p = 0.05): the placebo-rank test flags Illinois even when nothing happened, so it overstates the evidence for this state. The original Illinois result reflects a post-2015 decline in a few Southern donor states, not a change in Illinois.</w:t>
      </w:r>
    </w:p>
    <w:p>
      <w:pPr>
        <w:keepNext/>
        <w:spacing w:after="80" w:before="200"/>
      </w:pPr>
      <w:r>
        <w:rPr>
          <w:b/>
          <w:bCs/>
          <w:sz w:val="20"/>
          <w:szCs w:val="20"/>
        </w:rPr>
        <w:t xml:space="preserve">Table 6. Illinois synthetic control under alternative specifications (impaired share, percentage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900"/>
        <w:gridCol w:w="900"/>
        <w:gridCol w:w="950"/>
        <w:gridCol w:w="850"/>
        <w:gridCol w:w="2900"/>
      </w:tblGrid>
      <w:tr>
        <w:trPr>
          <w:tblHeader/>
        </w:trPr>
        <w:tc>
          <w:tcPr>
            <w:tcW w:type="dxa" w:w="2860"/>
            <w:shd w:fill="DCE6F1" w:color="auto" w:val="clear"/>
            <w:tcMar>
              <w:top w:type="dxa" w:w="50"/>
              <w:left w:type="dxa" w:w="90"/>
              <w:bottom w:type="dxa" w:w="50"/>
              <w:right w:type="dxa" w:w="90"/>
            </w:tcMar>
          </w:tcPr>
          <w:p>
            <w:pPr>
              <w:jc w:val="left"/>
            </w:pPr>
            <w:r>
              <w:rPr>
                <w:b/>
                <w:bCs/>
                <w:sz w:val="18"/>
                <w:szCs w:val="18"/>
              </w:rPr>
              <w:t xml:space="preserve">Specification</w:t>
            </w:r>
          </w:p>
        </w:tc>
        <w:tc>
          <w:tcPr>
            <w:tcW w:type="dxa" w:w="900"/>
            <w:shd w:fill="DCE6F1" w:color="auto" w:val="clear"/>
            <w:tcMar>
              <w:top w:type="dxa" w:w="50"/>
              <w:left w:type="dxa" w:w="90"/>
              <w:bottom w:type="dxa" w:w="50"/>
              <w:right w:type="dxa" w:w="90"/>
            </w:tcMar>
          </w:tcPr>
          <w:p>
            <w:pPr>
              <w:jc w:val="center"/>
            </w:pPr>
            <w:r>
              <w:rPr>
                <w:b/>
                <w:bCs/>
                <w:sz w:val="18"/>
                <w:szCs w:val="18"/>
              </w:rPr>
              <w:t xml:space="preserve">Pre-fit RMSPE</w:t>
            </w:r>
          </w:p>
        </w:tc>
        <w:tc>
          <w:tcPr>
            <w:tcW w:type="dxa" w:w="900"/>
            <w:shd w:fill="DCE6F1" w:color="auto" w:val="clear"/>
            <w:tcMar>
              <w:top w:type="dxa" w:w="50"/>
              <w:left w:type="dxa" w:w="90"/>
              <w:bottom w:type="dxa" w:w="50"/>
              <w:right w:type="dxa" w:w="90"/>
            </w:tcMar>
          </w:tcPr>
          <w:p>
            <w:pPr>
              <w:jc w:val="center"/>
            </w:pPr>
            <w:r>
              <w:rPr>
                <w:b/>
                <w:bCs/>
                <w:sz w:val="18"/>
                <w:szCs w:val="18"/>
              </w:rPr>
              <w:t xml:space="preserve">Post gap</w:t>
            </w:r>
          </w:p>
        </w:tc>
        <w:tc>
          <w:tcPr>
            <w:tcW w:type="dxa" w:w="950"/>
            <w:shd w:fill="DCE6F1" w:color="auto" w:val="clear"/>
            <w:tcMar>
              <w:top w:type="dxa" w:w="50"/>
              <w:left w:type="dxa" w:w="90"/>
              <w:bottom w:type="dxa" w:w="50"/>
              <w:right w:type="dxa" w:w="90"/>
            </w:tcMar>
          </w:tcPr>
          <w:p>
            <w:pPr>
              <w:jc w:val="center"/>
            </w:pPr>
            <w:r>
              <w:rPr>
                <w:b/>
                <w:bCs/>
                <w:sz w:val="18"/>
                <w:szCs w:val="18"/>
              </w:rPr>
              <w:t xml:space="preserve">First six years</w:t>
            </w:r>
          </w:p>
        </w:tc>
        <w:tc>
          <w:tcPr>
            <w:tcW w:type="dxa" w:w="850"/>
            <w:shd w:fill="DCE6F1" w:color="auto" w:val="clear"/>
            <w:tcMar>
              <w:top w:type="dxa" w:w="50"/>
              <w:left w:type="dxa" w:w="90"/>
              <w:bottom w:type="dxa" w:w="50"/>
              <w:right w:type="dxa" w:w="90"/>
            </w:tcMar>
          </w:tcPr>
          <w:p>
            <w:pPr>
              <w:jc w:val="center"/>
            </w:pPr>
            <w:r>
              <w:rPr>
                <w:b/>
                <w:bCs/>
                <w:sz w:val="18"/>
                <w:szCs w:val="18"/>
              </w:rPr>
              <w:t xml:space="preserve">Placebo p</w:t>
            </w:r>
          </w:p>
        </w:tc>
        <w:tc>
          <w:tcPr>
            <w:tcW w:type="dxa" w:w="2900"/>
            <w:shd w:fill="DCE6F1" w:color="auto" w:val="clear"/>
            <w:tcMar>
              <w:top w:type="dxa" w:w="50"/>
              <w:left w:type="dxa" w:w="90"/>
              <w:bottom w:type="dxa" w:w="50"/>
              <w:right w:type="dxa" w:w="90"/>
            </w:tcMar>
          </w:tcPr>
          <w:p>
            <w:pPr>
              <w:jc w:val="center"/>
            </w:pPr>
            <w:r>
              <w:rPr>
                <w:b/>
                <w:bCs/>
                <w:sz w:val="18"/>
                <w:szCs w:val="18"/>
              </w:rPr>
              <w:t xml:space="preserve">Largest donor weights</w:t>
            </w:r>
          </w:p>
        </w:tc>
      </w:tr>
      <w:tr>
        <w:tc>
          <w:tcPr>
            <w:tcW w:type="dxa" w:w="2860"/>
            <w:tcMar>
              <w:top w:type="dxa" w:w="50"/>
              <w:left w:type="dxa" w:w="90"/>
              <w:bottom w:type="dxa" w:w="50"/>
              <w:right w:type="dxa" w:w="90"/>
            </w:tcMar>
          </w:tcPr>
          <w:p>
            <w:pPr>
              <w:jc w:val="left"/>
            </w:pPr>
            <w:r>
              <w:rPr>
                <w:b w:val="false"/>
                <w:bCs w:val="false"/>
                <w:sz w:val="18"/>
                <w:szCs w:val="18"/>
              </w:rPr>
              <w:t xml:space="preserve">Base: 36 donors with 200+ deaths a year</w:t>
            </w:r>
          </w:p>
        </w:tc>
        <w:tc>
          <w:tcPr>
            <w:tcW w:type="dxa" w:w="900"/>
            <w:tcMar>
              <w:top w:type="dxa" w:w="50"/>
              <w:left w:type="dxa" w:w="90"/>
              <w:bottom w:type="dxa" w:w="50"/>
              <w:right w:type="dxa" w:w="90"/>
            </w:tcMar>
          </w:tcPr>
          <w:p>
            <w:pPr>
              <w:jc w:val="center"/>
            </w:pPr>
            <w:r>
              <w:rPr>
                <w:b w:val="false"/>
                <w:bCs w:val="false"/>
                <w:sz w:val="18"/>
                <w:szCs w:val="18"/>
              </w:rPr>
              <w:t xml:space="preserve">0.54</w:t>
            </w:r>
          </w:p>
        </w:tc>
        <w:tc>
          <w:tcPr>
            <w:tcW w:type="dxa" w:w="900"/>
            <w:tcMar>
              <w:top w:type="dxa" w:w="50"/>
              <w:left w:type="dxa" w:w="90"/>
              <w:bottom w:type="dxa" w:w="50"/>
              <w:right w:type="dxa" w:w="90"/>
            </w:tcMar>
          </w:tcPr>
          <w:p>
            <w:pPr>
              <w:jc w:val="center"/>
            </w:pPr>
            <w:r>
              <w:rPr>
                <w:b w:val="false"/>
                <w:bCs w:val="false"/>
                <w:sz w:val="18"/>
                <w:szCs w:val="18"/>
              </w:rPr>
              <w:t xml:space="preserve">+2.78</w:t>
            </w:r>
          </w:p>
        </w:tc>
        <w:tc>
          <w:tcPr>
            <w:tcW w:type="dxa" w:w="950"/>
            <w:tcMar>
              <w:top w:type="dxa" w:w="50"/>
              <w:left w:type="dxa" w:w="90"/>
              <w:bottom w:type="dxa" w:w="50"/>
              <w:right w:type="dxa" w:w="90"/>
            </w:tcMar>
          </w:tcPr>
          <w:p>
            <w:pPr>
              <w:jc w:val="center"/>
            </w:pPr>
            <w:r>
              <w:rPr>
                <w:b w:val="false"/>
                <w:bCs w:val="false"/>
                <w:sz w:val="18"/>
                <w:szCs w:val="18"/>
              </w:rPr>
              <w:t xml:space="preserve">+3.33</w:t>
            </w:r>
          </w:p>
        </w:tc>
        <w:tc>
          <w:tcPr>
            <w:tcW w:type="dxa" w:w="850"/>
            <w:tcMar>
              <w:top w:type="dxa" w:w="50"/>
              <w:left w:type="dxa" w:w="90"/>
              <w:bottom w:type="dxa" w:w="50"/>
              <w:right w:type="dxa" w:w="90"/>
            </w:tcMar>
          </w:tcPr>
          <w:p>
            <w:pPr>
              <w:jc w:val="center"/>
            </w:pPr>
            <w:r>
              <w:rPr>
                <w:b w:val="false"/>
                <w:bCs w:val="false"/>
                <w:sz w:val="18"/>
                <w:szCs w:val="18"/>
              </w:rPr>
              <w:t xml:space="preserve">0.03</w:t>
            </w:r>
          </w:p>
        </w:tc>
        <w:tc>
          <w:tcPr>
            <w:tcW w:type="dxa" w:w="2900"/>
            <w:tcMar>
              <w:top w:type="dxa" w:w="50"/>
              <w:left w:type="dxa" w:w="90"/>
              <w:bottom w:type="dxa" w:w="50"/>
              <w:right w:type="dxa" w:w="90"/>
            </w:tcMar>
          </w:tcPr>
          <w:p>
            <w:pPr>
              <w:jc w:val="left"/>
            </w:pPr>
            <w:r>
              <w:rPr>
                <w:b w:val="false"/>
                <w:bCs w:val="false"/>
                <w:sz w:val="18"/>
                <w:szCs w:val="18"/>
              </w:rPr>
              <w:t xml:space="preserve">MS 0.23, MA 0.15, LA 0.14, WA 0.12, SC 0.08, OH 0.07, NV 0.07, TN 0.06, PA 0.06</w:t>
            </w:r>
          </w:p>
        </w:tc>
      </w:tr>
      <w:tr>
        <w:tc>
          <w:tcPr>
            <w:tcW w:type="dxa" w:w="2860"/>
            <w:tcMar>
              <w:top w:type="dxa" w:w="50"/>
              <w:left w:type="dxa" w:w="90"/>
              <w:bottom w:type="dxa" w:w="50"/>
              <w:right w:type="dxa" w:w="90"/>
            </w:tcMar>
          </w:tcPr>
          <w:p>
            <w:pPr>
              <w:jc w:val="left"/>
            </w:pPr>
            <w:r>
              <w:rPr>
                <w:b w:val="false"/>
                <w:bCs w:val="false"/>
                <w:sz w:val="18"/>
                <w:szCs w:val="18"/>
              </w:rPr>
              <w:t xml:space="preserve">All never-treated states, no size filter (47 donors)</w:t>
            </w:r>
          </w:p>
        </w:tc>
        <w:tc>
          <w:tcPr>
            <w:tcW w:type="dxa" w:w="900"/>
            <w:tcMar>
              <w:top w:type="dxa" w:w="50"/>
              <w:left w:type="dxa" w:w="90"/>
              <w:bottom w:type="dxa" w:w="50"/>
              <w:right w:type="dxa" w:w="90"/>
            </w:tcMar>
          </w:tcPr>
          <w:p>
            <w:pPr>
              <w:jc w:val="center"/>
            </w:pPr>
            <w:r>
              <w:rPr>
                <w:b w:val="false"/>
                <w:bCs w:val="false"/>
                <w:sz w:val="18"/>
                <w:szCs w:val="18"/>
              </w:rPr>
              <w:t xml:space="preserve">0.53</w:t>
            </w:r>
          </w:p>
        </w:tc>
        <w:tc>
          <w:tcPr>
            <w:tcW w:type="dxa" w:w="900"/>
            <w:tcMar>
              <w:top w:type="dxa" w:w="50"/>
              <w:left w:type="dxa" w:w="90"/>
              <w:bottom w:type="dxa" w:w="50"/>
              <w:right w:type="dxa" w:w="90"/>
            </w:tcMar>
          </w:tcPr>
          <w:p>
            <w:pPr>
              <w:jc w:val="center"/>
            </w:pPr>
            <w:r>
              <w:rPr>
                <w:b w:val="false"/>
                <w:bCs w:val="false"/>
                <w:sz w:val="18"/>
                <w:szCs w:val="18"/>
              </w:rPr>
              <w:t xml:space="preserve">+2.71</w:t>
            </w:r>
          </w:p>
        </w:tc>
        <w:tc>
          <w:tcPr>
            <w:tcW w:type="dxa" w:w="950"/>
            <w:tcMar>
              <w:top w:type="dxa" w:w="50"/>
              <w:left w:type="dxa" w:w="90"/>
              <w:bottom w:type="dxa" w:w="50"/>
              <w:right w:type="dxa" w:w="90"/>
            </w:tcMar>
          </w:tcPr>
          <w:p>
            <w:pPr>
              <w:jc w:val="center"/>
            </w:pPr>
            <w:r>
              <w:rPr>
                <w:b w:val="false"/>
                <w:bCs w:val="false"/>
                <w:sz w:val="18"/>
                <w:szCs w:val="18"/>
              </w:rPr>
              <w:t xml:space="preserve">+3.15</w:t>
            </w:r>
          </w:p>
        </w:tc>
        <w:tc>
          <w:tcPr>
            <w:tcW w:type="dxa" w:w="850"/>
            <w:tcMar>
              <w:top w:type="dxa" w:w="50"/>
              <w:left w:type="dxa" w:w="90"/>
              <w:bottom w:type="dxa" w:w="50"/>
              <w:right w:type="dxa" w:w="90"/>
            </w:tcMar>
          </w:tcPr>
          <w:p>
            <w:pPr>
              <w:jc w:val="center"/>
            </w:pPr>
            <w:r>
              <w:rPr>
                <w:b w:val="false"/>
                <w:bCs w:val="false"/>
                <w:sz w:val="18"/>
                <w:szCs w:val="18"/>
              </w:rPr>
              <w:t xml:space="preserve">0.04</w:t>
            </w:r>
          </w:p>
        </w:tc>
        <w:tc>
          <w:tcPr>
            <w:tcW w:type="dxa" w:w="2900"/>
            <w:tcMar>
              <w:top w:type="dxa" w:w="50"/>
              <w:left w:type="dxa" w:w="90"/>
              <w:bottom w:type="dxa" w:w="50"/>
              <w:right w:type="dxa" w:w="90"/>
            </w:tcMar>
          </w:tcPr>
          <w:p>
            <w:pPr>
              <w:jc w:val="left"/>
            </w:pPr>
            <w:r>
              <w:rPr>
                <w:b w:val="false"/>
                <w:bCs w:val="false"/>
                <w:sz w:val="18"/>
                <w:szCs w:val="18"/>
              </w:rPr>
              <w:t xml:space="preserve">MS 0.25, MA 0.13, PA 0.12, SC 0.08, WA 0.08, NV 0.07, LA 0.07, OH 0.06</w:t>
            </w:r>
          </w:p>
        </w:tc>
      </w:tr>
      <w:tr>
        <w:tc>
          <w:tcPr>
            <w:tcW w:type="dxa" w:w="2860"/>
            <w:tcMar>
              <w:top w:type="dxa" w:w="50"/>
              <w:left w:type="dxa" w:w="90"/>
              <w:bottom w:type="dxa" w:w="50"/>
              <w:right w:type="dxa" w:w="90"/>
            </w:tcMar>
          </w:tcPr>
          <w:p>
            <w:pPr>
              <w:jc w:val="left"/>
            </w:pPr>
            <w:r>
              <w:rPr>
                <w:b w:val="false"/>
                <w:bCs w:val="false"/>
                <w:sz w:val="18"/>
                <w:szCs w:val="18"/>
              </w:rPr>
              <w:t xml:space="preserve">Large states only (500+ deaths a year) (25 donors)</w:t>
            </w:r>
          </w:p>
        </w:tc>
        <w:tc>
          <w:tcPr>
            <w:tcW w:type="dxa" w:w="900"/>
            <w:tcMar>
              <w:top w:type="dxa" w:w="50"/>
              <w:left w:type="dxa" w:w="90"/>
              <w:bottom w:type="dxa" w:w="50"/>
              <w:right w:type="dxa" w:w="90"/>
            </w:tcMar>
          </w:tcPr>
          <w:p>
            <w:pPr>
              <w:jc w:val="center"/>
            </w:pPr>
            <w:r>
              <w:rPr>
                <w:b w:val="false"/>
                <w:bCs w:val="false"/>
                <w:sz w:val="18"/>
                <w:szCs w:val="18"/>
              </w:rPr>
              <w:t xml:space="preserve">0.63</w:t>
            </w:r>
          </w:p>
        </w:tc>
        <w:tc>
          <w:tcPr>
            <w:tcW w:type="dxa" w:w="900"/>
            <w:tcMar>
              <w:top w:type="dxa" w:w="50"/>
              <w:left w:type="dxa" w:w="90"/>
              <w:bottom w:type="dxa" w:w="50"/>
              <w:right w:type="dxa" w:w="90"/>
            </w:tcMar>
          </w:tcPr>
          <w:p>
            <w:pPr>
              <w:jc w:val="center"/>
            </w:pPr>
            <w:r>
              <w:rPr>
                <w:b w:val="false"/>
                <w:bCs w:val="false"/>
                <w:sz w:val="18"/>
                <w:szCs w:val="18"/>
              </w:rPr>
              <w:t xml:space="preserve">+3.13</w:t>
            </w:r>
          </w:p>
        </w:tc>
        <w:tc>
          <w:tcPr>
            <w:tcW w:type="dxa" w:w="950"/>
            <w:tcMar>
              <w:top w:type="dxa" w:w="50"/>
              <w:left w:type="dxa" w:w="90"/>
              <w:bottom w:type="dxa" w:w="50"/>
              <w:right w:type="dxa" w:w="90"/>
            </w:tcMar>
          </w:tcPr>
          <w:p>
            <w:pPr>
              <w:jc w:val="center"/>
            </w:pPr>
            <w:r>
              <w:rPr>
                <w:b w:val="false"/>
                <w:bCs w:val="false"/>
                <w:sz w:val="18"/>
                <w:szCs w:val="18"/>
              </w:rPr>
              <w:t xml:space="preserve">+3.95</w:t>
            </w:r>
          </w:p>
        </w:tc>
        <w:tc>
          <w:tcPr>
            <w:tcW w:type="dxa" w:w="850"/>
            <w:tcMar>
              <w:top w:type="dxa" w:w="50"/>
              <w:left w:type="dxa" w:w="90"/>
              <w:bottom w:type="dxa" w:w="50"/>
              <w:right w:type="dxa" w:w="90"/>
            </w:tcMar>
          </w:tcPr>
          <w:p>
            <w:pPr>
              <w:jc w:val="center"/>
            </w:pPr>
            <w:r>
              <w:rPr>
                <w:b w:val="false"/>
                <w:bCs w:val="false"/>
                <w:sz w:val="18"/>
                <w:szCs w:val="18"/>
              </w:rPr>
              <w:t xml:space="preserve">0.04</w:t>
            </w:r>
          </w:p>
        </w:tc>
        <w:tc>
          <w:tcPr>
            <w:tcW w:type="dxa" w:w="2900"/>
            <w:tcMar>
              <w:top w:type="dxa" w:w="50"/>
              <w:left w:type="dxa" w:w="90"/>
              <w:bottom w:type="dxa" w:w="50"/>
              <w:right w:type="dxa" w:w="90"/>
            </w:tcMar>
          </w:tcPr>
          <w:p>
            <w:pPr>
              <w:jc w:val="left"/>
            </w:pPr>
            <w:r>
              <w:rPr>
                <w:b w:val="false"/>
                <w:bCs w:val="false"/>
                <w:sz w:val="18"/>
                <w:szCs w:val="18"/>
              </w:rPr>
              <w:t xml:space="preserve">MS 0.24, LA 0.21, TN 0.14, SC 0.10, TX 0.10, OH 0.10, PA 0.06</w:t>
            </w:r>
          </w:p>
        </w:tc>
      </w:tr>
      <w:tr>
        <w:tc>
          <w:tcPr>
            <w:tcW w:type="dxa" w:w="2860"/>
            <w:tcMar>
              <w:top w:type="dxa" w:w="50"/>
              <w:left w:type="dxa" w:w="90"/>
              <w:bottom w:type="dxa" w:w="50"/>
              <w:right w:type="dxa" w:w="90"/>
            </w:tcMar>
          </w:tcPr>
          <w:p>
            <w:pPr>
              <w:jc w:val="left"/>
            </w:pPr>
            <w:r>
              <w:rPr>
                <w:b w:val="false"/>
                <w:bCs w:val="false"/>
                <w:sz w:val="18"/>
                <w:szCs w:val="18"/>
              </w:rPr>
              <w:t xml:space="preserve">No Southern states (22 donors)</w:t>
            </w:r>
          </w:p>
        </w:tc>
        <w:tc>
          <w:tcPr>
            <w:tcW w:type="dxa" w:w="900"/>
            <w:tcMar>
              <w:top w:type="dxa" w:w="50"/>
              <w:left w:type="dxa" w:w="90"/>
              <w:bottom w:type="dxa" w:w="50"/>
              <w:right w:type="dxa" w:w="90"/>
            </w:tcMar>
          </w:tcPr>
          <w:p>
            <w:pPr>
              <w:jc w:val="center"/>
            </w:pPr>
            <w:r>
              <w:rPr>
                <w:b w:val="false"/>
                <w:bCs w:val="false"/>
                <w:sz w:val="18"/>
                <w:szCs w:val="18"/>
              </w:rPr>
              <w:t xml:space="preserve">0.72</w:t>
            </w:r>
          </w:p>
        </w:tc>
        <w:tc>
          <w:tcPr>
            <w:tcW w:type="dxa" w:w="900"/>
            <w:tcMar>
              <w:top w:type="dxa" w:w="50"/>
              <w:left w:type="dxa" w:w="90"/>
              <w:bottom w:type="dxa" w:w="50"/>
              <w:right w:type="dxa" w:w="90"/>
            </w:tcMar>
          </w:tcPr>
          <w:p>
            <w:pPr>
              <w:jc w:val="center"/>
            </w:pPr>
            <w:r>
              <w:rPr>
                <w:b w:val="false"/>
                <w:bCs w:val="false"/>
                <w:sz w:val="18"/>
                <w:szCs w:val="18"/>
              </w:rPr>
              <w:t xml:space="preserve">−0.61</w:t>
            </w:r>
          </w:p>
        </w:tc>
        <w:tc>
          <w:tcPr>
            <w:tcW w:type="dxa" w:w="950"/>
            <w:tcMar>
              <w:top w:type="dxa" w:w="50"/>
              <w:left w:type="dxa" w:w="90"/>
              <w:bottom w:type="dxa" w:w="50"/>
              <w:right w:type="dxa" w:w="90"/>
            </w:tcMar>
          </w:tcPr>
          <w:p>
            <w:pPr>
              <w:jc w:val="center"/>
            </w:pPr>
            <w:r>
              <w:rPr>
                <w:b w:val="false"/>
                <w:bCs w:val="false"/>
                <w:sz w:val="18"/>
                <w:szCs w:val="18"/>
              </w:rPr>
              <w:t xml:space="preserve">−0.22</w:t>
            </w:r>
          </w:p>
        </w:tc>
        <w:tc>
          <w:tcPr>
            <w:tcW w:type="dxa" w:w="850"/>
            <w:tcMar>
              <w:top w:type="dxa" w:w="50"/>
              <w:left w:type="dxa" w:w="90"/>
              <w:bottom w:type="dxa" w:w="50"/>
              <w:right w:type="dxa" w:w="90"/>
            </w:tcMar>
          </w:tcPr>
          <w:p>
            <w:pPr>
              <w:jc w:val="center"/>
            </w:pPr>
            <w:r>
              <w:rPr>
                <w:b w:val="false"/>
                <w:bCs w:val="false"/>
                <w:sz w:val="18"/>
                <w:szCs w:val="18"/>
              </w:rPr>
              <w:t xml:space="preserve">0.35</w:t>
            </w:r>
          </w:p>
        </w:tc>
        <w:tc>
          <w:tcPr>
            <w:tcW w:type="dxa" w:w="2900"/>
            <w:tcMar>
              <w:top w:type="dxa" w:w="50"/>
              <w:left w:type="dxa" w:w="90"/>
              <w:bottom w:type="dxa" w:w="50"/>
              <w:right w:type="dxa" w:w="90"/>
            </w:tcMar>
          </w:tcPr>
          <w:p>
            <w:pPr>
              <w:jc w:val="left"/>
            </w:pPr>
            <w:r>
              <w:rPr>
                <w:b w:val="false"/>
                <w:bCs w:val="false"/>
                <w:sz w:val="18"/>
                <w:szCs w:val="18"/>
              </w:rPr>
              <w:t xml:space="preserve">NV 0.25, WA 0.21, WI 0.17, MA 0.12, OR 0.11</w:t>
            </w:r>
          </w:p>
        </w:tc>
      </w:tr>
      <w:tr>
        <w:tc>
          <w:tcPr>
            <w:tcW w:type="dxa" w:w="2860"/>
            <w:tcMar>
              <w:top w:type="dxa" w:w="50"/>
              <w:left w:type="dxa" w:w="90"/>
              <w:bottom w:type="dxa" w:w="50"/>
              <w:right w:type="dxa" w:w="90"/>
            </w:tcMar>
          </w:tcPr>
          <w:p>
            <w:pPr>
              <w:jc w:val="left"/>
            </w:pPr>
            <w:r>
              <w:rPr>
                <w:b w:val="false"/>
                <w:bCs w:val="false"/>
                <w:sz w:val="18"/>
                <w:szCs w:val="18"/>
              </w:rPr>
              <w:t xml:space="preserve">Midwest and Northeast only (18 donors)</w:t>
            </w:r>
          </w:p>
        </w:tc>
        <w:tc>
          <w:tcPr>
            <w:tcW w:type="dxa" w:w="900"/>
            <w:tcMar>
              <w:top w:type="dxa" w:w="50"/>
              <w:left w:type="dxa" w:w="90"/>
              <w:bottom w:type="dxa" w:w="50"/>
              <w:right w:type="dxa" w:w="90"/>
            </w:tcMar>
          </w:tcPr>
          <w:p>
            <w:pPr>
              <w:jc w:val="center"/>
            </w:pPr>
            <w:r>
              <w:rPr>
                <w:b w:val="false"/>
                <w:bCs w:val="false"/>
                <w:sz w:val="18"/>
                <w:szCs w:val="18"/>
              </w:rPr>
              <w:t xml:space="preserve">0.90</w:t>
            </w:r>
          </w:p>
        </w:tc>
        <w:tc>
          <w:tcPr>
            <w:tcW w:type="dxa" w:w="900"/>
            <w:tcMar>
              <w:top w:type="dxa" w:w="50"/>
              <w:left w:type="dxa" w:w="90"/>
              <w:bottom w:type="dxa" w:w="50"/>
              <w:right w:type="dxa" w:w="90"/>
            </w:tcMar>
          </w:tcPr>
          <w:p>
            <w:pPr>
              <w:jc w:val="center"/>
            </w:pPr>
            <w:r>
              <w:rPr>
                <w:b w:val="false"/>
                <w:bCs w:val="false"/>
                <w:sz w:val="18"/>
                <w:szCs w:val="18"/>
              </w:rPr>
              <w:t xml:space="preserve">+0.96</w:t>
            </w:r>
          </w:p>
        </w:tc>
        <w:tc>
          <w:tcPr>
            <w:tcW w:type="dxa" w:w="950"/>
            <w:tcMar>
              <w:top w:type="dxa" w:w="50"/>
              <w:left w:type="dxa" w:w="90"/>
              <w:bottom w:type="dxa" w:w="50"/>
              <w:right w:type="dxa" w:w="90"/>
            </w:tcMar>
          </w:tcPr>
          <w:p>
            <w:pPr>
              <w:jc w:val="center"/>
            </w:pPr>
            <w:r>
              <w:rPr>
                <w:b w:val="false"/>
                <w:bCs w:val="false"/>
                <w:sz w:val="18"/>
                <w:szCs w:val="18"/>
              </w:rPr>
              <w:t xml:space="preserve">+0.64</w:t>
            </w:r>
          </w:p>
        </w:tc>
        <w:tc>
          <w:tcPr>
            <w:tcW w:type="dxa" w:w="850"/>
            <w:tcMar>
              <w:top w:type="dxa" w:w="50"/>
              <w:left w:type="dxa" w:w="90"/>
              <w:bottom w:type="dxa" w:w="50"/>
              <w:right w:type="dxa" w:w="90"/>
            </w:tcMar>
          </w:tcPr>
          <w:p>
            <w:pPr>
              <w:jc w:val="center"/>
            </w:pPr>
            <w:r>
              <w:rPr>
                <w:b w:val="false"/>
                <w:bCs w:val="false"/>
                <w:sz w:val="18"/>
                <w:szCs w:val="18"/>
              </w:rPr>
              <w:t xml:space="preserve">0.26</w:t>
            </w:r>
          </w:p>
        </w:tc>
        <w:tc>
          <w:tcPr>
            <w:tcW w:type="dxa" w:w="2900"/>
            <w:tcMar>
              <w:top w:type="dxa" w:w="50"/>
              <w:left w:type="dxa" w:w="90"/>
              <w:bottom w:type="dxa" w:w="50"/>
              <w:right w:type="dxa" w:w="90"/>
            </w:tcMar>
          </w:tcPr>
          <w:p>
            <w:pPr>
              <w:jc w:val="left"/>
            </w:pPr>
            <w:r>
              <w:rPr>
                <w:b w:val="false"/>
                <w:bCs w:val="false"/>
                <w:sz w:val="18"/>
                <w:szCs w:val="18"/>
              </w:rPr>
              <w:t xml:space="preserve">PA 0.27, WI 0.17, SD 0.11, ND 0.10, NY 0.10, MA 0.09, IA 0.06</w:t>
            </w:r>
          </w:p>
        </w:tc>
      </w:tr>
      <w:tr>
        <w:tc>
          <w:tcPr>
            <w:tcW w:type="dxa" w:w="2860"/>
            <w:tcMar>
              <w:top w:type="dxa" w:w="50"/>
              <w:left w:type="dxa" w:w="90"/>
              <w:bottom w:type="dxa" w:w="50"/>
              <w:right w:type="dxa" w:w="90"/>
            </w:tcMar>
          </w:tcPr>
          <w:p>
            <w:pPr>
              <w:jc w:val="left"/>
            </w:pPr>
            <w:r>
              <w:rPr>
                <w:b w:val="false"/>
                <w:bCs w:val="false"/>
                <w:sz w:val="18"/>
                <w:szCs w:val="18"/>
              </w:rPr>
              <w:t xml:space="preserve">No always-banned states (33 donors)</w:t>
            </w:r>
          </w:p>
        </w:tc>
        <w:tc>
          <w:tcPr>
            <w:tcW w:type="dxa" w:w="900"/>
            <w:tcMar>
              <w:top w:type="dxa" w:w="50"/>
              <w:left w:type="dxa" w:w="90"/>
              <w:bottom w:type="dxa" w:w="50"/>
              <w:right w:type="dxa" w:w="90"/>
            </w:tcMar>
          </w:tcPr>
          <w:p>
            <w:pPr>
              <w:jc w:val="center"/>
            </w:pPr>
            <w:r>
              <w:rPr>
                <w:b w:val="false"/>
                <w:bCs w:val="false"/>
                <w:sz w:val="18"/>
                <w:szCs w:val="18"/>
              </w:rPr>
              <w:t xml:space="preserve">0.59</w:t>
            </w:r>
          </w:p>
        </w:tc>
        <w:tc>
          <w:tcPr>
            <w:tcW w:type="dxa" w:w="900"/>
            <w:tcMar>
              <w:top w:type="dxa" w:w="50"/>
              <w:left w:type="dxa" w:w="90"/>
              <w:bottom w:type="dxa" w:w="50"/>
              <w:right w:type="dxa" w:w="90"/>
            </w:tcMar>
          </w:tcPr>
          <w:p>
            <w:pPr>
              <w:jc w:val="center"/>
            </w:pPr>
            <w:r>
              <w:rPr>
                <w:b w:val="false"/>
                <w:bCs w:val="false"/>
                <w:sz w:val="18"/>
                <w:szCs w:val="18"/>
              </w:rPr>
              <w:t xml:space="preserve">+2.18</w:t>
            </w:r>
          </w:p>
        </w:tc>
        <w:tc>
          <w:tcPr>
            <w:tcW w:type="dxa" w:w="950"/>
            <w:tcMar>
              <w:top w:type="dxa" w:w="50"/>
              <w:left w:type="dxa" w:w="90"/>
              <w:bottom w:type="dxa" w:w="50"/>
              <w:right w:type="dxa" w:w="90"/>
            </w:tcMar>
          </w:tcPr>
          <w:p>
            <w:pPr>
              <w:jc w:val="center"/>
            </w:pPr>
            <w:r>
              <w:rPr>
                <w:b w:val="false"/>
                <w:bCs w:val="false"/>
                <w:sz w:val="18"/>
                <w:szCs w:val="18"/>
              </w:rPr>
              <w:t xml:space="preserve">+3.02</w:t>
            </w:r>
          </w:p>
        </w:tc>
        <w:tc>
          <w:tcPr>
            <w:tcW w:type="dxa" w:w="850"/>
            <w:tcMar>
              <w:top w:type="dxa" w:w="50"/>
              <w:left w:type="dxa" w:w="90"/>
              <w:bottom w:type="dxa" w:w="50"/>
              <w:right w:type="dxa" w:w="90"/>
            </w:tcMar>
          </w:tcPr>
          <w:p>
            <w:pPr>
              <w:jc w:val="center"/>
            </w:pPr>
            <w:r>
              <w:rPr>
                <w:b w:val="false"/>
                <w:bCs w:val="false"/>
                <w:sz w:val="18"/>
                <w:szCs w:val="18"/>
              </w:rPr>
              <w:t xml:space="preserve">0.09</w:t>
            </w:r>
          </w:p>
        </w:tc>
        <w:tc>
          <w:tcPr>
            <w:tcW w:type="dxa" w:w="2900"/>
            <w:tcMar>
              <w:top w:type="dxa" w:w="50"/>
              <w:left w:type="dxa" w:w="90"/>
              <w:bottom w:type="dxa" w:w="50"/>
              <w:right w:type="dxa" w:w="90"/>
            </w:tcMar>
          </w:tcPr>
          <w:p>
            <w:pPr>
              <w:jc w:val="left"/>
            </w:pPr>
            <w:r>
              <w:rPr>
                <w:b w:val="false"/>
                <w:bCs w:val="false"/>
                <w:sz w:val="18"/>
                <w:szCs w:val="18"/>
              </w:rPr>
              <w:t xml:space="preserve">MS 0.17, TN 0.12, NV 0.12, LA 0.11, SC 0.10, TX 0.09, PA 0.09, NE 0.05</w:t>
            </w:r>
          </w:p>
        </w:tc>
      </w:tr>
      <w:tr>
        <w:tc>
          <w:tcPr>
            <w:tcW w:type="dxa" w:w="2860"/>
            <w:tcMar>
              <w:top w:type="dxa" w:w="50"/>
              <w:left w:type="dxa" w:w="90"/>
              <w:bottom w:type="dxa" w:w="50"/>
              <w:right w:type="dxa" w:w="90"/>
            </w:tcMar>
          </w:tcPr>
          <w:p>
            <w:pPr>
              <w:jc w:val="left"/>
            </w:pPr>
            <w:r>
              <w:rPr>
                <w:b w:val="false"/>
                <w:bCs w:val="false"/>
                <w:sz w:val="18"/>
                <w:szCs w:val="18"/>
              </w:rPr>
              <w:t xml:space="preserve">Leave out MS (base weight 0.23)</w:t>
            </w:r>
          </w:p>
        </w:tc>
        <w:tc>
          <w:tcPr>
            <w:tcW w:type="dxa" w:w="900"/>
            <w:tcMar>
              <w:top w:type="dxa" w:w="50"/>
              <w:left w:type="dxa" w:w="90"/>
              <w:bottom w:type="dxa" w:w="50"/>
              <w:right w:type="dxa" w:w="90"/>
            </w:tcMar>
          </w:tcPr>
          <w:p>
            <w:pPr>
              <w:jc w:val="center"/>
            </w:pPr>
            <w:r>
              <w:rPr>
                <w:b w:val="false"/>
                <w:bCs w:val="false"/>
                <w:sz w:val="18"/>
                <w:szCs w:val="18"/>
              </w:rPr>
              <w:t xml:space="preserve">0.65</w:t>
            </w:r>
          </w:p>
        </w:tc>
        <w:tc>
          <w:tcPr>
            <w:tcW w:type="dxa" w:w="900"/>
            <w:tcMar>
              <w:top w:type="dxa" w:w="50"/>
              <w:left w:type="dxa" w:w="90"/>
              <w:bottom w:type="dxa" w:w="50"/>
              <w:right w:type="dxa" w:w="90"/>
            </w:tcMar>
          </w:tcPr>
          <w:p>
            <w:pPr>
              <w:jc w:val="center"/>
            </w:pPr>
            <w:r>
              <w:rPr>
                <w:b w:val="false"/>
                <w:bCs w:val="false"/>
                <w:sz w:val="18"/>
                <w:szCs w:val="18"/>
              </w:rPr>
              <w:t xml:space="preserve">+0.66</w:t>
            </w:r>
          </w:p>
        </w:tc>
        <w:tc>
          <w:tcPr>
            <w:tcW w:type="dxa" w:w="950"/>
            <w:tcMar>
              <w:top w:type="dxa" w:w="50"/>
              <w:left w:type="dxa" w:w="90"/>
              <w:bottom w:type="dxa" w:w="50"/>
              <w:right w:type="dxa" w:w="90"/>
            </w:tcMar>
          </w:tcPr>
          <w:p>
            <w:pPr>
              <w:jc w:val="center"/>
            </w:pPr>
            <w:r>
              <w:rPr>
                <w:b w:val="false"/>
                <w:bCs w:val="false"/>
                <w:sz w:val="18"/>
                <w:szCs w:val="18"/>
              </w:rPr>
              <w:t xml:space="preserve">+1.38</w:t>
            </w:r>
          </w:p>
        </w:tc>
        <w:tc>
          <w:tcPr>
            <w:tcW w:type="dxa" w:w="850"/>
            <w:tcMar>
              <w:top w:type="dxa" w:w="50"/>
              <w:left w:type="dxa" w:w="90"/>
              <w:bottom w:type="dxa" w:w="50"/>
              <w:right w:type="dxa" w:w="90"/>
            </w:tcMar>
          </w:tcPr>
          <w:p>
            <w:pPr>
              <w:jc w:val="center"/>
            </w:pPr>
            <w:r>
              <w:rPr>
                <w:b w:val="false"/>
                <w:bCs w:val="false"/>
                <w:sz w:val="18"/>
                <w:szCs w:val="18"/>
              </w:rPr>
              <w:t xml:space="preserve">–</w:t>
            </w:r>
          </w:p>
        </w:tc>
        <w:tc>
          <w:tcPr>
            <w:tcW w:type="dxa" w:w="2900"/>
            <w:tcMar>
              <w:top w:type="dxa" w:w="50"/>
              <w:left w:type="dxa" w:w="90"/>
              <w:bottom w:type="dxa" w:w="50"/>
              <w:right w:type="dxa" w:w="90"/>
            </w:tcMar>
          </w:tcPr>
          <w:p>
            <w:pPr>
              <w:jc w:val="left"/>
            </w:pPr>
            <w:r>
              <w:rPr>
                <w:b w:val="false"/>
                <w:bCs w:val="false"/>
                <w:sz w:val="18"/>
                <w:szCs w:val="18"/>
              </w:rPr>
              <w:t xml:space="preserve">NV 0.20, WA 0.14, LA 0.13, TN 0.10, SC 0.08, OR 0.07, NE 0.06, WI 0.06, MA 0.05, PA 0.05</w:t>
            </w:r>
          </w:p>
        </w:tc>
      </w:tr>
      <w:tr>
        <w:tc>
          <w:tcPr>
            <w:tcW w:type="dxa" w:w="2860"/>
            <w:tcMar>
              <w:top w:type="dxa" w:w="50"/>
              <w:left w:type="dxa" w:w="90"/>
              <w:bottom w:type="dxa" w:w="50"/>
              <w:right w:type="dxa" w:w="90"/>
            </w:tcMar>
          </w:tcPr>
          <w:p>
            <w:pPr>
              <w:jc w:val="left"/>
            </w:pPr>
            <w:r>
              <w:rPr>
                <w:b w:val="false"/>
                <w:bCs w:val="false"/>
                <w:sz w:val="18"/>
                <w:szCs w:val="18"/>
              </w:rPr>
              <w:t xml:space="preserve">Leave out MA (base weight 0.15)</w:t>
            </w:r>
          </w:p>
        </w:tc>
        <w:tc>
          <w:tcPr>
            <w:tcW w:type="dxa" w:w="900"/>
            <w:tcMar>
              <w:top w:type="dxa" w:w="50"/>
              <w:left w:type="dxa" w:w="90"/>
              <w:bottom w:type="dxa" w:w="50"/>
              <w:right w:type="dxa" w:w="90"/>
            </w:tcMar>
          </w:tcPr>
          <w:p>
            <w:pPr>
              <w:jc w:val="center"/>
            </w:pPr>
            <w:r>
              <w:rPr>
                <w:b w:val="false"/>
                <w:bCs w:val="false"/>
                <w:sz w:val="18"/>
                <w:szCs w:val="18"/>
              </w:rPr>
              <w:t xml:space="preserve">0.59</w:t>
            </w:r>
          </w:p>
        </w:tc>
        <w:tc>
          <w:tcPr>
            <w:tcW w:type="dxa" w:w="900"/>
            <w:tcMar>
              <w:top w:type="dxa" w:w="50"/>
              <w:left w:type="dxa" w:w="90"/>
              <w:bottom w:type="dxa" w:w="50"/>
              <w:right w:type="dxa" w:w="90"/>
            </w:tcMar>
          </w:tcPr>
          <w:p>
            <w:pPr>
              <w:jc w:val="center"/>
            </w:pPr>
            <w:r>
              <w:rPr>
                <w:b w:val="false"/>
                <w:bCs w:val="false"/>
                <w:sz w:val="18"/>
                <w:szCs w:val="18"/>
              </w:rPr>
              <w:t xml:space="preserve">+2.18</w:t>
            </w:r>
          </w:p>
        </w:tc>
        <w:tc>
          <w:tcPr>
            <w:tcW w:type="dxa" w:w="950"/>
            <w:tcMar>
              <w:top w:type="dxa" w:w="50"/>
              <w:left w:type="dxa" w:w="90"/>
              <w:bottom w:type="dxa" w:w="50"/>
              <w:right w:type="dxa" w:w="90"/>
            </w:tcMar>
          </w:tcPr>
          <w:p>
            <w:pPr>
              <w:jc w:val="center"/>
            </w:pPr>
            <w:r>
              <w:rPr>
                <w:b w:val="false"/>
                <w:bCs w:val="false"/>
                <w:sz w:val="18"/>
                <w:szCs w:val="18"/>
              </w:rPr>
              <w:t xml:space="preserve">+3.02</w:t>
            </w:r>
          </w:p>
        </w:tc>
        <w:tc>
          <w:tcPr>
            <w:tcW w:type="dxa" w:w="850"/>
            <w:tcMar>
              <w:top w:type="dxa" w:w="50"/>
              <w:left w:type="dxa" w:w="90"/>
              <w:bottom w:type="dxa" w:w="50"/>
              <w:right w:type="dxa" w:w="90"/>
            </w:tcMar>
          </w:tcPr>
          <w:p>
            <w:pPr>
              <w:jc w:val="center"/>
            </w:pPr>
            <w:r>
              <w:rPr>
                <w:b w:val="false"/>
                <w:bCs w:val="false"/>
                <w:sz w:val="18"/>
                <w:szCs w:val="18"/>
              </w:rPr>
              <w:t xml:space="preserve">–</w:t>
            </w:r>
          </w:p>
        </w:tc>
        <w:tc>
          <w:tcPr>
            <w:tcW w:type="dxa" w:w="2900"/>
            <w:tcMar>
              <w:top w:type="dxa" w:w="50"/>
              <w:left w:type="dxa" w:w="90"/>
              <w:bottom w:type="dxa" w:w="50"/>
              <w:right w:type="dxa" w:w="90"/>
            </w:tcMar>
          </w:tcPr>
          <w:p>
            <w:pPr>
              <w:jc w:val="left"/>
            </w:pPr>
            <w:r>
              <w:rPr>
                <w:b w:val="false"/>
                <w:bCs w:val="false"/>
                <w:sz w:val="18"/>
                <w:szCs w:val="18"/>
              </w:rPr>
              <w:t xml:space="preserve">MS 0.17, TN 0.12, NV 0.12, LA 0.11, SC 0.10, TX 0.09, PA 0.09, NE 0.05</w:t>
            </w:r>
          </w:p>
        </w:tc>
      </w:tr>
      <w:tr>
        <w:tc>
          <w:tcPr>
            <w:tcW w:type="dxa" w:w="2860"/>
            <w:tcMar>
              <w:top w:type="dxa" w:w="50"/>
              <w:left w:type="dxa" w:w="90"/>
              <w:bottom w:type="dxa" w:w="50"/>
              <w:right w:type="dxa" w:w="90"/>
            </w:tcMar>
          </w:tcPr>
          <w:p>
            <w:pPr>
              <w:jc w:val="left"/>
            </w:pPr>
            <w:r>
              <w:rPr>
                <w:b w:val="false"/>
                <w:bCs w:val="false"/>
                <w:sz w:val="18"/>
                <w:szCs w:val="18"/>
              </w:rPr>
              <w:t xml:space="preserve">Leave out LA (base weight 0.14)</w:t>
            </w:r>
          </w:p>
        </w:tc>
        <w:tc>
          <w:tcPr>
            <w:tcW w:type="dxa" w:w="900"/>
            <w:tcMar>
              <w:top w:type="dxa" w:w="50"/>
              <w:left w:type="dxa" w:w="90"/>
              <w:bottom w:type="dxa" w:w="50"/>
              <w:right w:type="dxa" w:w="90"/>
            </w:tcMar>
          </w:tcPr>
          <w:p>
            <w:pPr>
              <w:jc w:val="center"/>
            </w:pPr>
            <w:r>
              <w:rPr>
                <w:b w:val="false"/>
                <w:bCs w:val="false"/>
                <w:sz w:val="18"/>
                <w:szCs w:val="18"/>
              </w:rPr>
              <w:t xml:space="preserve">0.56</w:t>
            </w:r>
          </w:p>
        </w:tc>
        <w:tc>
          <w:tcPr>
            <w:tcW w:type="dxa" w:w="900"/>
            <w:tcMar>
              <w:top w:type="dxa" w:w="50"/>
              <w:left w:type="dxa" w:w="90"/>
              <w:bottom w:type="dxa" w:w="50"/>
              <w:right w:type="dxa" w:w="90"/>
            </w:tcMar>
          </w:tcPr>
          <w:p>
            <w:pPr>
              <w:jc w:val="center"/>
            </w:pPr>
            <w:r>
              <w:rPr>
                <w:b w:val="false"/>
                <w:bCs w:val="false"/>
                <w:sz w:val="18"/>
                <w:szCs w:val="18"/>
              </w:rPr>
              <w:t xml:space="preserve">+2.11</w:t>
            </w:r>
          </w:p>
        </w:tc>
        <w:tc>
          <w:tcPr>
            <w:tcW w:type="dxa" w:w="950"/>
            <w:tcMar>
              <w:top w:type="dxa" w:w="50"/>
              <w:left w:type="dxa" w:w="90"/>
              <w:bottom w:type="dxa" w:w="50"/>
              <w:right w:type="dxa" w:w="90"/>
            </w:tcMar>
          </w:tcPr>
          <w:p>
            <w:pPr>
              <w:jc w:val="center"/>
            </w:pPr>
            <w:r>
              <w:rPr>
                <w:b w:val="false"/>
                <w:bCs w:val="false"/>
                <w:sz w:val="18"/>
                <w:szCs w:val="18"/>
              </w:rPr>
              <w:t xml:space="preserve">+2.63</w:t>
            </w:r>
          </w:p>
        </w:tc>
        <w:tc>
          <w:tcPr>
            <w:tcW w:type="dxa" w:w="850"/>
            <w:tcMar>
              <w:top w:type="dxa" w:w="50"/>
              <w:left w:type="dxa" w:w="90"/>
              <w:bottom w:type="dxa" w:w="50"/>
              <w:right w:type="dxa" w:w="90"/>
            </w:tcMar>
          </w:tcPr>
          <w:p>
            <w:pPr>
              <w:jc w:val="center"/>
            </w:pPr>
            <w:r>
              <w:rPr>
                <w:b w:val="false"/>
                <w:bCs w:val="false"/>
                <w:sz w:val="18"/>
                <w:szCs w:val="18"/>
              </w:rPr>
              <w:t xml:space="preserve">–</w:t>
            </w:r>
          </w:p>
        </w:tc>
        <w:tc>
          <w:tcPr>
            <w:tcW w:type="dxa" w:w="2900"/>
            <w:tcMar>
              <w:top w:type="dxa" w:w="50"/>
              <w:left w:type="dxa" w:w="90"/>
              <w:bottom w:type="dxa" w:w="50"/>
              <w:right w:type="dxa" w:w="90"/>
            </w:tcMar>
          </w:tcPr>
          <w:p>
            <w:pPr>
              <w:jc w:val="left"/>
            </w:pPr>
            <w:r>
              <w:rPr>
                <w:b w:val="false"/>
                <w:bCs w:val="false"/>
                <w:sz w:val="18"/>
                <w:szCs w:val="18"/>
              </w:rPr>
              <w:t xml:space="preserve">MS 0.23, MA 0.14, WA 0.12, NV 0.12, PA 0.11, SC 0.07</w:t>
            </w:r>
          </w:p>
        </w:tc>
      </w:tr>
      <w:tr>
        <w:tc>
          <w:tcPr>
            <w:tcW w:type="dxa" w:w="2860"/>
            <w:tcMar>
              <w:top w:type="dxa" w:w="50"/>
              <w:left w:type="dxa" w:w="90"/>
              <w:bottom w:type="dxa" w:w="50"/>
              <w:right w:type="dxa" w:w="90"/>
            </w:tcMar>
          </w:tcPr>
          <w:p>
            <w:pPr>
              <w:jc w:val="left"/>
            </w:pPr>
            <w:r>
              <w:rPr>
                <w:b w:val="false"/>
                <w:bCs w:val="false"/>
                <w:sz w:val="18"/>
                <w:szCs w:val="18"/>
              </w:rPr>
              <w:t xml:space="preserve">Leave out WA (base weight 0.12)</w:t>
            </w:r>
          </w:p>
        </w:tc>
        <w:tc>
          <w:tcPr>
            <w:tcW w:type="dxa" w:w="900"/>
            <w:tcMar>
              <w:top w:type="dxa" w:w="50"/>
              <w:left w:type="dxa" w:w="90"/>
              <w:bottom w:type="dxa" w:w="50"/>
              <w:right w:type="dxa" w:w="90"/>
            </w:tcMar>
          </w:tcPr>
          <w:p>
            <w:pPr>
              <w:jc w:val="center"/>
            </w:pPr>
            <w:r>
              <w:rPr>
                <w:b w:val="false"/>
                <w:bCs w:val="false"/>
                <w:sz w:val="18"/>
                <w:szCs w:val="18"/>
              </w:rPr>
              <w:t xml:space="preserve">0.57</w:t>
            </w:r>
          </w:p>
        </w:tc>
        <w:tc>
          <w:tcPr>
            <w:tcW w:type="dxa" w:w="900"/>
            <w:tcMar>
              <w:top w:type="dxa" w:w="50"/>
              <w:left w:type="dxa" w:w="90"/>
              <w:bottom w:type="dxa" w:w="50"/>
              <w:right w:type="dxa" w:w="90"/>
            </w:tcMar>
          </w:tcPr>
          <w:p>
            <w:pPr>
              <w:jc w:val="center"/>
            </w:pPr>
            <w:r>
              <w:rPr>
                <w:b w:val="false"/>
                <w:bCs w:val="false"/>
                <w:sz w:val="18"/>
                <w:szCs w:val="18"/>
              </w:rPr>
              <w:t xml:space="preserve">+3.46</w:t>
            </w:r>
          </w:p>
        </w:tc>
        <w:tc>
          <w:tcPr>
            <w:tcW w:type="dxa" w:w="950"/>
            <w:tcMar>
              <w:top w:type="dxa" w:w="50"/>
              <w:left w:type="dxa" w:w="90"/>
              <w:bottom w:type="dxa" w:w="50"/>
              <w:right w:type="dxa" w:w="90"/>
            </w:tcMar>
          </w:tcPr>
          <w:p>
            <w:pPr>
              <w:jc w:val="center"/>
            </w:pPr>
            <w:r>
              <w:rPr>
                <w:b w:val="false"/>
                <w:bCs w:val="false"/>
                <w:sz w:val="18"/>
                <w:szCs w:val="18"/>
              </w:rPr>
              <w:t xml:space="preserve">+3.93</w:t>
            </w:r>
          </w:p>
        </w:tc>
        <w:tc>
          <w:tcPr>
            <w:tcW w:type="dxa" w:w="850"/>
            <w:tcMar>
              <w:top w:type="dxa" w:w="50"/>
              <w:left w:type="dxa" w:w="90"/>
              <w:bottom w:type="dxa" w:w="50"/>
              <w:right w:type="dxa" w:w="90"/>
            </w:tcMar>
          </w:tcPr>
          <w:p>
            <w:pPr>
              <w:jc w:val="center"/>
            </w:pPr>
            <w:r>
              <w:rPr>
                <w:b w:val="false"/>
                <w:bCs w:val="false"/>
                <w:sz w:val="18"/>
                <w:szCs w:val="18"/>
              </w:rPr>
              <w:t xml:space="preserve">–</w:t>
            </w:r>
          </w:p>
        </w:tc>
        <w:tc>
          <w:tcPr>
            <w:tcW w:type="dxa" w:w="2900"/>
            <w:tcMar>
              <w:top w:type="dxa" w:w="50"/>
              <w:left w:type="dxa" w:w="90"/>
              <w:bottom w:type="dxa" w:w="50"/>
              <w:right w:type="dxa" w:w="90"/>
            </w:tcMar>
          </w:tcPr>
          <w:p>
            <w:pPr>
              <w:jc w:val="left"/>
            </w:pPr>
            <w:r>
              <w:rPr>
                <w:b w:val="false"/>
                <w:bCs w:val="false"/>
                <w:sz w:val="18"/>
                <w:szCs w:val="18"/>
              </w:rPr>
              <w:t xml:space="preserve">MS 0.24, LA 0.17, MA 0.11, PA 0.11, SC 0.10, TN 0.07</w:t>
            </w:r>
          </w:p>
        </w:tc>
      </w:tr>
      <w:tr>
        <w:tc>
          <w:tcPr>
            <w:tcW w:type="dxa" w:w="2860"/>
            <w:tcMar>
              <w:top w:type="dxa" w:w="50"/>
              <w:left w:type="dxa" w:w="90"/>
              <w:bottom w:type="dxa" w:w="50"/>
              <w:right w:type="dxa" w:w="90"/>
            </w:tcMar>
          </w:tcPr>
          <w:p>
            <w:pPr>
              <w:jc w:val="left"/>
            </w:pPr>
            <w:r>
              <w:rPr>
                <w:b w:val="false"/>
                <w:bCs w:val="false"/>
                <w:sz w:val="18"/>
                <w:szCs w:val="18"/>
              </w:rPr>
              <w:t xml:space="preserve">Leave out SC (base weight 0.08)</w:t>
            </w:r>
          </w:p>
        </w:tc>
        <w:tc>
          <w:tcPr>
            <w:tcW w:type="dxa" w:w="900"/>
            <w:tcMar>
              <w:top w:type="dxa" w:w="50"/>
              <w:left w:type="dxa" w:w="90"/>
              <w:bottom w:type="dxa" w:w="50"/>
              <w:right w:type="dxa" w:w="90"/>
            </w:tcMar>
          </w:tcPr>
          <w:p>
            <w:pPr>
              <w:jc w:val="center"/>
            </w:pPr>
            <w:r>
              <w:rPr>
                <w:b w:val="false"/>
                <w:bCs w:val="false"/>
                <w:sz w:val="18"/>
                <w:szCs w:val="18"/>
              </w:rPr>
              <w:t xml:space="preserve">0.63</w:t>
            </w:r>
          </w:p>
        </w:tc>
        <w:tc>
          <w:tcPr>
            <w:tcW w:type="dxa" w:w="900"/>
            <w:tcMar>
              <w:top w:type="dxa" w:w="50"/>
              <w:left w:type="dxa" w:w="90"/>
              <w:bottom w:type="dxa" w:w="50"/>
              <w:right w:type="dxa" w:w="90"/>
            </w:tcMar>
          </w:tcPr>
          <w:p>
            <w:pPr>
              <w:jc w:val="center"/>
            </w:pPr>
            <w:r>
              <w:rPr>
                <w:b w:val="false"/>
                <w:bCs w:val="false"/>
                <w:sz w:val="18"/>
                <w:szCs w:val="18"/>
              </w:rPr>
              <w:t xml:space="preserve">+1.02</w:t>
            </w:r>
          </w:p>
        </w:tc>
        <w:tc>
          <w:tcPr>
            <w:tcW w:type="dxa" w:w="950"/>
            <w:tcMar>
              <w:top w:type="dxa" w:w="50"/>
              <w:left w:type="dxa" w:w="90"/>
              <w:bottom w:type="dxa" w:w="50"/>
              <w:right w:type="dxa" w:w="90"/>
            </w:tcMar>
          </w:tcPr>
          <w:p>
            <w:pPr>
              <w:jc w:val="center"/>
            </w:pPr>
            <w:r>
              <w:rPr>
                <w:b w:val="false"/>
                <w:bCs w:val="false"/>
                <w:sz w:val="18"/>
                <w:szCs w:val="18"/>
              </w:rPr>
              <w:t xml:space="preserve">+1.38</w:t>
            </w:r>
          </w:p>
        </w:tc>
        <w:tc>
          <w:tcPr>
            <w:tcW w:type="dxa" w:w="850"/>
            <w:tcMar>
              <w:top w:type="dxa" w:w="50"/>
              <w:left w:type="dxa" w:w="90"/>
              <w:bottom w:type="dxa" w:w="50"/>
              <w:right w:type="dxa" w:w="90"/>
            </w:tcMar>
          </w:tcPr>
          <w:p>
            <w:pPr>
              <w:jc w:val="center"/>
            </w:pPr>
            <w:r>
              <w:rPr>
                <w:b w:val="false"/>
                <w:bCs w:val="false"/>
                <w:sz w:val="18"/>
                <w:szCs w:val="18"/>
              </w:rPr>
              <w:t xml:space="preserve">–</w:t>
            </w:r>
          </w:p>
        </w:tc>
        <w:tc>
          <w:tcPr>
            <w:tcW w:type="dxa" w:w="2900"/>
            <w:tcMar>
              <w:top w:type="dxa" w:w="50"/>
              <w:left w:type="dxa" w:w="90"/>
              <w:bottom w:type="dxa" w:w="50"/>
              <w:right w:type="dxa" w:w="90"/>
            </w:tcMar>
          </w:tcPr>
          <w:p>
            <w:pPr>
              <w:jc w:val="left"/>
            </w:pPr>
            <w:r>
              <w:rPr>
                <w:b w:val="false"/>
                <w:bCs w:val="false"/>
                <w:sz w:val="18"/>
                <w:szCs w:val="18"/>
              </w:rPr>
              <w:t xml:space="preserve">MS 0.20, MA 0.16, OH 0.14, WA 0.13, WI 0.11, NV 0.11, TX 0.06, OR 0.06</w:t>
            </w:r>
          </w:p>
        </w:tc>
      </w:tr>
      <w:tr>
        <w:tc>
          <w:tcPr>
            <w:tcW w:type="dxa" w:w="2860"/>
            <w:tcMar>
              <w:top w:type="dxa" w:w="50"/>
              <w:left w:type="dxa" w:w="90"/>
              <w:bottom w:type="dxa" w:w="50"/>
              <w:right w:type="dxa" w:w="90"/>
            </w:tcMar>
          </w:tcPr>
          <w:p>
            <w:pPr>
              <w:jc w:val="left"/>
            </w:pPr>
            <w:r>
              <w:rPr>
                <w:b w:val="false"/>
                <w:bCs w:val="false"/>
                <w:sz w:val="18"/>
                <w:szCs w:val="18"/>
              </w:rPr>
              <w:t xml:space="preserve">Leave out OH (base weight 0.07)</w:t>
            </w:r>
          </w:p>
        </w:tc>
        <w:tc>
          <w:tcPr>
            <w:tcW w:type="dxa" w:w="900"/>
            <w:tcMar>
              <w:top w:type="dxa" w:w="50"/>
              <w:left w:type="dxa" w:w="90"/>
              <w:bottom w:type="dxa" w:w="50"/>
              <w:right w:type="dxa" w:w="90"/>
            </w:tcMar>
          </w:tcPr>
          <w:p>
            <w:pPr>
              <w:jc w:val="center"/>
            </w:pPr>
            <w:r>
              <w:rPr>
                <w:b w:val="false"/>
                <w:bCs w:val="false"/>
                <w:sz w:val="18"/>
                <w:szCs w:val="18"/>
              </w:rPr>
              <w:t xml:space="preserve">0.55</w:t>
            </w:r>
          </w:p>
        </w:tc>
        <w:tc>
          <w:tcPr>
            <w:tcW w:type="dxa" w:w="900"/>
            <w:tcMar>
              <w:top w:type="dxa" w:w="50"/>
              <w:left w:type="dxa" w:w="90"/>
              <w:bottom w:type="dxa" w:w="50"/>
              <w:right w:type="dxa" w:w="90"/>
            </w:tcMar>
          </w:tcPr>
          <w:p>
            <w:pPr>
              <w:jc w:val="center"/>
            </w:pPr>
            <w:r>
              <w:rPr>
                <w:b w:val="false"/>
                <w:bCs w:val="false"/>
                <w:sz w:val="18"/>
                <w:szCs w:val="18"/>
              </w:rPr>
              <w:t xml:space="preserve">+3.08</w:t>
            </w:r>
          </w:p>
        </w:tc>
        <w:tc>
          <w:tcPr>
            <w:tcW w:type="dxa" w:w="950"/>
            <w:tcMar>
              <w:top w:type="dxa" w:w="50"/>
              <w:left w:type="dxa" w:w="90"/>
              <w:bottom w:type="dxa" w:w="50"/>
              <w:right w:type="dxa" w:w="90"/>
            </w:tcMar>
          </w:tcPr>
          <w:p>
            <w:pPr>
              <w:jc w:val="center"/>
            </w:pPr>
            <w:r>
              <w:rPr>
                <w:b w:val="false"/>
                <w:bCs w:val="false"/>
                <w:sz w:val="18"/>
                <w:szCs w:val="18"/>
              </w:rPr>
              <w:t xml:space="preserve">+3.60</w:t>
            </w:r>
          </w:p>
        </w:tc>
        <w:tc>
          <w:tcPr>
            <w:tcW w:type="dxa" w:w="850"/>
            <w:tcMar>
              <w:top w:type="dxa" w:w="50"/>
              <w:left w:type="dxa" w:w="90"/>
              <w:bottom w:type="dxa" w:w="50"/>
              <w:right w:type="dxa" w:w="90"/>
            </w:tcMar>
          </w:tcPr>
          <w:p>
            <w:pPr>
              <w:jc w:val="center"/>
            </w:pPr>
            <w:r>
              <w:rPr>
                <w:b w:val="false"/>
                <w:bCs w:val="false"/>
                <w:sz w:val="18"/>
                <w:szCs w:val="18"/>
              </w:rPr>
              <w:t xml:space="preserve">–</w:t>
            </w:r>
          </w:p>
        </w:tc>
        <w:tc>
          <w:tcPr>
            <w:tcW w:type="dxa" w:w="2900"/>
            <w:tcMar>
              <w:top w:type="dxa" w:w="50"/>
              <w:left w:type="dxa" w:w="90"/>
              <w:bottom w:type="dxa" w:w="50"/>
              <w:right w:type="dxa" w:w="90"/>
            </w:tcMar>
          </w:tcPr>
          <w:p>
            <w:pPr>
              <w:jc w:val="left"/>
            </w:pPr>
            <w:r>
              <w:rPr>
                <w:b w:val="false"/>
                <w:bCs w:val="false"/>
                <w:sz w:val="18"/>
                <w:szCs w:val="18"/>
              </w:rPr>
              <w:t xml:space="preserve">MS 0.21, MA 0.14, LA 0.12, PA 0.12, WA 0.11, SC 0.10, NV 0.09, TN 0.08</w:t>
            </w:r>
          </w:p>
        </w:tc>
      </w:tr>
      <w:tr>
        <w:tc>
          <w:tcPr>
            <w:tcW w:type="dxa" w:w="2860"/>
            <w:tcMar>
              <w:top w:type="dxa" w:w="50"/>
              <w:left w:type="dxa" w:w="90"/>
              <w:bottom w:type="dxa" w:w="50"/>
              <w:right w:type="dxa" w:w="90"/>
            </w:tcMar>
          </w:tcPr>
          <w:p>
            <w:pPr>
              <w:jc w:val="left"/>
            </w:pPr>
            <w:r>
              <w:rPr>
                <w:b w:val="false"/>
                <w:bCs w:val="false"/>
                <w:sz w:val="18"/>
                <w:szCs w:val="18"/>
              </w:rPr>
              <w:t xml:space="preserve">Leave out NV (base weight 0.07)</w:t>
            </w:r>
          </w:p>
        </w:tc>
        <w:tc>
          <w:tcPr>
            <w:tcW w:type="dxa" w:w="900"/>
            <w:tcMar>
              <w:top w:type="dxa" w:w="50"/>
              <w:left w:type="dxa" w:w="90"/>
              <w:bottom w:type="dxa" w:w="50"/>
              <w:right w:type="dxa" w:w="90"/>
            </w:tcMar>
          </w:tcPr>
          <w:p>
            <w:pPr>
              <w:jc w:val="center"/>
            </w:pPr>
            <w:r>
              <w:rPr>
                <w:b w:val="false"/>
                <w:bCs w:val="false"/>
                <w:sz w:val="18"/>
                <w:szCs w:val="18"/>
              </w:rPr>
              <w:t xml:space="preserve">0.55</w:t>
            </w:r>
          </w:p>
        </w:tc>
        <w:tc>
          <w:tcPr>
            <w:tcW w:type="dxa" w:w="900"/>
            <w:tcMar>
              <w:top w:type="dxa" w:w="50"/>
              <w:left w:type="dxa" w:w="90"/>
              <w:bottom w:type="dxa" w:w="50"/>
              <w:right w:type="dxa" w:w="90"/>
            </w:tcMar>
          </w:tcPr>
          <w:p>
            <w:pPr>
              <w:jc w:val="center"/>
            </w:pPr>
            <w:r>
              <w:rPr>
                <w:b w:val="false"/>
                <w:bCs w:val="false"/>
                <w:sz w:val="18"/>
                <w:szCs w:val="18"/>
              </w:rPr>
              <w:t xml:space="preserve">+3.19</w:t>
            </w:r>
          </w:p>
        </w:tc>
        <w:tc>
          <w:tcPr>
            <w:tcW w:type="dxa" w:w="950"/>
            <w:tcMar>
              <w:top w:type="dxa" w:w="50"/>
              <w:left w:type="dxa" w:w="90"/>
              <w:bottom w:type="dxa" w:w="50"/>
              <w:right w:type="dxa" w:w="90"/>
            </w:tcMar>
          </w:tcPr>
          <w:p>
            <w:pPr>
              <w:jc w:val="center"/>
            </w:pPr>
            <w:r>
              <w:rPr>
                <w:b w:val="false"/>
                <w:bCs w:val="false"/>
                <w:sz w:val="18"/>
                <w:szCs w:val="18"/>
              </w:rPr>
              <w:t xml:space="preserve">+3.63</w:t>
            </w:r>
          </w:p>
        </w:tc>
        <w:tc>
          <w:tcPr>
            <w:tcW w:type="dxa" w:w="850"/>
            <w:tcMar>
              <w:top w:type="dxa" w:w="50"/>
              <w:left w:type="dxa" w:w="90"/>
              <w:bottom w:type="dxa" w:w="50"/>
              <w:right w:type="dxa" w:w="90"/>
            </w:tcMar>
          </w:tcPr>
          <w:p>
            <w:pPr>
              <w:jc w:val="center"/>
            </w:pPr>
            <w:r>
              <w:rPr>
                <w:b w:val="false"/>
                <w:bCs w:val="false"/>
                <w:sz w:val="18"/>
                <w:szCs w:val="18"/>
              </w:rPr>
              <w:t xml:space="preserve">–</w:t>
            </w:r>
          </w:p>
        </w:tc>
        <w:tc>
          <w:tcPr>
            <w:tcW w:type="dxa" w:w="2900"/>
            <w:tcMar>
              <w:top w:type="dxa" w:w="50"/>
              <w:left w:type="dxa" w:w="90"/>
              <w:bottom w:type="dxa" w:w="50"/>
              <w:right w:type="dxa" w:w="90"/>
            </w:tcMar>
          </w:tcPr>
          <w:p>
            <w:pPr>
              <w:jc w:val="left"/>
            </w:pPr>
            <w:r>
              <w:rPr>
                <w:b w:val="false"/>
                <w:bCs w:val="false"/>
                <w:sz w:val="18"/>
                <w:szCs w:val="18"/>
              </w:rPr>
              <w:t xml:space="preserve">MS 0.25, LA 0.17, MA 0.16, OH 0.09, WA 0.09, SC 0.08, TN 0.06</w:t>
            </w:r>
          </w:p>
        </w:tc>
      </w:tr>
      <w:tr>
        <w:tc>
          <w:tcPr>
            <w:tcW w:type="dxa" w:w="2860"/>
            <w:tcMar>
              <w:top w:type="dxa" w:w="50"/>
              <w:left w:type="dxa" w:w="90"/>
              <w:bottom w:type="dxa" w:w="50"/>
              <w:right w:type="dxa" w:w="90"/>
            </w:tcMar>
          </w:tcPr>
          <w:p>
            <w:pPr>
              <w:jc w:val="left"/>
            </w:pPr>
            <w:r>
              <w:rPr>
                <w:b w:val="false"/>
                <w:bCs w:val="false"/>
                <w:sz w:val="18"/>
                <w:szCs w:val="18"/>
              </w:rPr>
              <w:t xml:space="preserve">Leave out TN (base weight 0.06)</w:t>
            </w:r>
          </w:p>
        </w:tc>
        <w:tc>
          <w:tcPr>
            <w:tcW w:type="dxa" w:w="900"/>
            <w:tcMar>
              <w:top w:type="dxa" w:w="50"/>
              <w:left w:type="dxa" w:w="90"/>
              <w:bottom w:type="dxa" w:w="50"/>
              <w:right w:type="dxa" w:w="90"/>
            </w:tcMar>
          </w:tcPr>
          <w:p>
            <w:pPr>
              <w:jc w:val="center"/>
            </w:pPr>
            <w:r>
              <w:rPr>
                <w:b w:val="false"/>
                <w:bCs w:val="false"/>
                <w:sz w:val="18"/>
                <w:szCs w:val="18"/>
              </w:rPr>
              <w:t xml:space="preserve">0.54</w:t>
            </w:r>
          </w:p>
        </w:tc>
        <w:tc>
          <w:tcPr>
            <w:tcW w:type="dxa" w:w="900"/>
            <w:tcMar>
              <w:top w:type="dxa" w:w="50"/>
              <w:left w:type="dxa" w:w="90"/>
              <w:bottom w:type="dxa" w:w="50"/>
              <w:right w:type="dxa" w:w="90"/>
            </w:tcMar>
          </w:tcPr>
          <w:p>
            <w:pPr>
              <w:jc w:val="center"/>
            </w:pPr>
            <w:r>
              <w:rPr>
                <w:b w:val="false"/>
                <w:bCs w:val="false"/>
                <w:sz w:val="18"/>
                <w:szCs w:val="18"/>
              </w:rPr>
              <w:t xml:space="preserve">+2.47</w:t>
            </w:r>
          </w:p>
        </w:tc>
        <w:tc>
          <w:tcPr>
            <w:tcW w:type="dxa" w:w="950"/>
            <w:tcMar>
              <w:top w:type="dxa" w:w="50"/>
              <w:left w:type="dxa" w:w="90"/>
              <w:bottom w:type="dxa" w:w="50"/>
              <w:right w:type="dxa" w:w="90"/>
            </w:tcMar>
          </w:tcPr>
          <w:p>
            <w:pPr>
              <w:jc w:val="center"/>
            </w:pPr>
            <w:r>
              <w:rPr>
                <w:b w:val="false"/>
                <w:bCs w:val="false"/>
                <w:sz w:val="18"/>
                <w:szCs w:val="18"/>
              </w:rPr>
              <w:t xml:space="preserve">+2.93</w:t>
            </w:r>
          </w:p>
        </w:tc>
        <w:tc>
          <w:tcPr>
            <w:tcW w:type="dxa" w:w="850"/>
            <w:tcMar>
              <w:top w:type="dxa" w:w="50"/>
              <w:left w:type="dxa" w:w="90"/>
              <w:bottom w:type="dxa" w:w="50"/>
              <w:right w:type="dxa" w:w="90"/>
            </w:tcMar>
          </w:tcPr>
          <w:p>
            <w:pPr>
              <w:jc w:val="center"/>
            </w:pPr>
            <w:r>
              <w:rPr>
                <w:b w:val="false"/>
                <w:bCs w:val="false"/>
                <w:sz w:val="18"/>
                <w:szCs w:val="18"/>
              </w:rPr>
              <w:t xml:space="preserve">–</w:t>
            </w:r>
          </w:p>
        </w:tc>
        <w:tc>
          <w:tcPr>
            <w:tcW w:type="dxa" w:w="2900"/>
            <w:tcMar>
              <w:top w:type="dxa" w:w="50"/>
              <w:left w:type="dxa" w:w="90"/>
              <w:bottom w:type="dxa" w:w="50"/>
              <w:right w:type="dxa" w:w="90"/>
            </w:tcMar>
          </w:tcPr>
          <w:p>
            <w:pPr>
              <w:jc w:val="left"/>
            </w:pPr>
            <w:r>
              <w:rPr>
                <w:b w:val="false"/>
                <w:bCs w:val="false"/>
                <w:sz w:val="18"/>
                <w:szCs w:val="18"/>
              </w:rPr>
              <w:t xml:space="preserve">MS 0.24, MA 0.15, WA 0.12, LA 0.12, OH 0.08, NV 0.08, PA 0.08, SC 0.07</w:t>
            </w:r>
          </w:p>
        </w:tc>
      </w:tr>
      <w:tr>
        <w:tc>
          <w:tcPr>
            <w:tcW w:type="dxa" w:w="2860"/>
            <w:tcMar>
              <w:top w:type="dxa" w:w="50"/>
              <w:left w:type="dxa" w:w="90"/>
              <w:bottom w:type="dxa" w:w="50"/>
              <w:right w:type="dxa" w:w="90"/>
            </w:tcMar>
          </w:tcPr>
          <w:p>
            <w:pPr>
              <w:jc w:val="left"/>
            </w:pPr>
            <w:r>
              <w:rPr>
                <w:b w:val="false"/>
                <w:bCs w:val="false"/>
                <w:sz w:val="18"/>
                <w:szCs w:val="18"/>
              </w:rPr>
              <w:t xml:space="preserve">Leave out PA (base weight 0.06)</w:t>
            </w:r>
          </w:p>
        </w:tc>
        <w:tc>
          <w:tcPr>
            <w:tcW w:type="dxa" w:w="900"/>
            <w:tcMar>
              <w:top w:type="dxa" w:w="50"/>
              <w:left w:type="dxa" w:w="90"/>
              <w:bottom w:type="dxa" w:w="50"/>
              <w:right w:type="dxa" w:w="90"/>
            </w:tcMar>
          </w:tcPr>
          <w:p>
            <w:pPr>
              <w:jc w:val="center"/>
            </w:pPr>
            <w:r>
              <w:rPr>
                <w:b w:val="false"/>
                <w:bCs w:val="false"/>
                <w:sz w:val="18"/>
                <w:szCs w:val="18"/>
              </w:rPr>
              <w:t xml:space="preserve">0.54</w:t>
            </w:r>
          </w:p>
        </w:tc>
        <w:tc>
          <w:tcPr>
            <w:tcW w:type="dxa" w:w="900"/>
            <w:tcMar>
              <w:top w:type="dxa" w:w="50"/>
              <w:left w:type="dxa" w:w="90"/>
              <w:bottom w:type="dxa" w:w="50"/>
              <w:right w:type="dxa" w:w="90"/>
            </w:tcMar>
          </w:tcPr>
          <w:p>
            <w:pPr>
              <w:jc w:val="center"/>
            </w:pPr>
            <w:r>
              <w:rPr>
                <w:b w:val="false"/>
                <w:bCs w:val="false"/>
                <w:sz w:val="18"/>
                <w:szCs w:val="18"/>
              </w:rPr>
              <w:t xml:space="preserve">+2.61</w:t>
            </w:r>
          </w:p>
        </w:tc>
        <w:tc>
          <w:tcPr>
            <w:tcW w:type="dxa" w:w="950"/>
            <w:tcMar>
              <w:top w:type="dxa" w:w="50"/>
              <w:left w:type="dxa" w:w="90"/>
              <w:bottom w:type="dxa" w:w="50"/>
              <w:right w:type="dxa" w:w="90"/>
            </w:tcMar>
          </w:tcPr>
          <w:p>
            <w:pPr>
              <w:jc w:val="center"/>
            </w:pPr>
            <w:r>
              <w:rPr>
                <w:b w:val="false"/>
                <w:bCs w:val="false"/>
                <w:sz w:val="18"/>
                <w:szCs w:val="18"/>
              </w:rPr>
              <w:t xml:space="preserve">+3.20</w:t>
            </w:r>
          </w:p>
        </w:tc>
        <w:tc>
          <w:tcPr>
            <w:tcW w:type="dxa" w:w="850"/>
            <w:tcMar>
              <w:top w:type="dxa" w:w="50"/>
              <w:left w:type="dxa" w:w="90"/>
              <w:bottom w:type="dxa" w:w="50"/>
              <w:right w:type="dxa" w:w="90"/>
            </w:tcMar>
          </w:tcPr>
          <w:p>
            <w:pPr>
              <w:jc w:val="center"/>
            </w:pPr>
            <w:r>
              <w:rPr>
                <w:b w:val="false"/>
                <w:bCs w:val="false"/>
                <w:sz w:val="18"/>
                <w:szCs w:val="18"/>
              </w:rPr>
              <w:t xml:space="preserve">–</w:t>
            </w:r>
          </w:p>
        </w:tc>
        <w:tc>
          <w:tcPr>
            <w:tcW w:type="dxa" w:w="2900"/>
            <w:tcMar>
              <w:top w:type="dxa" w:w="50"/>
              <w:left w:type="dxa" w:w="90"/>
              <w:bottom w:type="dxa" w:w="50"/>
              <w:right w:type="dxa" w:w="90"/>
            </w:tcMar>
          </w:tcPr>
          <w:p>
            <w:pPr>
              <w:jc w:val="left"/>
            </w:pPr>
            <w:r>
              <w:rPr>
                <w:b w:val="false"/>
                <w:bCs w:val="false"/>
                <w:sz w:val="18"/>
                <w:szCs w:val="18"/>
              </w:rPr>
              <w:t xml:space="preserve">MS 0.23, LA 0.16, MA 0.15, WA 0.13, OH 0.10, SC 0.08, TN 0.08, NV 0.07</w:t>
            </w:r>
          </w:p>
        </w:tc>
      </w:tr>
      <w:tr>
        <w:tc>
          <w:tcPr>
            <w:tcW w:type="dxa" w:w="2860"/>
            <w:tcMar>
              <w:top w:type="dxa" w:w="50"/>
              <w:left w:type="dxa" w:w="90"/>
              <w:bottom w:type="dxa" w:w="50"/>
              <w:right w:type="dxa" w:w="90"/>
            </w:tcMar>
          </w:tcPr>
          <w:p>
            <w:pPr>
              <w:jc w:val="left"/>
            </w:pPr>
            <w:r>
              <w:rPr>
                <w:b w:val="false"/>
                <w:bCs w:val="false"/>
                <w:sz w:val="18"/>
                <w:szCs w:val="18"/>
              </w:rPr>
              <w:t xml:space="preserve">In-time placebo: pretend Illinois repealed in 2008 (data through 2014)</w:t>
            </w:r>
          </w:p>
        </w:tc>
        <w:tc>
          <w:tcPr>
            <w:tcW w:type="dxa" w:w="900"/>
            <w:tcMar>
              <w:top w:type="dxa" w:w="50"/>
              <w:left w:type="dxa" w:w="90"/>
              <w:bottom w:type="dxa" w:w="50"/>
              <w:right w:type="dxa" w:w="90"/>
            </w:tcMar>
          </w:tcPr>
          <w:p>
            <w:pPr>
              <w:jc w:val="center"/>
            </w:pPr>
            <w:r>
              <w:rPr>
                <w:b w:val="false"/>
                <w:bCs w:val="false"/>
                <w:sz w:val="18"/>
                <w:szCs w:val="18"/>
              </w:rPr>
              <w:t xml:space="preserve">0.35</w:t>
            </w:r>
          </w:p>
        </w:tc>
        <w:tc>
          <w:tcPr>
            <w:tcW w:type="dxa" w:w="900"/>
            <w:tcMar>
              <w:top w:type="dxa" w:w="50"/>
              <w:left w:type="dxa" w:w="90"/>
              <w:bottom w:type="dxa" w:w="50"/>
              <w:right w:type="dxa" w:w="90"/>
            </w:tcMar>
          </w:tcPr>
          <w:p>
            <w:pPr>
              <w:jc w:val="center"/>
            </w:pPr>
            <w:r>
              <w:rPr>
                <w:b w:val="false"/>
                <w:bCs w:val="false"/>
                <w:sz w:val="18"/>
                <w:szCs w:val="18"/>
              </w:rPr>
              <w:t xml:space="preserve">−1.07</w:t>
            </w:r>
          </w:p>
        </w:tc>
        <w:tc>
          <w:tcPr>
            <w:tcW w:type="dxa" w:w="950"/>
            <w:tcMar>
              <w:top w:type="dxa" w:w="50"/>
              <w:left w:type="dxa" w:w="90"/>
              <w:bottom w:type="dxa" w:w="50"/>
              <w:right w:type="dxa" w:w="90"/>
            </w:tcMar>
          </w:tcPr>
          <w:p>
            <w:pPr>
              <w:jc w:val="center"/>
            </w:pPr>
            <w:r>
              <w:rPr>
                <w:b w:val="false"/>
                <w:bCs w:val="false"/>
                <w:sz w:val="18"/>
                <w:szCs w:val="18"/>
              </w:rPr>
              <w:t xml:space="preserve">−1.07</w:t>
            </w:r>
          </w:p>
        </w:tc>
        <w:tc>
          <w:tcPr>
            <w:tcW w:type="dxa" w:w="850"/>
            <w:tcMar>
              <w:top w:type="dxa" w:w="50"/>
              <w:left w:type="dxa" w:w="90"/>
              <w:bottom w:type="dxa" w:w="50"/>
              <w:right w:type="dxa" w:w="90"/>
            </w:tcMar>
          </w:tcPr>
          <w:p>
            <w:pPr>
              <w:jc w:val="center"/>
            </w:pPr>
            <w:r>
              <w:rPr>
                <w:b w:val="false"/>
                <w:bCs w:val="false"/>
                <w:sz w:val="18"/>
                <w:szCs w:val="18"/>
              </w:rPr>
              <w:t xml:space="preserve">0.05</w:t>
            </w:r>
          </w:p>
        </w:tc>
        <w:tc>
          <w:tcPr>
            <w:tcW w:type="dxa" w:w="2900"/>
            <w:tcMar>
              <w:top w:type="dxa" w:w="50"/>
              <w:left w:type="dxa" w:w="90"/>
              <w:bottom w:type="dxa" w:w="50"/>
              <w:right w:type="dxa" w:w="90"/>
            </w:tcMar>
          </w:tcPr>
          <w:p>
            <w:pPr>
              <w:jc w:val="left"/>
            </w:pPr>
            <w:r>
              <w:rPr>
                <w:b w:val="false"/>
                <w:bCs w:val="false"/>
                <w:sz w:val="18"/>
                <w:szCs w:val="18"/>
              </w:rPr>
              <w:t xml:space="preserve">WA 0.29, PA 0.15, TX 0.11, WI 0.10, OR 0.10, AR 0.09, SC 0.08</w:t>
            </w:r>
          </w:p>
        </w:tc>
      </w:tr>
    </w:tbl>
    <w:p>
      <w:pPr>
        <w:keepNext/>
        <w:spacing w:before="120"/>
        <w:jc w:val="center"/>
      </w:pPr>
      <w:r>
        <w:drawing>
          <wp:inline distT="0" distB="0" distL="0" distR="0">
            <wp:extent cx="59436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819275"/>
                    </a:xfrm>
                    <a:prstGeom prst="rect">
                      <a:avLst/>
                    </a:prstGeom>
                  </pic:spPr>
                </pic:pic>
              </a:graphicData>
            </a:graphic>
          </wp:inline>
        </w:drawing>
      </w:r>
    </w:p>
    <w:p>
      <w:pPr>
        <w:spacing w:after="220" w:before="60"/>
      </w:pPr>
      <w:r>
        <w:rPr>
          <w:i/>
          <w:iCs/>
          <w:color w:val="444444"/>
          <w:sz w:val="17"/>
          <w:szCs w:val="17"/>
        </w:rPr>
        <w:t xml:space="preserve">Figure 5. Illinois minus synthetic Illinois under alternative donor pools (left) and with each positive-weight donor dropped in turn (right). The dashed line marks the July 2015 repeal.</w:t>
      </w:r>
    </w:p>
    <w:p>
      <w:pPr>
        <w:pStyle w:val="Heading2"/>
      </w:pPr>
      <w:r>
        <w:t xml:space="preserve">7.2 Synthetic difference-in-differences</w:t>
      </w:r>
    </w:p>
    <w:p>
      <w:pPr>
        <w:spacing w:after="140" w:line="276"/>
      </w:pPr>
      <w:r>
        <w:t xml:space="preserve">Synthetic difference-in-differences (Arkhangelsky et al., 2021) combines synthetic-control weights on comparison states with weights on pre-repeal years and lets each state differ in level from its comparison group. It finds nothing for any of the three repeals (Table 7): −1.1 points for Kansas, +0.6 for Illinois and +0.1 for Oklahoma on the impaired share, with placebo p-values of 0.92, 0.92 and 0.86. The pooled estimate is −0.1 points ([−4.1, 3.6], p = 0.99), with an interval about as wide as the imputation estimator’s.</w:t>
      </w:r>
    </w:p>
    <w:p>
      <w:pPr>
        <w:keepNext/>
        <w:spacing w:after="80" w:before="200"/>
      </w:pPr>
      <w:r>
        <w:rPr>
          <w:b/>
          <w:bCs/>
          <w:sz w:val="20"/>
          <w:szCs w:val="20"/>
        </w:rPr>
        <w:t xml:space="preserve">Table 7. Synthetic difference-in-differences: estimate [95% placebo interval]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500"/>
        <w:gridCol w:w="3500"/>
      </w:tblGrid>
      <w:tr>
        <w:trPr>
          <w:tblHeader/>
        </w:trPr>
        <w:tc>
          <w:tcPr>
            <w:tcW w:type="dxa" w:w="2360"/>
            <w:shd w:fill="DCE6F1" w:color="auto" w:val="clear"/>
            <w:tcMar>
              <w:top w:type="dxa" w:w="50"/>
              <w:left w:type="dxa" w:w="90"/>
              <w:bottom w:type="dxa" w:w="50"/>
              <w:right w:type="dxa" w:w="90"/>
            </w:tcMar>
          </w:tcPr>
          <w:p>
            <w:pPr>
              <w:jc w:val="left"/>
            </w:pPr>
            <w:r>
              <w:rPr>
                <w:b/>
                <w:bCs/>
                <w:sz w:val="18"/>
                <w:szCs w:val="18"/>
              </w:rPr>
              <w:t xml:space="preserve">State</w:t>
            </w:r>
          </w:p>
        </w:tc>
        <w:tc>
          <w:tcPr>
            <w:tcW w:type="dxa" w:w="3500"/>
            <w:shd w:fill="DCE6F1" w:color="auto" w:val="clear"/>
            <w:tcMar>
              <w:top w:type="dxa" w:w="50"/>
              <w:left w:type="dxa" w:w="90"/>
              <w:bottom w:type="dxa" w:w="50"/>
              <w:right w:type="dxa" w:w="90"/>
            </w:tcMar>
          </w:tcPr>
          <w:p>
            <w:pPr>
              <w:jc w:val="center"/>
            </w:pPr>
            <w:r>
              <w:rPr>
                <w:b/>
                <w:bCs/>
                <w:sz w:val="18"/>
                <w:szCs w:val="18"/>
              </w:rPr>
              <w:t xml:space="preserve">Impaired share (pp)</w:t>
            </w:r>
          </w:p>
        </w:tc>
        <w:tc>
          <w:tcPr>
            <w:tcW w:type="dxa" w:w="3500"/>
            <w:shd w:fill="DCE6F1" w:color="auto" w:val="clear"/>
            <w:tcMar>
              <w:top w:type="dxa" w:w="50"/>
              <w:left w:type="dxa" w:w="90"/>
              <w:bottom w:type="dxa" w:w="50"/>
              <w:right w:type="dxa" w:w="90"/>
            </w:tcMar>
          </w:tcPr>
          <w:p>
            <w:pPr>
              <w:jc w:val="center"/>
            </w:pPr>
            <w:r>
              <w:rPr>
                <w:b/>
                <w:bCs/>
                <w:sz w:val="18"/>
                <w:szCs w:val="18"/>
              </w:rPr>
              <w:t xml:space="preserve">Log odds (x100)</w:t>
            </w:r>
          </w:p>
        </w:tc>
      </w:tr>
      <w:tr>
        <w:tc>
          <w:tcPr>
            <w:tcW w:type="dxa" w:w="2360"/>
            <w:tcMar>
              <w:top w:type="dxa" w:w="50"/>
              <w:left w:type="dxa" w:w="90"/>
              <w:bottom w:type="dxa" w:w="50"/>
              <w:right w:type="dxa" w:w="90"/>
            </w:tcMar>
          </w:tcPr>
          <w:p>
            <w:pPr>
              <w:jc w:val="left"/>
            </w:pPr>
            <w:r>
              <w:rPr>
                <w:b w:val="false"/>
                <w:bCs w:val="false"/>
                <w:sz w:val="18"/>
                <w:szCs w:val="18"/>
              </w:rPr>
              <w:t xml:space="preserve">KS</w:t>
            </w:r>
          </w:p>
        </w:tc>
        <w:tc>
          <w:tcPr>
            <w:tcW w:type="dxa" w:w="3500"/>
            <w:tcMar>
              <w:top w:type="dxa" w:w="50"/>
              <w:left w:type="dxa" w:w="90"/>
              <w:bottom w:type="dxa" w:w="50"/>
              <w:right w:type="dxa" w:w="90"/>
            </w:tcMar>
          </w:tcPr>
          <w:p>
            <w:pPr>
              <w:jc w:val="center"/>
            </w:pPr>
            <w:r>
              <w:rPr>
                <w:b w:val="false"/>
                <w:bCs w:val="false"/>
                <w:sz w:val="18"/>
                <w:szCs w:val="18"/>
              </w:rPr>
              <w:t xml:space="preserve">−1.11 [−7.9, 5.6] (0.92)</w:t>
            </w:r>
          </w:p>
        </w:tc>
        <w:tc>
          <w:tcPr>
            <w:tcW w:type="dxa" w:w="3500"/>
            <w:tcMar>
              <w:top w:type="dxa" w:w="50"/>
              <w:left w:type="dxa" w:w="90"/>
              <w:bottom w:type="dxa" w:w="50"/>
              <w:right w:type="dxa" w:w="90"/>
            </w:tcMar>
          </w:tcPr>
          <w:p>
            <w:pPr>
              <w:jc w:val="center"/>
            </w:pPr>
            <w:r>
              <w:rPr>
                <w:b w:val="false"/>
                <w:bCs w:val="false"/>
                <w:sz w:val="18"/>
                <w:szCs w:val="18"/>
              </w:rPr>
              <w:t xml:space="preserve">−6.60 [−40.0, 26.8] (0.86)</w:t>
            </w:r>
          </w:p>
        </w:tc>
      </w:tr>
      <w:tr>
        <w:tc>
          <w:tcPr>
            <w:tcW w:type="dxa" w:w="2360"/>
            <w:tcMar>
              <w:top w:type="dxa" w:w="50"/>
              <w:left w:type="dxa" w:w="90"/>
              <w:bottom w:type="dxa" w:w="50"/>
              <w:right w:type="dxa" w:w="90"/>
            </w:tcMar>
          </w:tcPr>
          <w:p>
            <w:pPr>
              <w:jc w:val="left"/>
            </w:pPr>
            <w:r>
              <w:rPr>
                <w:b w:val="false"/>
                <w:bCs w:val="false"/>
                <w:sz w:val="18"/>
                <w:szCs w:val="18"/>
              </w:rPr>
              <w:t xml:space="preserve">IL</w:t>
            </w:r>
          </w:p>
        </w:tc>
        <w:tc>
          <w:tcPr>
            <w:tcW w:type="dxa" w:w="3500"/>
            <w:tcMar>
              <w:top w:type="dxa" w:w="50"/>
              <w:left w:type="dxa" w:w="90"/>
              <w:bottom w:type="dxa" w:w="50"/>
              <w:right w:type="dxa" w:w="90"/>
            </w:tcMar>
          </w:tcPr>
          <w:p>
            <w:pPr>
              <w:jc w:val="center"/>
            </w:pPr>
            <w:r>
              <w:rPr>
                <w:b w:val="false"/>
                <w:bCs w:val="false"/>
                <w:sz w:val="18"/>
                <w:szCs w:val="18"/>
              </w:rPr>
              <w:t xml:space="preserve">+0.55 [−7.2, 8.3] (0.92)</w:t>
            </w:r>
          </w:p>
        </w:tc>
        <w:tc>
          <w:tcPr>
            <w:tcW w:type="dxa" w:w="3500"/>
            <w:tcMar>
              <w:top w:type="dxa" w:w="50"/>
              <w:left w:type="dxa" w:w="90"/>
              <w:bottom w:type="dxa" w:w="50"/>
              <w:right w:type="dxa" w:w="90"/>
            </w:tcMar>
          </w:tcPr>
          <w:p>
            <w:pPr>
              <w:jc w:val="center"/>
            </w:pPr>
            <w:r>
              <w:rPr>
                <w:b w:val="false"/>
                <w:bCs w:val="false"/>
                <w:sz w:val="18"/>
                <w:szCs w:val="18"/>
              </w:rPr>
              <w:t xml:space="preserve">+2.87 [−35.0, 40.8] (0.92)</w:t>
            </w:r>
          </w:p>
        </w:tc>
      </w:tr>
      <w:tr>
        <w:tc>
          <w:tcPr>
            <w:tcW w:type="dxa" w:w="2360"/>
            <w:tcMar>
              <w:top w:type="dxa" w:w="50"/>
              <w:left w:type="dxa" w:w="90"/>
              <w:bottom w:type="dxa" w:w="50"/>
              <w:right w:type="dxa" w:w="90"/>
            </w:tcMar>
          </w:tcPr>
          <w:p>
            <w:pPr>
              <w:jc w:val="left"/>
            </w:pPr>
            <w:r>
              <w:rPr>
                <w:b w:val="false"/>
                <w:bCs w:val="false"/>
                <w:sz w:val="18"/>
                <w:szCs w:val="18"/>
              </w:rPr>
              <w:t xml:space="preserve">OK</w:t>
            </w:r>
          </w:p>
        </w:tc>
        <w:tc>
          <w:tcPr>
            <w:tcW w:type="dxa" w:w="3500"/>
            <w:tcMar>
              <w:top w:type="dxa" w:w="50"/>
              <w:left w:type="dxa" w:w="90"/>
              <w:bottom w:type="dxa" w:w="50"/>
              <w:right w:type="dxa" w:w="90"/>
            </w:tcMar>
          </w:tcPr>
          <w:p>
            <w:pPr>
              <w:jc w:val="center"/>
            </w:pPr>
            <w:r>
              <w:rPr>
                <w:b w:val="false"/>
                <w:bCs w:val="false"/>
                <w:sz w:val="18"/>
                <w:szCs w:val="18"/>
              </w:rPr>
              <w:t xml:space="preserve">+0.14 [−5.7, 6.0] (0.86)</w:t>
            </w:r>
          </w:p>
        </w:tc>
        <w:tc>
          <w:tcPr>
            <w:tcW w:type="dxa" w:w="3500"/>
            <w:tcMar>
              <w:top w:type="dxa" w:w="50"/>
              <w:left w:type="dxa" w:w="90"/>
              <w:bottom w:type="dxa" w:w="50"/>
              <w:right w:type="dxa" w:w="90"/>
            </w:tcMar>
          </w:tcPr>
          <w:p>
            <w:pPr>
              <w:jc w:val="center"/>
            </w:pPr>
            <w:r>
              <w:rPr>
                <w:b w:val="false"/>
                <w:bCs w:val="false"/>
                <w:sz w:val="18"/>
                <w:szCs w:val="18"/>
              </w:rPr>
              <w:t xml:space="preserve">+1.01 [−26.0, 28.0] (0.86)</w:t>
            </w:r>
          </w:p>
        </w:tc>
      </w:tr>
      <w:tr>
        <w:tc>
          <w:tcPr>
            <w:tcW w:type="dxa" w:w="2360"/>
            <w:tcMar>
              <w:top w:type="dxa" w:w="50"/>
              <w:left w:type="dxa" w:w="90"/>
              <w:bottom w:type="dxa" w:w="50"/>
              <w:right w:type="dxa" w:w="90"/>
            </w:tcMar>
          </w:tcPr>
          <w:p>
            <w:pPr>
              <w:jc w:val="left"/>
            </w:pPr>
            <w:r>
              <w:rPr>
                <w:b w:val="false"/>
                <w:bCs w:val="false"/>
                <w:sz w:val="18"/>
                <w:szCs w:val="18"/>
              </w:rPr>
              <w:t xml:space="preserve">Pooled (mean of 3)</w:t>
            </w:r>
          </w:p>
        </w:tc>
        <w:tc>
          <w:tcPr>
            <w:tcW w:type="dxa" w:w="3500"/>
            <w:tcMar>
              <w:top w:type="dxa" w:w="50"/>
              <w:left w:type="dxa" w:w="90"/>
              <w:bottom w:type="dxa" w:w="50"/>
              <w:right w:type="dxa" w:w="90"/>
            </w:tcMar>
          </w:tcPr>
          <w:p>
            <w:pPr>
              <w:jc w:val="center"/>
            </w:pPr>
            <w:r>
              <w:rPr>
                <w:b w:val="false"/>
                <w:bCs w:val="false"/>
                <w:sz w:val="18"/>
                <w:szCs w:val="18"/>
              </w:rPr>
              <w:t xml:space="preserve">−0.14 [−4.1, 3.6] (0.99)</w:t>
            </w:r>
          </w:p>
        </w:tc>
        <w:tc>
          <w:tcPr>
            <w:tcW w:type="dxa" w:w="3500"/>
            <w:tcMar>
              <w:top w:type="dxa" w:w="50"/>
              <w:left w:type="dxa" w:w="90"/>
              <w:bottom w:type="dxa" w:w="50"/>
              <w:right w:type="dxa" w:w="90"/>
            </w:tcMar>
          </w:tcPr>
          <w:p>
            <w:pPr>
              <w:jc w:val="center"/>
            </w:pPr>
            <w:r>
              <w:rPr>
                <w:b w:val="false"/>
                <w:bCs w:val="false"/>
                <w:sz w:val="18"/>
                <w:szCs w:val="18"/>
              </w:rPr>
              <w:t xml:space="preserve">−0.91 [−21.2, 17.1] (0.95)</w:t>
            </w:r>
          </w:p>
        </w:tc>
      </w:tr>
    </w:tbl>
    <w:p>
      <w:pPr>
        <w:spacing w:after="220" w:before="60"/>
      </w:pPr>
      <w:r>
        <w:rPr>
          <w:i/>
          <w:iCs/>
          <w:color w:val="444444"/>
          <w:sz w:val="17"/>
          <w:szCs w:val="17"/>
        </w:rPr>
        <w:t xml:space="preserve">State intervals are the estimate ± 1.96 standard deviations of 36 in-space placebo estimates; the pooled interval inverts 5,000 randomization draws.</w:t>
      </w:r>
    </w:p>
    <w:p>
      <w:pPr>
        <w:pStyle w:val="Heading2"/>
      </w:pPr>
      <w:r>
        <w:t xml:space="preserve">7.3 Traffic-safety controls for the 1980s bans</w:t>
      </w:r>
    </w:p>
    <w:p>
      <w:pPr>
        <w:spacing w:after="140" w:line="276"/>
      </w:pPr>
      <w:r>
        <w:t xml:space="preserve">The 1980s bans overlapped with other traffic-safety changes: seat-belt laws took effect in Kansas and North Carolina in 1986 and Indiana in 1987, right as their bans began, and many states raised rural speed limits to 65 mph in 1987. Using Cohen and Einav’s state panel (1983–1997), this check controls for primary and secondary seat-belt laws, 65-mph limits, .08 BAC laws and per-capita income, and adds impaired and sober deaths per vehicle-mile as outcomes. Georgia, where counties and cities around Atlanta banned happy hours locally in 1985, is already outside the comparison group.</w:t>
      </w:r>
    </w:p>
    <w:p>
      <w:pPr>
        <w:spacing w:after="140" w:line="276"/>
      </w:pPr>
      <w:r>
        <w:t xml:space="preserve">The alcohol measures stay flat: the impaired share moves +0.8 points ([−2.0, 4.0], p = 0.60) and impaired deaths per mile +2.0 log points (p = 0.77). The controls do not explain the sober shift: sober deaths still move from nighttime toward weekday evenings (+21.8 log points, p = 0.002), and the single-vehicle-night share changes by −1.2 points (p = 0.18). With the sober side moving, the net evening test reaches −21.6 (p = 0.04), nominally significant but for the reason given in Section 4: it reflects more sober evening deaths, not fewer impaired ones. Seat-belt laws are therefore not the explanation for the timing shift, and whatever caused it was not specific to alcohol.</w:t>
      </w:r>
    </w:p>
    <w:p>
      <w:pPr>
        <w:keepNext/>
        <w:spacing w:after="80" w:before="200"/>
      </w:pPr>
      <w:r>
        <w:rPr>
          <w:b/>
          <w:bCs/>
          <w:sz w:val="20"/>
          <w:szCs w:val="20"/>
        </w:rPr>
        <w:t xml:space="preserve">Table 8. 1980s bans, 1983–1995, with added controls: estimate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shd w:fill="DCE6F1" w:color="auto" w:val="clear"/>
            <w:tcMar>
              <w:top w:type="dxa" w:w="50"/>
              <w:left w:type="dxa" w:w="90"/>
              <w:bottom w:type="dxa" w:w="50"/>
              <w:right w:type="dxa" w:w="90"/>
            </w:tcMar>
          </w:tcPr>
          <w:p>
            <w:pPr>
              <w:jc w:val="left"/>
            </w:pPr>
            <w:r>
              <w:rPr>
                <w:b/>
                <w:bCs/>
                <w:sz w:val="18"/>
                <w:szCs w:val="18"/>
              </w:rPr>
              <w:t xml:space="preserve">Outcome</w:t>
            </w:r>
          </w:p>
        </w:tc>
        <w:tc>
          <w:tcPr>
            <w:tcW w:type="dxa" w:w="2500"/>
            <w:shd w:fill="DCE6F1" w:color="auto" w:val="clear"/>
            <w:tcMar>
              <w:top w:type="dxa" w:w="50"/>
              <w:left w:type="dxa" w:w="90"/>
              <w:bottom w:type="dxa" w:w="50"/>
              <w:right w:type="dxa" w:w="90"/>
            </w:tcMar>
          </w:tcPr>
          <w:p>
            <w:pPr>
              <w:jc w:val="center"/>
            </w:pPr>
            <w:r>
              <w:rPr>
                <w:b/>
                <w:bCs/>
                <w:sz w:val="18"/>
                <w:szCs w:val="18"/>
              </w:rPr>
              <w:t xml:space="preserve">Drinking age only</w:t>
            </w:r>
          </w:p>
        </w:tc>
        <w:tc>
          <w:tcPr>
            <w:tcW w:type="dxa" w:w="2500"/>
            <w:shd w:fill="DCE6F1" w:color="auto" w:val="clear"/>
            <w:tcMar>
              <w:top w:type="dxa" w:w="50"/>
              <w:left w:type="dxa" w:w="90"/>
              <w:bottom w:type="dxa" w:w="50"/>
              <w:right w:type="dxa" w:w="90"/>
            </w:tcMar>
          </w:tcPr>
          <w:p>
            <w:pPr>
              <w:jc w:val="center"/>
            </w:pPr>
            <w:r>
              <w:rPr>
                <w:b/>
                <w:bCs/>
                <w:sz w:val="18"/>
                <w:szCs w:val="18"/>
              </w:rPr>
              <w:t xml:space="preserve">+ traffic-safety controls</w:t>
            </w:r>
          </w:p>
        </w:tc>
      </w:tr>
      <w:tr>
        <w:tc>
          <w:tcPr>
            <w:tcW w:type="dxa" w:w="4360"/>
            <w:tcMar>
              <w:top w:type="dxa" w:w="50"/>
              <w:left w:type="dxa" w:w="90"/>
              <w:bottom w:type="dxa" w:w="50"/>
              <w:right w:type="dxa" w:w="90"/>
            </w:tcMar>
          </w:tcPr>
          <w:p>
            <w:pPr>
              <w:jc w:val="left"/>
            </w:pPr>
            <w:r>
              <w:rPr>
                <w:b w:val="false"/>
                <w:bCs w:val="false"/>
                <w:sz w:val="18"/>
                <w:szCs w:val="18"/>
              </w:rPr>
              <w:t xml:space="preserve">Impaired share (pp)</w:t>
            </w:r>
          </w:p>
        </w:tc>
        <w:tc>
          <w:tcPr>
            <w:tcW w:type="dxa" w:w="2500"/>
            <w:tcMar>
              <w:top w:type="dxa" w:w="50"/>
              <w:left w:type="dxa" w:w="90"/>
              <w:bottom w:type="dxa" w:w="50"/>
              <w:right w:type="dxa" w:w="90"/>
            </w:tcMar>
          </w:tcPr>
          <w:p>
            <w:pPr>
              <w:jc w:val="center"/>
            </w:pPr>
            <w:r>
              <w:rPr>
                <w:b w:val="false"/>
                <w:bCs w:val="false"/>
                <w:sz w:val="18"/>
                <w:szCs w:val="18"/>
              </w:rPr>
              <w:t xml:space="preserve">+0.52 (0.75)</w:t>
            </w:r>
          </w:p>
        </w:tc>
        <w:tc>
          <w:tcPr>
            <w:tcW w:type="dxa" w:w="2500"/>
            <w:tcMar>
              <w:top w:type="dxa" w:w="50"/>
              <w:left w:type="dxa" w:w="90"/>
              <w:bottom w:type="dxa" w:w="50"/>
              <w:right w:type="dxa" w:w="90"/>
            </w:tcMar>
          </w:tcPr>
          <w:p>
            <w:pPr>
              <w:jc w:val="center"/>
            </w:pPr>
            <w:r>
              <w:rPr>
                <w:b w:val="false"/>
                <w:bCs w:val="false"/>
                <w:sz w:val="18"/>
                <w:szCs w:val="18"/>
              </w:rPr>
              <w:t xml:space="preserve">+0.79 (0.60)</w:t>
            </w:r>
          </w:p>
        </w:tc>
      </w:tr>
      <w:tr>
        <w:tc>
          <w:tcPr>
            <w:tcW w:type="dxa" w:w="4360"/>
            <w:tcMar>
              <w:top w:type="dxa" w:w="50"/>
              <w:left w:type="dxa" w:w="90"/>
              <w:bottom w:type="dxa" w:w="50"/>
              <w:right w:type="dxa" w:w="90"/>
            </w:tcMar>
          </w:tcPr>
          <w:p>
            <w:pPr>
              <w:jc w:val="left"/>
            </w:pPr>
            <w:r>
              <w:rPr>
                <w:b w:val="false"/>
                <w:bCs w:val="false"/>
                <w:sz w:val="18"/>
                <w:szCs w:val="18"/>
              </w:rPr>
              <w:t xml:space="preserve">Log odds, impaired vs. sober (x100)</w:t>
            </w:r>
          </w:p>
        </w:tc>
        <w:tc>
          <w:tcPr>
            <w:tcW w:type="dxa" w:w="2500"/>
            <w:tcMar>
              <w:top w:type="dxa" w:w="50"/>
              <w:left w:type="dxa" w:w="90"/>
              <w:bottom w:type="dxa" w:w="50"/>
              <w:right w:type="dxa" w:w="90"/>
            </w:tcMar>
          </w:tcPr>
          <w:p>
            <w:pPr>
              <w:jc w:val="center"/>
            </w:pPr>
            <w:r>
              <w:rPr>
                <w:b w:val="false"/>
                <w:bCs w:val="false"/>
                <w:sz w:val="18"/>
                <w:szCs w:val="18"/>
              </w:rPr>
              <w:t xml:space="preserve">+2.44 (0.76)</w:t>
            </w:r>
          </w:p>
        </w:tc>
        <w:tc>
          <w:tcPr>
            <w:tcW w:type="dxa" w:w="2500"/>
            <w:tcMar>
              <w:top w:type="dxa" w:w="50"/>
              <w:left w:type="dxa" w:w="90"/>
              <w:bottom w:type="dxa" w:w="50"/>
              <w:right w:type="dxa" w:w="90"/>
            </w:tcMar>
          </w:tcPr>
          <w:p>
            <w:pPr>
              <w:jc w:val="center"/>
            </w:pPr>
            <w:r>
              <w:rPr>
                <w:b w:val="false"/>
                <w:bCs w:val="false"/>
                <w:sz w:val="18"/>
                <w:szCs w:val="18"/>
              </w:rPr>
              <w:t xml:space="preserve">+3.65 (0.53)</w:t>
            </w:r>
          </w:p>
        </w:tc>
      </w:tr>
      <w:tr>
        <w:tc>
          <w:tcPr>
            <w:tcW w:type="dxa" w:w="4360"/>
            <w:tcMar>
              <w:top w:type="dxa" w:w="50"/>
              <w:left w:type="dxa" w:w="90"/>
              <w:bottom w:type="dxa" w:w="50"/>
              <w:right w:type="dxa" w:w="90"/>
            </w:tcMar>
          </w:tcPr>
          <w:p>
            <w:pPr>
              <w:jc w:val="left"/>
            </w:pPr>
            <w:r>
              <w:rPr>
                <w:b w:val="false"/>
                <w:bCs w:val="false"/>
                <w:sz w:val="18"/>
                <w:szCs w:val="18"/>
              </w:rPr>
              <w:t xml:space="preserve">Log impaired deaths per mile (x100)</w:t>
            </w:r>
          </w:p>
        </w:tc>
        <w:tc>
          <w:tcPr>
            <w:tcW w:type="dxa" w:w="2500"/>
            <w:tcMar>
              <w:top w:type="dxa" w:w="50"/>
              <w:left w:type="dxa" w:w="90"/>
              <w:bottom w:type="dxa" w:w="50"/>
              <w:right w:type="dxa" w:w="90"/>
            </w:tcMar>
          </w:tcPr>
          <w:p>
            <w:pPr>
              <w:jc w:val="center"/>
            </w:pPr>
            <w:r>
              <w:rPr>
                <w:b w:val="false"/>
                <w:bCs w:val="false"/>
                <w:sz w:val="18"/>
                <w:szCs w:val="18"/>
              </w:rPr>
              <w:t xml:space="preserve">+3.32 (0.69)</w:t>
            </w:r>
          </w:p>
        </w:tc>
        <w:tc>
          <w:tcPr>
            <w:tcW w:type="dxa" w:w="2500"/>
            <w:tcMar>
              <w:top w:type="dxa" w:w="50"/>
              <w:left w:type="dxa" w:w="90"/>
              <w:bottom w:type="dxa" w:w="50"/>
              <w:right w:type="dxa" w:w="90"/>
            </w:tcMar>
          </w:tcPr>
          <w:p>
            <w:pPr>
              <w:jc w:val="center"/>
            </w:pPr>
            <w:r>
              <w:rPr>
                <w:b w:val="false"/>
                <w:bCs w:val="false"/>
                <w:sz w:val="18"/>
                <w:szCs w:val="18"/>
              </w:rPr>
              <w:t xml:space="preserve">+1.96 (0.77)</w:t>
            </w:r>
          </w:p>
        </w:tc>
      </w:tr>
      <w:tr>
        <w:tc>
          <w:tcPr>
            <w:tcW w:type="dxa" w:w="4360"/>
            <w:tcMar>
              <w:top w:type="dxa" w:w="50"/>
              <w:left w:type="dxa" w:w="90"/>
              <w:bottom w:type="dxa" w:w="50"/>
              <w:right w:type="dxa" w:w="90"/>
            </w:tcMar>
          </w:tcPr>
          <w:p>
            <w:pPr>
              <w:jc w:val="left"/>
            </w:pPr>
            <w:r>
              <w:rPr>
                <w:b w:val="false"/>
                <w:bCs w:val="false"/>
                <w:sz w:val="18"/>
                <w:szCs w:val="18"/>
              </w:rPr>
              <w:t xml:space="preserve">Log sober deaths per mile: placebo (x100)</w:t>
            </w:r>
          </w:p>
        </w:tc>
        <w:tc>
          <w:tcPr>
            <w:tcW w:type="dxa" w:w="2500"/>
            <w:tcMar>
              <w:top w:type="dxa" w:w="50"/>
              <w:left w:type="dxa" w:w="90"/>
              <w:bottom w:type="dxa" w:w="50"/>
              <w:right w:type="dxa" w:w="90"/>
            </w:tcMar>
          </w:tcPr>
          <w:p>
            <w:pPr>
              <w:jc w:val="center"/>
            </w:pPr>
            <w:r>
              <w:rPr>
                <w:b w:val="false"/>
                <w:bCs w:val="false"/>
                <w:sz w:val="18"/>
                <w:szCs w:val="18"/>
              </w:rPr>
              <w:t xml:space="preserve">+0.88 (0.93)</w:t>
            </w:r>
          </w:p>
        </w:tc>
        <w:tc>
          <w:tcPr>
            <w:tcW w:type="dxa" w:w="2500"/>
            <w:tcMar>
              <w:top w:type="dxa" w:w="50"/>
              <w:left w:type="dxa" w:w="90"/>
              <w:bottom w:type="dxa" w:w="50"/>
              <w:right w:type="dxa" w:w="90"/>
            </w:tcMar>
          </w:tcPr>
          <w:p>
            <w:pPr>
              <w:jc w:val="center"/>
            </w:pPr>
            <w:r>
              <w:rPr>
                <w:b w:val="false"/>
                <w:bCs w:val="false"/>
                <w:sz w:val="18"/>
                <w:szCs w:val="18"/>
              </w:rPr>
              <w:t xml:space="preserve">−1.69 (0.73)</w:t>
            </w:r>
          </w:p>
        </w:tc>
      </w:tr>
      <w:tr>
        <w:tc>
          <w:tcPr>
            <w:tcW w:type="dxa" w:w="4360"/>
            <w:tcMar>
              <w:top w:type="dxa" w:w="50"/>
              <w:left w:type="dxa" w:w="90"/>
              <w:bottom w:type="dxa" w:w="50"/>
              <w:right w:type="dxa" w:w="90"/>
            </w:tcMar>
          </w:tcPr>
          <w:p>
            <w:pPr>
              <w:jc w:val="left"/>
            </w:pPr>
            <w:r>
              <w:rPr>
                <w:b w:val="false"/>
                <w:bCs w:val="false"/>
                <w:sz w:val="18"/>
                <w:szCs w:val="18"/>
              </w:rPr>
              <w:t xml:space="preserve">Single-vehicle-night share (pp)</w:t>
            </w:r>
          </w:p>
        </w:tc>
        <w:tc>
          <w:tcPr>
            <w:tcW w:type="dxa" w:w="2500"/>
            <w:tcMar>
              <w:top w:type="dxa" w:w="50"/>
              <w:left w:type="dxa" w:w="90"/>
              <w:bottom w:type="dxa" w:w="50"/>
              <w:right w:type="dxa" w:w="90"/>
            </w:tcMar>
          </w:tcPr>
          <w:p>
            <w:pPr>
              <w:jc w:val="center"/>
            </w:pPr>
            <w:r>
              <w:rPr>
                <w:b w:val="false"/>
                <w:bCs w:val="false"/>
                <w:sz w:val="18"/>
                <w:szCs w:val="18"/>
              </w:rPr>
              <w:t xml:space="preserve">−1.34 (0.11)</w:t>
            </w:r>
          </w:p>
        </w:tc>
        <w:tc>
          <w:tcPr>
            <w:tcW w:type="dxa" w:w="2500"/>
            <w:tcMar>
              <w:top w:type="dxa" w:w="50"/>
              <w:left w:type="dxa" w:w="90"/>
              <w:bottom w:type="dxa" w:w="50"/>
              <w:right w:type="dxa" w:w="90"/>
            </w:tcMar>
          </w:tcPr>
          <w:p>
            <w:pPr>
              <w:jc w:val="center"/>
            </w:pPr>
            <w:r>
              <w:rPr>
                <w:b w:val="false"/>
                <w:bCs w:val="false"/>
                <w:sz w:val="18"/>
                <w:szCs w:val="18"/>
              </w:rPr>
              <w:t xml:space="preserve">−1.21 (0.18)</w:t>
            </w:r>
          </w:p>
        </w:tc>
      </w:tr>
      <w:tr>
        <w:tc>
          <w:tcPr>
            <w:tcW w:type="dxa" w:w="4360"/>
            <w:tcMar>
              <w:top w:type="dxa" w:w="50"/>
              <w:left w:type="dxa" w:w="90"/>
              <w:bottom w:type="dxa" w:w="50"/>
              <w:right w:type="dxa" w:w="90"/>
            </w:tcMar>
          </w:tcPr>
          <w:p>
            <w:pPr>
              <w:jc w:val="left"/>
            </w:pPr>
            <w:r>
              <w:rPr>
                <w:b w:val="false"/>
                <w:bCs w:val="false"/>
                <w:sz w:val="18"/>
                <w:szCs w:val="18"/>
              </w:rPr>
              <w:t xml:space="preserve">Evening-vs-night, sober deaths: placebo (x100)</w:t>
            </w:r>
          </w:p>
        </w:tc>
        <w:tc>
          <w:tcPr>
            <w:tcW w:type="dxa" w:w="2500"/>
            <w:tcMar>
              <w:top w:type="dxa" w:w="50"/>
              <w:left w:type="dxa" w:w="90"/>
              <w:bottom w:type="dxa" w:w="50"/>
              <w:right w:type="dxa" w:w="90"/>
            </w:tcMar>
          </w:tcPr>
          <w:p>
            <w:pPr>
              <w:jc w:val="center"/>
            </w:pPr>
            <w:r>
              <w:rPr>
                <w:b w:val="false"/>
                <w:bCs w:val="false"/>
                <w:sz w:val="18"/>
                <w:szCs w:val="18"/>
              </w:rPr>
              <w:t xml:space="preserve">+17.63 (0.009)</w:t>
            </w:r>
          </w:p>
        </w:tc>
        <w:tc>
          <w:tcPr>
            <w:tcW w:type="dxa" w:w="2500"/>
            <w:tcMar>
              <w:top w:type="dxa" w:w="50"/>
              <w:left w:type="dxa" w:w="90"/>
              <w:bottom w:type="dxa" w:w="50"/>
              <w:right w:type="dxa" w:w="90"/>
            </w:tcMar>
          </w:tcPr>
          <w:p>
            <w:pPr>
              <w:jc w:val="center"/>
            </w:pPr>
            <w:r>
              <w:rPr>
                <w:b w:val="false"/>
                <w:bCs w:val="false"/>
                <w:sz w:val="18"/>
                <w:szCs w:val="18"/>
              </w:rPr>
              <w:t xml:space="preserve">+21.83 (0.002)</w:t>
            </w:r>
          </w:p>
        </w:tc>
      </w:tr>
      <w:tr>
        <w:tc>
          <w:tcPr>
            <w:tcW w:type="dxa" w:w="4360"/>
            <w:tcMar>
              <w:top w:type="dxa" w:w="50"/>
              <w:left w:type="dxa" w:w="90"/>
              <w:bottom w:type="dxa" w:w="50"/>
              <w:right w:type="dxa" w:w="90"/>
            </w:tcMar>
          </w:tcPr>
          <w:p>
            <w:pPr>
              <w:jc w:val="left"/>
            </w:pPr>
            <w:r>
              <w:rPr>
                <w:b w:val="false"/>
                <w:bCs w:val="false"/>
                <w:sz w:val="18"/>
                <w:szCs w:val="18"/>
              </w:rPr>
              <w:t xml:space="preserve">Net evening test (x100)</w:t>
            </w:r>
          </w:p>
        </w:tc>
        <w:tc>
          <w:tcPr>
            <w:tcW w:type="dxa" w:w="2500"/>
            <w:tcMar>
              <w:top w:type="dxa" w:w="50"/>
              <w:left w:type="dxa" w:w="90"/>
              <w:bottom w:type="dxa" w:w="50"/>
              <w:right w:type="dxa" w:w="90"/>
            </w:tcMar>
          </w:tcPr>
          <w:p>
            <w:pPr>
              <w:jc w:val="center"/>
            </w:pPr>
            <w:r>
              <w:rPr>
                <w:b w:val="false"/>
                <w:bCs w:val="false"/>
                <w:sz w:val="18"/>
                <w:szCs w:val="18"/>
              </w:rPr>
              <w:t xml:space="preserve">−12.85 (0.23)</w:t>
            </w:r>
          </w:p>
        </w:tc>
        <w:tc>
          <w:tcPr>
            <w:tcW w:type="dxa" w:w="2500"/>
            <w:tcMar>
              <w:top w:type="dxa" w:w="50"/>
              <w:left w:type="dxa" w:w="90"/>
              <w:bottom w:type="dxa" w:w="50"/>
              <w:right w:type="dxa" w:w="90"/>
            </w:tcMar>
          </w:tcPr>
          <w:p>
            <w:pPr>
              <w:jc w:val="center"/>
            </w:pPr>
            <w:r>
              <w:rPr>
                <w:b w:val="false"/>
                <w:bCs w:val="false"/>
                <w:sz w:val="18"/>
                <w:szCs w:val="18"/>
              </w:rPr>
              <w:t xml:space="preserve">−21.62 (0.04)</w:t>
            </w:r>
          </w:p>
        </w:tc>
      </w:tr>
    </w:tbl>
    <w:p>
      <w:pPr>
        <w:keepNext/>
        <w:spacing w:before="120"/>
        <w:jc w:val="center"/>
      </w:pPr>
      <w:r>
        <w:drawing>
          <wp:inline distT="0" distB="0" distL="0" distR="0">
            <wp:extent cx="59436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809875"/>
                    </a:xfrm>
                    <a:prstGeom prst="rect">
                      <a:avLst/>
                    </a:prstGeom>
                  </pic:spPr>
                </pic:pic>
              </a:graphicData>
            </a:graphic>
          </wp:inline>
        </w:drawing>
      </w:r>
    </w:p>
    <w:p>
      <w:pPr>
        <w:spacing w:after="220" w:before="60"/>
      </w:pPr>
      <w:r>
        <w:rPr>
          <w:i/>
          <w:iCs/>
          <w:color w:val="444444"/>
          <w:sz w:val="17"/>
          <w:szCs w:val="17"/>
        </w:rPr>
        <w:t xml:space="preserve">Figure 6. 1980s bans with and without traffic-safety controls (95% randomization intervals).</w:t>
      </w:r>
    </w:p>
    <w:p>
      <w:pPr>
        <w:pStyle w:val="Heading2"/>
      </w:pPr>
      <w:r>
        <w:t xml:space="preserve">7.4 Coding and data checks</w:t>
      </w:r>
    </w:p>
    <w:p>
      <w:pPr>
        <w:spacing w:after="140" w:line="276"/>
      </w:pPr>
      <w:r>
        <w:t xml:space="preserve">Oklahoma’s repeal took effect on October 1, 2018, the same day as State Question 792’s liquor modernization (full-strength beer and wine in grocery and convenience stores, refrigerated beer in liquor stores) and a law letting breweries stay open until 2 a.m., so its post-period measures a bundle; Table 1 notes this. In the modern design Utah is coded as banned throughout, as in APIS, although some press accounts date its comprehensive ban to 2011; the law-by-law check found no statewide Utah law in 1980–1995, which is why Utah sits in the 1980s comparison group. If Utah adopted its ban during the modern sample, it is not a clean comparison state there; dropping it moves the modern-repeal estimate from −1.39 to −1.30 points. NHTSA first released the 2024 FARS annual file on April 1, 2026, and final releases follow 12 to 15 months after the initial release, so the 2024 jumps in Kansas and Oklahoma should be re-checked in the final file. On the same schedule, Indiana’s first full post-repeal year (2025) would arrive around spring 2027.</w:t>
      </w:r>
    </w:p>
    <w:p>
      <w:pPr>
        <w:pStyle w:val="Heading2"/>
      </w:pPr>
      <w:r>
        <w:t xml:space="preserve">7.5 Deaths per vehicle-mile (FHWA VM-2)</w:t>
      </w:r>
    </w:p>
    <w:p>
      <w:pPr>
        <w:spacing w:after="140" w:line="276"/>
      </w:pPr>
      <w:r>
        <w:t xml:space="preserve">FHWA’s VM-2 series gives vehicle-miles traveled by state, road type and rural or urban area for 1980–2024. Summed to state totals, it matches Cohen and Einav’s mileage series to within 0.2% in 90% of state-years over their 1983–1997 overlap. Rates per mile answer the exposure question directly: if lifting a ban raised drinking and driving, impaired deaths per mile should rise while sober deaths per mile stay put.</w:t>
      </w:r>
    </w:p>
    <w:p>
      <w:pPr>
        <w:spacing w:after="140" w:line="276"/>
      </w:pPr>
      <w:r>
        <w:t xml:space="preserve">After the modern repeals, impaired deaths per 100 million vehicle-miles (0.33 in the three states before repeal) changed by +1.5% (95% interval −15.6% to +23.7%, p = 0.74); synthetic difference-in-differences gives −0.7% (p = 0.99). Sober deaths per mile, the placebo, rose +9% (p = 0.09) by similar amounts in all three states, and +7% (p = 0.25) without 2020–21. That is a general rise in road deaths in these states, not an alcohol effect, and it is exactly what the log odds of impaired versus sober deaths nets out: the log-odds estimate equals the impaired-per-mile estimate minus the sober-per-mile estimate. After the 1980s bans, impaired deaths per mile (1.03 per 100 million miles before the bans) changed by +3.7% (−8.9% to +15.5%, p = 0.72), and by +1.6% with the full traffic-safety controls, so the bans did not cut the per-mile rate by more than about 9%. Adding log vehicle-miles and the rural share of driving as covariates leaves the modern-repeal estimates unchanged (impaired share −1.3 points, p = 0.79).</w:t>
      </w:r>
    </w:p>
    <w:p>
      <w:pPr>
        <w:keepNext/>
        <w:spacing w:after="80" w:before="200"/>
      </w:pPr>
      <w:r>
        <w:rPr>
          <w:b/>
          <w:bCs/>
          <w:sz w:val="20"/>
          <w:szCs w:val="20"/>
        </w:rPr>
        <w:t xml:space="preserve">Table 9. Estimates with FHWA vehicle-miles: estimate [95% CI] (per-mile outcomes in log points; shares in 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00"/>
        <w:gridCol w:w="2900"/>
        <w:gridCol w:w="2110"/>
        <w:gridCol w:w="800"/>
      </w:tblGrid>
      <w:tr>
        <w:trPr>
          <w:tblHeader/>
        </w:trPr>
        <w:tc>
          <w:tcPr>
            <w:tcW w:type="dxa" w:w="1150"/>
            <w:shd w:fill="DCE6F1" w:color="auto" w:val="clear"/>
            <w:tcMar>
              <w:top w:type="dxa" w:w="50"/>
              <w:left w:type="dxa" w:w="90"/>
              <w:bottom w:type="dxa" w:w="50"/>
              <w:right w:type="dxa" w:w="90"/>
            </w:tcMar>
          </w:tcPr>
          <w:p>
            <w:pPr>
              <w:jc w:val="left"/>
            </w:pPr>
            <w:r>
              <w:rPr>
                <w:b/>
                <w:bCs/>
                <w:sz w:val="18"/>
                <w:szCs w:val="18"/>
              </w:rPr>
              <w:t xml:space="preserve">Design</w:t>
            </w:r>
          </w:p>
        </w:tc>
        <w:tc>
          <w:tcPr>
            <w:tcW w:type="dxa" w:w="2400"/>
            <w:shd w:fill="DCE6F1" w:color="auto" w:val="clear"/>
            <w:tcMar>
              <w:top w:type="dxa" w:w="50"/>
              <w:left w:type="dxa" w:w="90"/>
              <w:bottom w:type="dxa" w:w="50"/>
              <w:right w:type="dxa" w:w="90"/>
            </w:tcMar>
          </w:tcPr>
          <w:p>
            <w:pPr>
              <w:jc w:val="center"/>
            </w:pPr>
            <w:r>
              <w:rPr>
                <w:b/>
                <w:bCs/>
                <w:sz w:val="18"/>
                <w:szCs w:val="18"/>
              </w:rPr>
              <w:t xml:space="preserve">Specification</w:t>
            </w:r>
          </w:p>
        </w:tc>
        <w:tc>
          <w:tcPr>
            <w:tcW w:type="dxa" w:w="2900"/>
            <w:shd w:fill="DCE6F1" w:color="auto" w:val="clear"/>
            <w:tcMar>
              <w:top w:type="dxa" w:w="50"/>
              <w:left w:type="dxa" w:w="90"/>
              <w:bottom w:type="dxa" w:w="50"/>
              <w:right w:type="dxa" w:w="90"/>
            </w:tcMar>
          </w:tcPr>
          <w:p>
            <w:pPr>
              <w:jc w:val="center"/>
            </w:pPr>
            <w:r>
              <w:rPr>
                <w:b/>
                <w:bCs/>
                <w:sz w:val="18"/>
                <w:szCs w:val="18"/>
              </w:rPr>
              <w:t xml:space="preserve">Outcome</w:t>
            </w:r>
          </w:p>
        </w:tc>
        <w:tc>
          <w:tcPr>
            <w:tcW w:type="dxa" w:w="2110"/>
            <w:shd w:fill="DCE6F1" w:color="auto" w:val="clear"/>
            <w:tcMar>
              <w:top w:type="dxa" w:w="50"/>
              <w:left w:type="dxa" w:w="90"/>
              <w:bottom w:type="dxa" w:w="50"/>
              <w:right w:type="dxa" w:w="90"/>
            </w:tcMar>
          </w:tcPr>
          <w:p>
            <w:pPr>
              <w:jc w:val="center"/>
            </w:pPr>
            <w:r>
              <w:rPr>
                <w:b/>
                <w:bCs/>
                <w:sz w:val="18"/>
                <w:szCs w:val="18"/>
              </w:rPr>
              <w:t xml:space="preserve">Estimate [95% CI]</w:t>
            </w:r>
          </w:p>
        </w:tc>
        <w:tc>
          <w:tcPr>
            <w:tcW w:type="dxa" w:w="800"/>
            <w:shd w:fill="DCE6F1" w:color="auto" w:val="clear"/>
            <w:tcMar>
              <w:top w:type="dxa" w:w="50"/>
              <w:left w:type="dxa" w:w="90"/>
              <w:bottom w:type="dxa" w:w="50"/>
              <w:right w:type="dxa" w:w="90"/>
            </w:tcMar>
          </w:tcPr>
          <w:p>
            <w:pPr>
              <w:jc w:val="center"/>
            </w:pPr>
            <w:r>
              <w:rPr>
                <w:b/>
                <w:bCs/>
                <w:sz w:val="18"/>
                <w:szCs w:val="18"/>
              </w:rPr>
              <w:t xml:space="preserve">p</w:t>
            </w:r>
          </w:p>
        </w:tc>
      </w:tr>
      <w:tr>
        <w:tc>
          <w:tcPr>
            <w:tcW w:type="dxa" w:w="1150"/>
            <w:tcMar>
              <w:top w:type="dxa" w:w="50"/>
              <w:left w:type="dxa" w:w="90"/>
              <w:bottom w:type="dxa" w:w="50"/>
              <w:right w:type="dxa" w:w="90"/>
            </w:tcMar>
          </w:tcPr>
          <w:p>
            <w:pPr>
              <w:jc w:val="left"/>
            </w:pPr>
            <w:r>
              <w:rPr>
                <w:b w:val="false"/>
                <w:bCs w:val="false"/>
                <w:sz w:val="18"/>
                <w:szCs w:val="18"/>
              </w:rPr>
              <w:t xml:space="preserve">Repeals</w:t>
            </w:r>
          </w:p>
        </w:tc>
        <w:tc>
          <w:tcPr>
            <w:tcW w:type="dxa" w:w="2400"/>
            <w:tcMar>
              <w:top w:type="dxa" w:w="50"/>
              <w:left w:type="dxa" w:w="90"/>
              <w:bottom w:type="dxa" w:w="50"/>
              <w:right w:type="dxa" w:w="90"/>
            </w:tcMar>
          </w:tcPr>
          <w:p>
            <w:pPr>
              <w:jc w:val="left"/>
            </w:pPr>
            <w:r>
              <w:rPr>
                <w:b w:val="false"/>
                <w:bCs w:val="false"/>
                <w:sz w:val="18"/>
                <w:szCs w:val="18"/>
              </w:rPr>
              <w:t xml:space="preserve">main</w:t>
            </w:r>
          </w:p>
        </w:tc>
        <w:tc>
          <w:tcPr>
            <w:tcW w:type="dxa" w:w="2900"/>
            <w:tcMar>
              <w:top w:type="dxa" w:w="50"/>
              <w:left w:type="dxa" w:w="90"/>
              <w:bottom w:type="dxa" w:w="50"/>
              <w:right w:type="dxa" w:w="90"/>
            </w:tcMar>
          </w:tcPr>
          <w:p>
            <w:pPr>
              <w:jc w:val="left"/>
            </w:pPr>
            <w:r>
              <w:rPr>
                <w:b w:val="false"/>
                <w:bCs w:val="false"/>
                <w:sz w:val="18"/>
                <w:szCs w:val="18"/>
              </w:rPr>
              <w:t xml:space="preserve">Impaired deaths per mile (log x100)</w:t>
            </w:r>
          </w:p>
        </w:tc>
        <w:tc>
          <w:tcPr>
            <w:tcW w:type="dxa" w:w="2110"/>
            <w:tcMar>
              <w:top w:type="dxa" w:w="50"/>
              <w:left w:type="dxa" w:w="90"/>
              <w:bottom w:type="dxa" w:w="50"/>
              <w:right w:type="dxa" w:w="90"/>
            </w:tcMar>
          </w:tcPr>
          <w:p>
            <w:pPr>
              <w:jc w:val="center"/>
            </w:pPr>
            <w:r>
              <w:rPr>
                <w:b w:val="false"/>
                <w:bCs w:val="false"/>
                <w:sz w:val="18"/>
                <w:szCs w:val="18"/>
              </w:rPr>
              <w:t xml:space="preserve">+1.46 [−16.9, 21.3]</w:t>
            </w:r>
          </w:p>
        </w:tc>
        <w:tc>
          <w:tcPr>
            <w:tcW w:type="dxa" w:w="800"/>
            <w:tcMar>
              <w:top w:type="dxa" w:w="50"/>
              <w:left w:type="dxa" w:w="90"/>
              <w:bottom w:type="dxa" w:w="50"/>
              <w:right w:type="dxa" w:w="90"/>
            </w:tcMar>
          </w:tcPr>
          <w:p>
            <w:pPr>
              <w:jc w:val="center"/>
            </w:pPr>
            <w:r>
              <w:rPr>
                <w:b w:val="false"/>
                <w:bCs w:val="false"/>
                <w:sz w:val="18"/>
                <w:szCs w:val="18"/>
              </w:rPr>
              <w:t xml:space="preserve">0.74</w:t>
            </w:r>
          </w:p>
        </w:tc>
      </w:tr>
      <w:tr>
        <w:tc>
          <w:tcPr>
            <w:tcW w:type="dxa" w:w="1150"/>
            <w:tcMar>
              <w:top w:type="dxa" w:w="50"/>
              <w:left w:type="dxa" w:w="90"/>
              <w:bottom w:type="dxa" w:w="50"/>
              <w:right w:type="dxa" w:w="90"/>
            </w:tcMar>
          </w:tcPr>
          <w:p>
            <w:pPr>
              <w:jc w:val="left"/>
            </w:pPr>
            <w:r>
              <w:rPr>
                <w:b w:val="false"/>
                <w:bCs w:val="false"/>
                <w:sz w:val="18"/>
                <w:szCs w:val="18"/>
              </w:rPr>
              <w:t xml:space="preserve">Repeals</w:t>
            </w:r>
          </w:p>
        </w:tc>
        <w:tc>
          <w:tcPr>
            <w:tcW w:type="dxa" w:w="2400"/>
            <w:tcMar>
              <w:top w:type="dxa" w:w="50"/>
              <w:left w:type="dxa" w:w="90"/>
              <w:bottom w:type="dxa" w:w="50"/>
              <w:right w:type="dxa" w:w="90"/>
            </w:tcMar>
          </w:tcPr>
          <w:p>
            <w:pPr>
              <w:jc w:val="left"/>
            </w:pPr>
            <w:r>
              <w:rPr>
                <w:b w:val="false"/>
                <w:bCs w:val="false"/>
                <w:sz w:val="18"/>
                <w:szCs w:val="18"/>
              </w:rPr>
              <w:t xml:space="preserve">main</w:t>
            </w:r>
          </w:p>
        </w:tc>
        <w:tc>
          <w:tcPr>
            <w:tcW w:type="dxa" w:w="2900"/>
            <w:tcMar>
              <w:top w:type="dxa" w:w="50"/>
              <w:left w:type="dxa" w:w="90"/>
              <w:bottom w:type="dxa" w:w="50"/>
              <w:right w:type="dxa" w:w="90"/>
            </w:tcMar>
          </w:tcPr>
          <w:p>
            <w:pPr>
              <w:jc w:val="left"/>
            </w:pPr>
            <w:r>
              <w:rPr>
                <w:b w:val="false"/>
                <w:bCs w:val="false"/>
                <w:sz w:val="18"/>
                <w:szCs w:val="18"/>
              </w:rPr>
              <w:t xml:space="preserve">Sober deaths per mile: placebo (log x100)</w:t>
            </w:r>
          </w:p>
        </w:tc>
        <w:tc>
          <w:tcPr>
            <w:tcW w:type="dxa" w:w="2110"/>
            <w:tcMar>
              <w:top w:type="dxa" w:w="50"/>
              <w:left w:type="dxa" w:w="90"/>
              <w:bottom w:type="dxa" w:w="50"/>
              <w:right w:type="dxa" w:w="90"/>
            </w:tcMar>
          </w:tcPr>
          <w:p>
            <w:pPr>
              <w:jc w:val="center"/>
            </w:pPr>
            <w:r>
              <w:rPr>
                <w:b w:val="false"/>
                <w:bCs w:val="false"/>
                <w:sz w:val="18"/>
                <w:szCs w:val="18"/>
              </w:rPr>
              <w:t xml:space="preserve">+8.77 [−1.0, 17.5]</w:t>
            </w:r>
          </w:p>
        </w:tc>
        <w:tc>
          <w:tcPr>
            <w:tcW w:type="dxa" w:w="800"/>
            <w:tcMar>
              <w:top w:type="dxa" w:w="50"/>
              <w:left w:type="dxa" w:w="90"/>
              <w:bottom w:type="dxa" w:w="50"/>
              <w:right w:type="dxa" w:w="90"/>
            </w:tcMar>
          </w:tcPr>
          <w:p>
            <w:pPr>
              <w:jc w:val="center"/>
            </w:pPr>
            <w:r>
              <w:rPr>
                <w:b w:val="false"/>
                <w:bCs w:val="false"/>
                <w:sz w:val="18"/>
                <w:szCs w:val="18"/>
              </w:rPr>
              <w:t xml:space="preserve">0.09</w:t>
            </w:r>
          </w:p>
        </w:tc>
      </w:tr>
      <w:tr>
        <w:tc>
          <w:tcPr>
            <w:tcW w:type="dxa" w:w="1150"/>
            <w:tcMar>
              <w:top w:type="dxa" w:w="50"/>
              <w:left w:type="dxa" w:w="90"/>
              <w:bottom w:type="dxa" w:w="50"/>
              <w:right w:type="dxa" w:w="90"/>
            </w:tcMar>
          </w:tcPr>
          <w:p>
            <w:pPr>
              <w:jc w:val="left"/>
            </w:pPr>
            <w:r>
              <w:rPr>
                <w:b w:val="false"/>
                <w:bCs w:val="false"/>
                <w:sz w:val="18"/>
                <w:szCs w:val="18"/>
              </w:rPr>
              <w:t xml:space="preserve">Repeals</w:t>
            </w:r>
          </w:p>
        </w:tc>
        <w:tc>
          <w:tcPr>
            <w:tcW w:type="dxa" w:w="2400"/>
            <w:tcMar>
              <w:top w:type="dxa" w:w="50"/>
              <w:left w:type="dxa" w:w="90"/>
              <w:bottom w:type="dxa" w:w="50"/>
              <w:right w:type="dxa" w:w="90"/>
            </w:tcMar>
          </w:tcPr>
          <w:p>
            <w:pPr>
              <w:jc w:val="left"/>
            </w:pPr>
            <w:r>
              <w:rPr>
                <w:b w:val="false"/>
                <w:bCs w:val="false"/>
                <w:sz w:val="18"/>
                <w:szCs w:val="18"/>
              </w:rPr>
              <w:t xml:space="preserve">main</w:t>
            </w:r>
          </w:p>
        </w:tc>
        <w:tc>
          <w:tcPr>
            <w:tcW w:type="dxa" w:w="2900"/>
            <w:tcMar>
              <w:top w:type="dxa" w:w="50"/>
              <w:left w:type="dxa" w:w="90"/>
              <w:bottom w:type="dxa" w:w="50"/>
              <w:right w:type="dxa" w:w="90"/>
            </w:tcMar>
          </w:tcPr>
          <w:p>
            <w:pPr>
              <w:jc w:val="left"/>
            </w:pPr>
            <w:r>
              <w:rPr>
                <w:b w:val="false"/>
                <w:bCs w:val="false"/>
                <w:sz w:val="18"/>
                <w:szCs w:val="18"/>
              </w:rPr>
              <w:t xml:space="preserve">All deaths per mile (log x100)</w:t>
            </w:r>
          </w:p>
        </w:tc>
        <w:tc>
          <w:tcPr>
            <w:tcW w:type="dxa" w:w="2110"/>
            <w:tcMar>
              <w:top w:type="dxa" w:w="50"/>
              <w:left w:type="dxa" w:w="90"/>
              <w:bottom w:type="dxa" w:w="50"/>
              <w:right w:type="dxa" w:w="90"/>
            </w:tcMar>
          </w:tcPr>
          <w:p>
            <w:pPr>
              <w:jc w:val="center"/>
            </w:pPr>
            <w:r>
              <w:rPr>
                <w:b w:val="false"/>
                <w:bCs w:val="false"/>
                <w:sz w:val="18"/>
                <w:szCs w:val="18"/>
              </w:rPr>
              <w:t xml:space="preserve">+6.92 [−4.1, 15.4]</w:t>
            </w:r>
          </w:p>
        </w:tc>
        <w:tc>
          <w:tcPr>
            <w:tcW w:type="dxa" w:w="800"/>
            <w:tcMar>
              <w:top w:type="dxa" w:w="50"/>
              <w:left w:type="dxa" w:w="90"/>
              <w:bottom w:type="dxa" w:w="50"/>
              <w:right w:type="dxa" w:w="90"/>
            </w:tcMar>
          </w:tcPr>
          <w:p>
            <w:pPr>
              <w:jc w:val="center"/>
            </w:pPr>
            <w:r>
              <w:rPr>
                <w:b w:val="false"/>
                <w:bCs w:val="false"/>
                <w:sz w:val="18"/>
                <w:szCs w:val="18"/>
              </w:rPr>
              <w:t xml:space="preserve">0.18</w:t>
            </w:r>
          </w:p>
        </w:tc>
      </w:tr>
      <w:tr>
        <w:tc>
          <w:tcPr>
            <w:tcW w:type="dxa" w:w="1150"/>
            <w:tcMar>
              <w:top w:type="dxa" w:w="50"/>
              <w:left w:type="dxa" w:w="90"/>
              <w:bottom w:type="dxa" w:w="50"/>
              <w:right w:type="dxa" w:w="90"/>
            </w:tcMar>
          </w:tcPr>
          <w:p>
            <w:pPr>
              <w:jc w:val="left"/>
            </w:pPr>
            <w:r>
              <w:rPr>
                <w:b w:val="false"/>
                <w:bCs w:val="false"/>
                <w:sz w:val="18"/>
                <w:szCs w:val="18"/>
              </w:rPr>
              <w:t xml:space="preserve">Repeals</w:t>
            </w:r>
          </w:p>
        </w:tc>
        <w:tc>
          <w:tcPr>
            <w:tcW w:type="dxa" w:w="2400"/>
            <w:tcMar>
              <w:top w:type="dxa" w:w="50"/>
              <w:left w:type="dxa" w:w="90"/>
              <w:bottom w:type="dxa" w:w="50"/>
              <w:right w:type="dxa" w:w="90"/>
            </w:tcMar>
          </w:tcPr>
          <w:p>
            <w:pPr>
              <w:jc w:val="left"/>
            </w:pPr>
            <w:r>
              <w:rPr>
                <w:b w:val="false"/>
                <w:bCs w:val="false"/>
                <w:sz w:val="18"/>
                <w:szCs w:val="18"/>
              </w:rPr>
              <w:t xml:space="preserve">excl. 2020-21</w:t>
            </w:r>
          </w:p>
        </w:tc>
        <w:tc>
          <w:tcPr>
            <w:tcW w:type="dxa" w:w="2900"/>
            <w:tcMar>
              <w:top w:type="dxa" w:w="50"/>
              <w:left w:type="dxa" w:w="90"/>
              <w:bottom w:type="dxa" w:w="50"/>
              <w:right w:type="dxa" w:w="90"/>
            </w:tcMar>
          </w:tcPr>
          <w:p>
            <w:pPr>
              <w:jc w:val="left"/>
            </w:pPr>
            <w:r>
              <w:rPr>
                <w:b w:val="false"/>
                <w:bCs w:val="false"/>
                <w:sz w:val="18"/>
                <w:szCs w:val="18"/>
              </w:rPr>
              <w:t xml:space="preserve">Impaired deaths per mile (log x100)</w:t>
            </w:r>
          </w:p>
        </w:tc>
        <w:tc>
          <w:tcPr>
            <w:tcW w:type="dxa" w:w="2110"/>
            <w:tcMar>
              <w:top w:type="dxa" w:w="50"/>
              <w:left w:type="dxa" w:w="90"/>
              <w:bottom w:type="dxa" w:w="50"/>
              <w:right w:type="dxa" w:w="90"/>
            </w:tcMar>
          </w:tcPr>
          <w:p>
            <w:pPr>
              <w:jc w:val="center"/>
            </w:pPr>
            <w:r>
              <w:rPr>
                <w:b w:val="false"/>
                <w:bCs w:val="false"/>
                <w:sz w:val="18"/>
                <w:szCs w:val="18"/>
              </w:rPr>
              <w:t xml:space="preserve">+0.47 [−17.1, 19.6]</w:t>
            </w:r>
          </w:p>
        </w:tc>
        <w:tc>
          <w:tcPr>
            <w:tcW w:type="dxa" w:w="800"/>
            <w:tcMar>
              <w:top w:type="dxa" w:w="50"/>
              <w:left w:type="dxa" w:w="90"/>
              <w:bottom w:type="dxa" w:w="50"/>
              <w:right w:type="dxa" w:w="90"/>
            </w:tcMar>
          </w:tcPr>
          <w:p>
            <w:pPr>
              <w:jc w:val="center"/>
            </w:pPr>
            <w:r>
              <w:rPr>
                <w:b w:val="false"/>
                <w:bCs w:val="false"/>
                <w:sz w:val="18"/>
                <w:szCs w:val="18"/>
              </w:rPr>
              <w:t xml:space="preserve">0.78</w:t>
            </w:r>
          </w:p>
        </w:tc>
      </w:tr>
      <w:tr>
        <w:tc>
          <w:tcPr>
            <w:tcW w:type="dxa" w:w="1150"/>
            <w:tcMar>
              <w:top w:type="dxa" w:w="50"/>
              <w:left w:type="dxa" w:w="90"/>
              <w:bottom w:type="dxa" w:w="50"/>
              <w:right w:type="dxa" w:w="90"/>
            </w:tcMar>
          </w:tcPr>
          <w:p>
            <w:pPr>
              <w:jc w:val="left"/>
            </w:pPr>
            <w:r>
              <w:rPr>
                <w:b w:val="false"/>
                <w:bCs w:val="false"/>
                <w:sz w:val="18"/>
                <w:szCs w:val="18"/>
              </w:rPr>
              <w:t xml:space="preserve">Repeals</w:t>
            </w:r>
          </w:p>
        </w:tc>
        <w:tc>
          <w:tcPr>
            <w:tcW w:type="dxa" w:w="2400"/>
            <w:tcMar>
              <w:top w:type="dxa" w:w="50"/>
              <w:left w:type="dxa" w:w="90"/>
              <w:bottom w:type="dxa" w:w="50"/>
              <w:right w:type="dxa" w:w="90"/>
            </w:tcMar>
          </w:tcPr>
          <w:p>
            <w:pPr>
              <w:jc w:val="left"/>
            </w:pPr>
            <w:r>
              <w:rPr>
                <w:b w:val="false"/>
                <w:bCs w:val="false"/>
                <w:sz w:val="18"/>
                <w:szCs w:val="18"/>
              </w:rPr>
              <w:t xml:space="preserve">excl. 2020-21</w:t>
            </w:r>
          </w:p>
        </w:tc>
        <w:tc>
          <w:tcPr>
            <w:tcW w:type="dxa" w:w="2900"/>
            <w:tcMar>
              <w:top w:type="dxa" w:w="50"/>
              <w:left w:type="dxa" w:w="90"/>
              <w:bottom w:type="dxa" w:w="50"/>
              <w:right w:type="dxa" w:w="90"/>
            </w:tcMar>
          </w:tcPr>
          <w:p>
            <w:pPr>
              <w:jc w:val="left"/>
            </w:pPr>
            <w:r>
              <w:rPr>
                <w:b w:val="false"/>
                <w:bCs w:val="false"/>
                <w:sz w:val="18"/>
                <w:szCs w:val="18"/>
              </w:rPr>
              <w:t xml:space="preserve">Sober deaths per mile: placebo (log x100)</w:t>
            </w:r>
          </w:p>
        </w:tc>
        <w:tc>
          <w:tcPr>
            <w:tcW w:type="dxa" w:w="2110"/>
            <w:tcMar>
              <w:top w:type="dxa" w:w="50"/>
              <w:left w:type="dxa" w:w="90"/>
              <w:bottom w:type="dxa" w:w="50"/>
              <w:right w:type="dxa" w:w="90"/>
            </w:tcMar>
          </w:tcPr>
          <w:p>
            <w:pPr>
              <w:jc w:val="center"/>
            </w:pPr>
            <w:r>
              <w:rPr>
                <w:b w:val="false"/>
                <w:bCs w:val="false"/>
                <w:sz w:val="18"/>
                <w:szCs w:val="18"/>
              </w:rPr>
              <w:t xml:space="preserve">+6.60 [−4.4, 15.8]</w:t>
            </w:r>
          </w:p>
        </w:tc>
        <w:tc>
          <w:tcPr>
            <w:tcW w:type="dxa" w:w="800"/>
            <w:tcMar>
              <w:top w:type="dxa" w:w="50"/>
              <w:left w:type="dxa" w:w="90"/>
              <w:bottom w:type="dxa" w:w="50"/>
              <w:right w:type="dxa" w:w="90"/>
            </w:tcMar>
          </w:tcPr>
          <w:p>
            <w:pPr>
              <w:jc w:val="center"/>
            </w:pPr>
            <w:r>
              <w:rPr>
                <w:b w:val="false"/>
                <w:bCs w:val="false"/>
                <w:sz w:val="18"/>
                <w:szCs w:val="18"/>
              </w:rPr>
              <w:t xml:space="preserve">0.25</w:t>
            </w:r>
          </w:p>
        </w:tc>
      </w:tr>
      <w:tr>
        <w:tc>
          <w:tcPr>
            <w:tcW w:type="dxa" w:w="1150"/>
            <w:tcMar>
              <w:top w:type="dxa" w:w="50"/>
              <w:left w:type="dxa" w:w="90"/>
              <w:bottom w:type="dxa" w:w="50"/>
              <w:right w:type="dxa" w:w="90"/>
            </w:tcMar>
          </w:tcPr>
          <w:p>
            <w:pPr>
              <w:jc w:val="left"/>
            </w:pPr>
            <w:r>
              <w:rPr>
                <w:b w:val="false"/>
                <w:bCs w:val="false"/>
                <w:sz w:val="18"/>
                <w:szCs w:val="18"/>
              </w:rPr>
              <w:t xml:space="preserve">Repeals</w:t>
            </w:r>
          </w:p>
        </w:tc>
        <w:tc>
          <w:tcPr>
            <w:tcW w:type="dxa" w:w="2400"/>
            <w:tcMar>
              <w:top w:type="dxa" w:w="50"/>
              <w:left w:type="dxa" w:w="90"/>
              <w:bottom w:type="dxa" w:w="50"/>
              <w:right w:type="dxa" w:w="90"/>
            </w:tcMar>
          </w:tcPr>
          <w:p>
            <w:pPr>
              <w:jc w:val="left"/>
            </w:pPr>
            <w:r>
              <w:rPr>
                <w:b w:val="false"/>
                <w:bCs w:val="false"/>
                <w:sz w:val="18"/>
                <w:szCs w:val="18"/>
              </w:rPr>
              <w:t xml:space="preserve">+ log VMT, rural share</w:t>
            </w:r>
          </w:p>
        </w:tc>
        <w:tc>
          <w:tcPr>
            <w:tcW w:type="dxa" w:w="2900"/>
            <w:tcMar>
              <w:top w:type="dxa" w:w="50"/>
              <w:left w:type="dxa" w:w="90"/>
              <w:bottom w:type="dxa" w:w="50"/>
              <w:right w:type="dxa" w:w="90"/>
            </w:tcMar>
          </w:tcPr>
          <w:p>
            <w:pPr>
              <w:jc w:val="left"/>
            </w:pPr>
            <w:r>
              <w:rPr>
                <w:b w:val="false"/>
                <w:bCs w:val="false"/>
                <w:sz w:val="18"/>
                <w:szCs w:val="18"/>
              </w:rPr>
              <w:t xml:space="preserve">Impaired share (pp)</w:t>
            </w:r>
          </w:p>
        </w:tc>
        <w:tc>
          <w:tcPr>
            <w:tcW w:type="dxa" w:w="2110"/>
            <w:tcMar>
              <w:top w:type="dxa" w:w="50"/>
              <w:left w:type="dxa" w:w="90"/>
              <w:bottom w:type="dxa" w:w="50"/>
              <w:right w:type="dxa" w:w="90"/>
            </w:tcMar>
          </w:tcPr>
          <w:p>
            <w:pPr>
              <w:jc w:val="center"/>
            </w:pPr>
            <w:r>
              <w:rPr>
                <w:b w:val="false"/>
                <w:bCs w:val="false"/>
                <w:sz w:val="18"/>
                <w:szCs w:val="18"/>
              </w:rPr>
              <w:t xml:space="preserve">−1.30 [−5.0, 3.2]</w:t>
            </w:r>
          </w:p>
        </w:tc>
        <w:tc>
          <w:tcPr>
            <w:tcW w:type="dxa" w:w="800"/>
            <w:tcMar>
              <w:top w:type="dxa" w:w="50"/>
              <w:left w:type="dxa" w:w="90"/>
              <w:bottom w:type="dxa" w:w="50"/>
              <w:right w:type="dxa" w:w="90"/>
            </w:tcMar>
          </w:tcPr>
          <w:p>
            <w:pPr>
              <w:jc w:val="center"/>
            </w:pPr>
            <w:r>
              <w:rPr>
                <w:b w:val="false"/>
                <w:bCs w:val="false"/>
                <w:sz w:val="18"/>
                <w:szCs w:val="18"/>
              </w:rPr>
              <w:t xml:space="preserve">0.79</w:t>
            </w:r>
          </w:p>
        </w:tc>
      </w:tr>
      <w:tr>
        <w:tc>
          <w:tcPr>
            <w:tcW w:type="dxa" w:w="1150"/>
            <w:tcMar>
              <w:top w:type="dxa" w:w="50"/>
              <w:left w:type="dxa" w:w="90"/>
              <w:bottom w:type="dxa" w:w="50"/>
              <w:right w:type="dxa" w:w="90"/>
            </w:tcMar>
          </w:tcPr>
          <w:p>
            <w:pPr>
              <w:jc w:val="left"/>
            </w:pPr>
            <w:r>
              <w:rPr>
                <w:b w:val="false"/>
                <w:bCs w:val="false"/>
                <w:sz w:val="18"/>
                <w:szCs w:val="18"/>
              </w:rPr>
              <w:t xml:space="preserve">Repeals</w:t>
            </w:r>
          </w:p>
        </w:tc>
        <w:tc>
          <w:tcPr>
            <w:tcW w:type="dxa" w:w="2400"/>
            <w:tcMar>
              <w:top w:type="dxa" w:w="50"/>
              <w:left w:type="dxa" w:w="90"/>
              <w:bottom w:type="dxa" w:w="50"/>
              <w:right w:type="dxa" w:w="90"/>
            </w:tcMar>
          </w:tcPr>
          <w:p>
            <w:pPr>
              <w:jc w:val="left"/>
            </w:pPr>
            <w:r>
              <w:rPr>
                <w:b w:val="false"/>
                <w:bCs w:val="false"/>
                <w:sz w:val="18"/>
                <w:szCs w:val="18"/>
              </w:rPr>
              <w:t xml:space="preserve">+ log VMT, rural share</w:t>
            </w:r>
          </w:p>
        </w:tc>
        <w:tc>
          <w:tcPr>
            <w:tcW w:type="dxa" w:w="2900"/>
            <w:tcMar>
              <w:top w:type="dxa" w:w="50"/>
              <w:left w:type="dxa" w:w="90"/>
              <w:bottom w:type="dxa" w:w="50"/>
              <w:right w:type="dxa" w:w="90"/>
            </w:tcMar>
          </w:tcPr>
          <w:p>
            <w:pPr>
              <w:jc w:val="left"/>
            </w:pPr>
            <w:r>
              <w:rPr>
                <w:b w:val="false"/>
                <w:bCs w:val="false"/>
                <w:sz w:val="18"/>
                <w:szCs w:val="18"/>
              </w:rPr>
              <w:t xml:space="preserve">Log odds, impaired vs. sober (x100)</w:t>
            </w:r>
          </w:p>
        </w:tc>
        <w:tc>
          <w:tcPr>
            <w:tcW w:type="dxa" w:w="2110"/>
            <w:tcMar>
              <w:top w:type="dxa" w:w="50"/>
              <w:left w:type="dxa" w:w="90"/>
              <w:bottom w:type="dxa" w:w="50"/>
              <w:right w:type="dxa" w:w="90"/>
            </w:tcMar>
          </w:tcPr>
          <w:p>
            <w:pPr>
              <w:jc w:val="center"/>
            </w:pPr>
            <w:r>
              <w:rPr>
                <w:b w:val="false"/>
                <w:bCs w:val="false"/>
                <w:sz w:val="18"/>
                <w:szCs w:val="18"/>
              </w:rPr>
              <w:t xml:space="preserve">−6.83 [−23.8, 15.0]</w:t>
            </w:r>
          </w:p>
        </w:tc>
        <w:tc>
          <w:tcPr>
            <w:tcW w:type="dxa" w:w="800"/>
            <w:tcMar>
              <w:top w:type="dxa" w:w="50"/>
              <w:left w:type="dxa" w:w="90"/>
              <w:bottom w:type="dxa" w:w="50"/>
              <w:right w:type="dxa" w:w="90"/>
            </w:tcMar>
          </w:tcPr>
          <w:p>
            <w:pPr>
              <w:jc w:val="center"/>
            </w:pPr>
            <w:r>
              <w:rPr>
                <w:b w:val="false"/>
                <w:bCs w:val="false"/>
                <w:sz w:val="18"/>
                <w:szCs w:val="18"/>
              </w:rPr>
              <w:t xml:space="preserve">0.74</w:t>
            </w:r>
          </w:p>
        </w:tc>
      </w:tr>
      <w:tr>
        <w:tc>
          <w:tcPr>
            <w:tcW w:type="dxa" w:w="1150"/>
            <w:tcMar>
              <w:top w:type="dxa" w:w="50"/>
              <w:left w:type="dxa" w:w="90"/>
              <w:bottom w:type="dxa" w:w="50"/>
              <w:right w:type="dxa" w:w="90"/>
            </w:tcMar>
          </w:tcPr>
          <w:p>
            <w:pPr>
              <w:jc w:val="left"/>
            </w:pPr>
            <w:r>
              <w:rPr>
                <w:b w:val="false"/>
                <w:bCs w:val="false"/>
                <w:sz w:val="18"/>
                <w:szCs w:val="18"/>
              </w:rPr>
              <w:t xml:space="preserve">Repeals</w:t>
            </w:r>
          </w:p>
        </w:tc>
        <w:tc>
          <w:tcPr>
            <w:tcW w:type="dxa" w:w="2400"/>
            <w:tcMar>
              <w:top w:type="dxa" w:w="50"/>
              <w:left w:type="dxa" w:w="90"/>
              <w:bottom w:type="dxa" w:w="50"/>
              <w:right w:type="dxa" w:w="90"/>
            </w:tcMar>
          </w:tcPr>
          <w:p>
            <w:pPr>
              <w:jc w:val="left"/>
            </w:pPr>
            <w:r>
              <w:rPr>
                <w:b w:val="false"/>
                <w:bCs w:val="false"/>
                <w:sz w:val="18"/>
                <w:szCs w:val="18"/>
              </w:rPr>
              <w:t xml:space="preserve">+ log VMT, rural share</w:t>
            </w:r>
          </w:p>
        </w:tc>
        <w:tc>
          <w:tcPr>
            <w:tcW w:type="dxa" w:w="2900"/>
            <w:tcMar>
              <w:top w:type="dxa" w:w="50"/>
              <w:left w:type="dxa" w:w="90"/>
              <w:bottom w:type="dxa" w:w="50"/>
              <w:right w:type="dxa" w:w="90"/>
            </w:tcMar>
          </w:tcPr>
          <w:p>
            <w:pPr>
              <w:jc w:val="left"/>
            </w:pPr>
            <w:r>
              <w:rPr>
                <w:b w:val="false"/>
                <w:bCs w:val="false"/>
                <w:sz w:val="18"/>
                <w:szCs w:val="18"/>
              </w:rPr>
              <w:t xml:space="preserve">Impaired deaths per mile (log x100)</w:t>
            </w:r>
          </w:p>
        </w:tc>
        <w:tc>
          <w:tcPr>
            <w:tcW w:type="dxa" w:w="2110"/>
            <w:tcMar>
              <w:top w:type="dxa" w:w="50"/>
              <w:left w:type="dxa" w:w="90"/>
              <w:bottom w:type="dxa" w:w="50"/>
              <w:right w:type="dxa" w:w="90"/>
            </w:tcMar>
          </w:tcPr>
          <w:p>
            <w:pPr>
              <w:jc w:val="center"/>
            </w:pPr>
            <w:r>
              <w:rPr>
                <w:b w:val="false"/>
                <w:bCs w:val="false"/>
                <w:sz w:val="18"/>
                <w:szCs w:val="18"/>
              </w:rPr>
              <w:t xml:space="preserve">−0.05 [−17.1, 21.3]</w:t>
            </w:r>
          </w:p>
        </w:tc>
        <w:tc>
          <w:tcPr>
            <w:tcW w:type="dxa" w:w="800"/>
            <w:tcMar>
              <w:top w:type="dxa" w:w="50"/>
              <w:left w:type="dxa" w:w="90"/>
              <w:bottom w:type="dxa" w:w="50"/>
              <w:right w:type="dxa" w:w="90"/>
            </w:tcMar>
          </w:tcPr>
          <w:p>
            <w:pPr>
              <w:jc w:val="center"/>
            </w:pPr>
            <w:r>
              <w:rPr>
                <w:b w:val="false"/>
                <w:bCs w:val="false"/>
                <w:sz w:val="18"/>
                <w:szCs w:val="18"/>
              </w:rPr>
              <w:t xml:space="preserve">0.84</w:t>
            </w:r>
          </w:p>
        </w:tc>
      </w:tr>
      <w:tr>
        <w:tc>
          <w:tcPr>
            <w:tcW w:type="dxa" w:w="1150"/>
            <w:tcMar>
              <w:top w:type="dxa" w:w="50"/>
              <w:left w:type="dxa" w:w="90"/>
              <w:bottom w:type="dxa" w:w="50"/>
              <w:right w:type="dxa" w:w="90"/>
            </w:tcMar>
          </w:tcPr>
          <w:p>
            <w:pPr>
              <w:jc w:val="left"/>
            </w:pPr>
            <w:r>
              <w:rPr>
                <w:b w:val="false"/>
                <w:bCs w:val="false"/>
                <w:sz w:val="18"/>
                <w:szCs w:val="18"/>
              </w:rPr>
              <w:t xml:space="preserve">1980s bans</w:t>
            </w:r>
          </w:p>
        </w:tc>
        <w:tc>
          <w:tcPr>
            <w:tcW w:type="dxa" w:w="2400"/>
            <w:tcMar>
              <w:top w:type="dxa" w:w="50"/>
              <w:left w:type="dxa" w:w="90"/>
              <w:bottom w:type="dxa" w:w="50"/>
              <w:right w:type="dxa" w:w="90"/>
            </w:tcMar>
          </w:tcPr>
          <w:p>
            <w:pPr>
              <w:jc w:val="left"/>
            </w:pPr>
            <w:r>
              <w:rPr>
                <w:b w:val="false"/>
                <w:bCs w:val="false"/>
                <w:sz w:val="18"/>
                <w:szCs w:val="18"/>
              </w:rPr>
              <w:t xml:space="preserve">1982-95, drinking age</w:t>
            </w:r>
          </w:p>
        </w:tc>
        <w:tc>
          <w:tcPr>
            <w:tcW w:type="dxa" w:w="2900"/>
            <w:tcMar>
              <w:top w:type="dxa" w:w="50"/>
              <w:left w:type="dxa" w:w="90"/>
              <w:bottom w:type="dxa" w:w="50"/>
              <w:right w:type="dxa" w:w="90"/>
            </w:tcMar>
          </w:tcPr>
          <w:p>
            <w:pPr>
              <w:jc w:val="left"/>
            </w:pPr>
            <w:r>
              <w:rPr>
                <w:b w:val="false"/>
                <w:bCs w:val="false"/>
                <w:sz w:val="18"/>
                <w:szCs w:val="18"/>
              </w:rPr>
              <w:t xml:space="preserve">Impaired deaths per mile (log x100)</w:t>
            </w:r>
          </w:p>
        </w:tc>
        <w:tc>
          <w:tcPr>
            <w:tcW w:type="dxa" w:w="2110"/>
            <w:tcMar>
              <w:top w:type="dxa" w:w="50"/>
              <w:left w:type="dxa" w:w="90"/>
              <w:bottom w:type="dxa" w:w="50"/>
              <w:right w:type="dxa" w:w="90"/>
            </w:tcMar>
          </w:tcPr>
          <w:p>
            <w:pPr>
              <w:jc w:val="center"/>
            </w:pPr>
            <w:r>
              <w:rPr>
                <w:b w:val="false"/>
                <w:bCs w:val="false"/>
                <w:sz w:val="18"/>
                <w:szCs w:val="18"/>
              </w:rPr>
              <w:t xml:space="preserve">+3.59 [−9.4, 14.4]</w:t>
            </w:r>
          </w:p>
        </w:tc>
        <w:tc>
          <w:tcPr>
            <w:tcW w:type="dxa" w:w="800"/>
            <w:tcMar>
              <w:top w:type="dxa" w:w="50"/>
              <w:left w:type="dxa" w:w="90"/>
              <w:bottom w:type="dxa" w:w="50"/>
              <w:right w:type="dxa" w:w="90"/>
            </w:tcMar>
          </w:tcPr>
          <w:p>
            <w:pPr>
              <w:jc w:val="center"/>
            </w:pPr>
            <w:r>
              <w:rPr>
                <w:b w:val="false"/>
                <w:bCs w:val="false"/>
                <w:sz w:val="18"/>
                <w:szCs w:val="18"/>
              </w:rPr>
              <w:t xml:space="preserve">0.72</w:t>
            </w:r>
          </w:p>
        </w:tc>
      </w:tr>
      <w:tr>
        <w:tc>
          <w:tcPr>
            <w:tcW w:type="dxa" w:w="1150"/>
            <w:tcMar>
              <w:top w:type="dxa" w:w="50"/>
              <w:left w:type="dxa" w:w="90"/>
              <w:bottom w:type="dxa" w:w="50"/>
              <w:right w:type="dxa" w:w="90"/>
            </w:tcMar>
          </w:tcPr>
          <w:p>
            <w:pPr>
              <w:jc w:val="left"/>
            </w:pPr>
            <w:r>
              <w:rPr>
                <w:b w:val="false"/>
                <w:bCs w:val="false"/>
                <w:sz w:val="18"/>
                <w:szCs w:val="18"/>
              </w:rPr>
              <w:t xml:space="preserve">1980s bans</w:t>
            </w:r>
          </w:p>
        </w:tc>
        <w:tc>
          <w:tcPr>
            <w:tcW w:type="dxa" w:w="2400"/>
            <w:tcMar>
              <w:top w:type="dxa" w:w="50"/>
              <w:left w:type="dxa" w:w="90"/>
              <w:bottom w:type="dxa" w:w="50"/>
              <w:right w:type="dxa" w:w="90"/>
            </w:tcMar>
          </w:tcPr>
          <w:p>
            <w:pPr>
              <w:jc w:val="left"/>
            </w:pPr>
            <w:r>
              <w:rPr>
                <w:b w:val="false"/>
                <w:bCs w:val="false"/>
                <w:sz w:val="18"/>
                <w:szCs w:val="18"/>
              </w:rPr>
              <w:t xml:space="preserve">1982-95, drinking age</w:t>
            </w:r>
          </w:p>
        </w:tc>
        <w:tc>
          <w:tcPr>
            <w:tcW w:type="dxa" w:w="2900"/>
            <w:tcMar>
              <w:top w:type="dxa" w:w="50"/>
              <w:left w:type="dxa" w:w="90"/>
              <w:bottom w:type="dxa" w:w="50"/>
              <w:right w:type="dxa" w:w="90"/>
            </w:tcMar>
          </w:tcPr>
          <w:p>
            <w:pPr>
              <w:jc w:val="left"/>
            </w:pPr>
            <w:r>
              <w:rPr>
                <w:b w:val="false"/>
                <w:bCs w:val="false"/>
                <w:sz w:val="18"/>
                <w:szCs w:val="18"/>
              </w:rPr>
              <w:t xml:space="preserve">Sober deaths per mile: placebo (log x100)</w:t>
            </w:r>
          </w:p>
        </w:tc>
        <w:tc>
          <w:tcPr>
            <w:tcW w:type="dxa" w:w="2110"/>
            <w:tcMar>
              <w:top w:type="dxa" w:w="50"/>
              <w:left w:type="dxa" w:w="90"/>
              <w:bottom w:type="dxa" w:w="50"/>
              <w:right w:type="dxa" w:w="90"/>
            </w:tcMar>
          </w:tcPr>
          <w:p>
            <w:pPr>
              <w:jc w:val="center"/>
            </w:pPr>
            <w:r>
              <w:rPr>
                <w:b w:val="false"/>
                <w:bCs w:val="false"/>
                <w:sz w:val="18"/>
                <w:szCs w:val="18"/>
              </w:rPr>
              <w:t xml:space="preserve">+0.04 [−8.2, 7.1]</w:t>
            </w:r>
          </w:p>
        </w:tc>
        <w:tc>
          <w:tcPr>
            <w:tcW w:type="dxa" w:w="800"/>
            <w:tcMar>
              <w:top w:type="dxa" w:w="50"/>
              <w:left w:type="dxa" w:w="90"/>
              <w:bottom w:type="dxa" w:w="50"/>
              <w:right w:type="dxa" w:w="90"/>
            </w:tcMar>
          </w:tcPr>
          <w:p>
            <w:pPr>
              <w:jc w:val="center"/>
            </w:pPr>
            <w:r>
              <w:rPr>
                <w:b w:val="false"/>
                <w:bCs w:val="false"/>
                <w:sz w:val="18"/>
                <w:szCs w:val="18"/>
              </w:rPr>
              <w:t xml:space="preserve">0.79</w:t>
            </w:r>
          </w:p>
        </w:tc>
      </w:tr>
      <w:tr>
        <w:tc>
          <w:tcPr>
            <w:tcW w:type="dxa" w:w="1150"/>
            <w:tcMar>
              <w:top w:type="dxa" w:w="50"/>
              <w:left w:type="dxa" w:w="90"/>
              <w:bottom w:type="dxa" w:w="50"/>
              <w:right w:type="dxa" w:w="90"/>
            </w:tcMar>
          </w:tcPr>
          <w:p>
            <w:pPr>
              <w:jc w:val="left"/>
            </w:pPr>
            <w:r>
              <w:rPr>
                <w:b w:val="false"/>
                <w:bCs w:val="false"/>
                <w:sz w:val="18"/>
                <w:szCs w:val="18"/>
              </w:rPr>
              <w:t xml:space="preserve">1980s bans</w:t>
            </w:r>
          </w:p>
        </w:tc>
        <w:tc>
          <w:tcPr>
            <w:tcW w:type="dxa" w:w="2400"/>
            <w:tcMar>
              <w:top w:type="dxa" w:w="50"/>
              <w:left w:type="dxa" w:w="90"/>
              <w:bottom w:type="dxa" w:w="50"/>
              <w:right w:type="dxa" w:w="90"/>
            </w:tcMar>
          </w:tcPr>
          <w:p>
            <w:pPr>
              <w:jc w:val="left"/>
            </w:pPr>
            <w:r>
              <w:rPr>
                <w:b w:val="false"/>
                <w:bCs w:val="false"/>
                <w:sz w:val="18"/>
                <w:szCs w:val="18"/>
              </w:rPr>
              <w:t xml:space="preserve">1982-95, drinking age</w:t>
            </w:r>
          </w:p>
        </w:tc>
        <w:tc>
          <w:tcPr>
            <w:tcW w:type="dxa" w:w="2900"/>
            <w:tcMar>
              <w:top w:type="dxa" w:w="50"/>
              <w:left w:type="dxa" w:w="90"/>
              <w:bottom w:type="dxa" w:w="50"/>
              <w:right w:type="dxa" w:w="90"/>
            </w:tcMar>
          </w:tcPr>
          <w:p>
            <w:pPr>
              <w:jc w:val="left"/>
            </w:pPr>
            <w:r>
              <w:rPr>
                <w:b w:val="false"/>
                <w:bCs w:val="false"/>
                <w:sz w:val="18"/>
                <w:szCs w:val="18"/>
              </w:rPr>
              <w:t xml:space="preserve">All deaths per mile (log x100)</w:t>
            </w:r>
          </w:p>
        </w:tc>
        <w:tc>
          <w:tcPr>
            <w:tcW w:type="dxa" w:w="2110"/>
            <w:tcMar>
              <w:top w:type="dxa" w:w="50"/>
              <w:left w:type="dxa" w:w="90"/>
              <w:bottom w:type="dxa" w:w="50"/>
              <w:right w:type="dxa" w:w="90"/>
            </w:tcMar>
          </w:tcPr>
          <w:p>
            <w:pPr>
              <w:jc w:val="center"/>
            </w:pPr>
            <w:r>
              <w:rPr>
                <w:b w:val="false"/>
                <w:bCs w:val="false"/>
                <w:sz w:val="18"/>
                <w:szCs w:val="18"/>
              </w:rPr>
              <w:t xml:space="preserve">+1.42 [−7.1, 7.7]</w:t>
            </w:r>
          </w:p>
        </w:tc>
        <w:tc>
          <w:tcPr>
            <w:tcW w:type="dxa" w:w="800"/>
            <w:tcMar>
              <w:top w:type="dxa" w:w="50"/>
              <w:left w:type="dxa" w:w="90"/>
              <w:bottom w:type="dxa" w:w="50"/>
              <w:right w:type="dxa" w:w="90"/>
            </w:tcMar>
          </w:tcPr>
          <w:p>
            <w:pPr>
              <w:jc w:val="center"/>
            </w:pPr>
            <w:r>
              <w:rPr>
                <w:b w:val="false"/>
                <w:bCs w:val="false"/>
                <w:sz w:val="18"/>
                <w:szCs w:val="18"/>
              </w:rPr>
              <w:t xml:space="preserve">0.96</w:t>
            </w:r>
          </w:p>
        </w:tc>
      </w:tr>
      <w:tr>
        <w:tc>
          <w:tcPr>
            <w:tcW w:type="dxa" w:w="1150"/>
            <w:tcMar>
              <w:top w:type="dxa" w:w="50"/>
              <w:left w:type="dxa" w:w="90"/>
              <w:bottom w:type="dxa" w:w="50"/>
              <w:right w:type="dxa" w:w="90"/>
            </w:tcMar>
          </w:tcPr>
          <w:p>
            <w:pPr>
              <w:jc w:val="left"/>
            </w:pPr>
            <w:r>
              <w:rPr>
                <w:b w:val="false"/>
                <w:bCs w:val="false"/>
                <w:sz w:val="18"/>
                <w:szCs w:val="18"/>
              </w:rPr>
              <w:t xml:space="preserve">1980s bans</w:t>
            </w:r>
          </w:p>
        </w:tc>
        <w:tc>
          <w:tcPr>
            <w:tcW w:type="dxa" w:w="2400"/>
            <w:tcMar>
              <w:top w:type="dxa" w:w="50"/>
              <w:left w:type="dxa" w:w="90"/>
              <w:bottom w:type="dxa" w:w="50"/>
              <w:right w:type="dxa" w:w="90"/>
            </w:tcMar>
          </w:tcPr>
          <w:p>
            <w:pPr>
              <w:jc w:val="left"/>
            </w:pPr>
            <w:r>
              <w:rPr>
                <w:b w:val="false"/>
                <w:bCs w:val="false"/>
                <w:sz w:val="18"/>
                <w:szCs w:val="18"/>
              </w:rPr>
              <w:t xml:space="preserve">1983-95, traffic-safety controls</w:t>
            </w:r>
          </w:p>
        </w:tc>
        <w:tc>
          <w:tcPr>
            <w:tcW w:type="dxa" w:w="2900"/>
            <w:tcMar>
              <w:top w:type="dxa" w:w="50"/>
              <w:left w:type="dxa" w:w="90"/>
              <w:bottom w:type="dxa" w:w="50"/>
              <w:right w:type="dxa" w:w="90"/>
            </w:tcMar>
          </w:tcPr>
          <w:p>
            <w:pPr>
              <w:jc w:val="left"/>
            </w:pPr>
            <w:r>
              <w:rPr>
                <w:b w:val="false"/>
                <w:bCs w:val="false"/>
                <w:sz w:val="18"/>
                <w:szCs w:val="18"/>
              </w:rPr>
              <w:t xml:space="preserve">Impaired deaths per mile (log x100)</w:t>
            </w:r>
          </w:p>
        </w:tc>
        <w:tc>
          <w:tcPr>
            <w:tcW w:type="dxa" w:w="2110"/>
            <w:tcMar>
              <w:top w:type="dxa" w:w="50"/>
              <w:left w:type="dxa" w:w="90"/>
              <w:bottom w:type="dxa" w:w="50"/>
              <w:right w:type="dxa" w:w="90"/>
            </w:tcMar>
          </w:tcPr>
          <w:p>
            <w:pPr>
              <w:jc w:val="center"/>
            </w:pPr>
            <w:r>
              <w:rPr>
                <w:b w:val="false"/>
                <w:bCs w:val="false"/>
                <w:sz w:val="18"/>
                <w:szCs w:val="18"/>
              </w:rPr>
              <w:t xml:space="preserve">+1.60 [−10.2, 17.8]</w:t>
            </w:r>
          </w:p>
        </w:tc>
        <w:tc>
          <w:tcPr>
            <w:tcW w:type="dxa" w:w="800"/>
            <w:tcMar>
              <w:top w:type="dxa" w:w="50"/>
              <w:left w:type="dxa" w:w="90"/>
              <w:bottom w:type="dxa" w:w="50"/>
              <w:right w:type="dxa" w:w="90"/>
            </w:tcMar>
          </w:tcPr>
          <w:p>
            <w:pPr>
              <w:jc w:val="center"/>
            </w:pPr>
            <w:r>
              <w:rPr>
                <w:b w:val="false"/>
                <w:bCs w:val="false"/>
                <w:sz w:val="18"/>
                <w:szCs w:val="18"/>
              </w:rPr>
              <w:t xml:space="preserve">0.83</w:t>
            </w:r>
          </w:p>
        </w:tc>
      </w:tr>
      <w:tr>
        <w:tc>
          <w:tcPr>
            <w:tcW w:type="dxa" w:w="1150"/>
            <w:tcMar>
              <w:top w:type="dxa" w:w="50"/>
              <w:left w:type="dxa" w:w="90"/>
              <w:bottom w:type="dxa" w:w="50"/>
              <w:right w:type="dxa" w:w="90"/>
            </w:tcMar>
          </w:tcPr>
          <w:p>
            <w:pPr>
              <w:jc w:val="left"/>
            </w:pPr>
            <w:r>
              <w:rPr>
                <w:b w:val="false"/>
                <w:bCs w:val="false"/>
                <w:sz w:val="18"/>
                <w:szCs w:val="18"/>
              </w:rPr>
              <w:t xml:space="preserve">1980s bans</w:t>
            </w:r>
          </w:p>
        </w:tc>
        <w:tc>
          <w:tcPr>
            <w:tcW w:type="dxa" w:w="2400"/>
            <w:tcMar>
              <w:top w:type="dxa" w:w="50"/>
              <w:left w:type="dxa" w:w="90"/>
              <w:bottom w:type="dxa" w:w="50"/>
              <w:right w:type="dxa" w:w="90"/>
            </w:tcMar>
          </w:tcPr>
          <w:p>
            <w:pPr>
              <w:jc w:val="left"/>
            </w:pPr>
            <w:r>
              <w:rPr>
                <w:b w:val="false"/>
                <w:bCs w:val="false"/>
                <w:sz w:val="18"/>
                <w:szCs w:val="18"/>
              </w:rPr>
              <w:t xml:space="preserve">1983-95, traffic-safety controls</w:t>
            </w:r>
          </w:p>
        </w:tc>
        <w:tc>
          <w:tcPr>
            <w:tcW w:type="dxa" w:w="2900"/>
            <w:tcMar>
              <w:top w:type="dxa" w:w="50"/>
              <w:left w:type="dxa" w:w="90"/>
              <w:bottom w:type="dxa" w:w="50"/>
              <w:right w:type="dxa" w:w="90"/>
            </w:tcMar>
          </w:tcPr>
          <w:p>
            <w:pPr>
              <w:jc w:val="left"/>
            </w:pPr>
            <w:r>
              <w:rPr>
                <w:b w:val="false"/>
                <w:bCs w:val="false"/>
                <w:sz w:val="18"/>
                <w:szCs w:val="18"/>
              </w:rPr>
              <w:t xml:space="preserve">Sober deaths per mile: placebo (log x100)</w:t>
            </w:r>
          </w:p>
        </w:tc>
        <w:tc>
          <w:tcPr>
            <w:tcW w:type="dxa" w:w="2110"/>
            <w:tcMar>
              <w:top w:type="dxa" w:w="50"/>
              <w:left w:type="dxa" w:w="90"/>
              <w:bottom w:type="dxa" w:w="50"/>
              <w:right w:type="dxa" w:w="90"/>
            </w:tcMar>
          </w:tcPr>
          <w:p>
            <w:pPr>
              <w:jc w:val="center"/>
            </w:pPr>
            <w:r>
              <w:rPr>
                <w:b w:val="false"/>
                <w:bCs w:val="false"/>
                <w:sz w:val="18"/>
                <w:szCs w:val="18"/>
              </w:rPr>
              <w:t xml:space="preserve">−1.86 [−9.5, 7.1]</w:t>
            </w:r>
          </w:p>
        </w:tc>
        <w:tc>
          <w:tcPr>
            <w:tcW w:type="dxa" w:w="800"/>
            <w:tcMar>
              <w:top w:type="dxa" w:w="50"/>
              <w:left w:type="dxa" w:w="90"/>
              <w:bottom w:type="dxa" w:w="50"/>
              <w:right w:type="dxa" w:w="90"/>
            </w:tcMar>
          </w:tcPr>
          <w:p>
            <w:pPr>
              <w:jc w:val="center"/>
            </w:pPr>
            <w:r>
              <w:rPr>
                <w:b w:val="false"/>
                <w:bCs w:val="false"/>
                <w:sz w:val="18"/>
                <w:szCs w:val="18"/>
              </w:rPr>
              <w:t xml:space="preserve">0.74</w:t>
            </w:r>
          </w:p>
        </w:tc>
      </w:tr>
      <w:tr>
        <w:tc>
          <w:tcPr>
            <w:tcW w:type="dxa" w:w="1150"/>
            <w:tcMar>
              <w:top w:type="dxa" w:w="50"/>
              <w:left w:type="dxa" w:w="90"/>
              <w:bottom w:type="dxa" w:w="50"/>
              <w:right w:type="dxa" w:w="90"/>
            </w:tcMar>
          </w:tcPr>
          <w:p>
            <w:pPr>
              <w:jc w:val="left"/>
            </w:pPr>
            <w:r>
              <w:rPr>
                <w:b w:val="false"/>
                <w:bCs w:val="false"/>
                <w:sz w:val="18"/>
                <w:szCs w:val="18"/>
              </w:rPr>
              <w:t xml:space="preserve">1980s bans</w:t>
            </w:r>
          </w:p>
        </w:tc>
        <w:tc>
          <w:tcPr>
            <w:tcW w:type="dxa" w:w="2400"/>
            <w:tcMar>
              <w:top w:type="dxa" w:w="50"/>
              <w:left w:type="dxa" w:w="90"/>
              <w:bottom w:type="dxa" w:w="50"/>
              <w:right w:type="dxa" w:w="90"/>
            </w:tcMar>
          </w:tcPr>
          <w:p>
            <w:pPr>
              <w:jc w:val="left"/>
            </w:pPr>
            <w:r>
              <w:rPr>
                <w:b w:val="false"/>
                <w:bCs w:val="false"/>
                <w:sz w:val="18"/>
                <w:szCs w:val="18"/>
              </w:rPr>
              <w:t xml:space="preserve">1983-95, traffic-safety controls</w:t>
            </w:r>
          </w:p>
        </w:tc>
        <w:tc>
          <w:tcPr>
            <w:tcW w:type="dxa" w:w="2900"/>
            <w:tcMar>
              <w:top w:type="dxa" w:w="50"/>
              <w:left w:type="dxa" w:w="90"/>
              <w:bottom w:type="dxa" w:w="50"/>
              <w:right w:type="dxa" w:w="90"/>
            </w:tcMar>
          </w:tcPr>
          <w:p>
            <w:pPr>
              <w:jc w:val="left"/>
            </w:pPr>
            <w:r>
              <w:rPr>
                <w:b w:val="false"/>
                <w:bCs w:val="false"/>
                <w:sz w:val="18"/>
                <w:szCs w:val="18"/>
              </w:rPr>
              <w:t xml:space="preserve">All deaths per mile (log x100)</w:t>
            </w:r>
          </w:p>
        </w:tc>
        <w:tc>
          <w:tcPr>
            <w:tcW w:type="dxa" w:w="2110"/>
            <w:tcMar>
              <w:top w:type="dxa" w:w="50"/>
              <w:left w:type="dxa" w:w="90"/>
              <w:bottom w:type="dxa" w:w="50"/>
              <w:right w:type="dxa" w:w="90"/>
            </w:tcMar>
          </w:tcPr>
          <w:p>
            <w:pPr>
              <w:jc w:val="center"/>
            </w:pPr>
            <w:r>
              <w:rPr>
                <w:b w:val="false"/>
                <w:bCs w:val="false"/>
                <w:sz w:val="18"/>
                <w:szCs w:val="18"/>
              </w:rPr>
              <w:t xml:space="preserve">−0.69 [−7.9, 9.0]</w:t>
            </w:r>
          </w:p>
        </w:tc>
        <w:tc>
          <w:tcPr>
            <w:tcW w:type="dxa" w:w="800"/>
            <w:tcMar>
              <w:top w:type="dxa" w:w="50"/>
              <w:left w:type="dxa" w:w="90"/>
              <w:bottom w:type="dxa" w:w="50"/>
              <w:right w:type="dxa" w:w="90"/>
            </w:tcMar>
          </w:tcPr>
          <w:p>
            <w:pPr>
              <w:jc w:val="center"/>
            </w:pPr>
            <w:r>
              <w:rPr>
                <w:b w:val="false"/>
                <w:bCs w:val="false"/>
                <w:sz w:val="18"/>
                <w:szCs w:val="18"/>
              </w:rPr>
              <w:t xml:space="preserve">0.90</w:t>
            </w:r>
          </w:p>
        </w:tc>
      </w:tr>
      <w:tr>
        <w:tc>
          <w:tcPr>
            <w:tcW w:type="dxa" w:w="1150"/>
            <w:tcMar>
              <w:top w:type="dxa" w:w="50"/>
              <w:left w:type="dxa" w:w="90"/>
              <w:bottom w:type="dxa" w:w="50"/>
              <w:right w:type="dxa" w:w="90"/>
            </w:tcMar>
          </w:tcPr>
          <w:p>
            <w:pPr>
              <w:jc w:val="left"/>
            </w:pPr>
            <w:r>
              <w:rPr>
                <w:b w:val="false"/>
                <w:bCs w:val="false"/>
                <w:sz w:val="18"/>
                <w:szCs w:val="18"/>
              </w:rPr>
              <w:t xml:space="preserve">1980s bans</w:t>
            </w:r>
          </w:p>
        </w:tc>
        <w:tc>
          <w:tcPr>
            <w:tcW w:type="dxa" w:w="2400"/>
            <w:tcMar>
              <w:top w:type="dxa" w:w="50"/>
              <w:left w:type="dxa" w:w="90"/>
              <w:bottom w:type="dxa" w:w="50"/>
              <w:right w:type="dxa" w:w="90"/>
            </w:tcMar>
          </w:tcPr>
          <w:p>
            <w:pPr>
              <w:jc w:val="left"/>
            </w:pPr>
            <w:r>
              <w:rPr>
                <w:b w:val="false"/>
                <w:bCs w:val="false"/>
                <w:sz w:val="18"/>
                <w:szCs w:val="18"/>
              </w:rPr>
              <w:t xml:space="preserve">1983-95, traffic-safety controls</w:t>
            </w:r>
          </w:p>
        </w:tc>
        <w:tc>
          <w:tcPr>
            <w:tcW w:type="dxa" w:w="2900"/>
            <w:tcMar>
              <w:top w:type="dxa" w:w="50"/>
              <w:left w:type="dxa" w:w="90"/>
              <w:bottom w:type="dxa" w:w="50"/>
              <w:right w:type="dxa" w:w="90"/>
            </w:tcMar>
          </w:tcPr>
          <w:p>
            <w:pPr>
              <w:jc w:val="left"/>
            </w:pPr>
            <w:r>
              <w:rPr>
                <w:b w:val="false"/>
                <w:bCs w:val="false"/>
                <w:sz w:val="18"/>
                <w:szCs w:val="18"/>
              </w:rPr>
              <w:t xml:space="preserve">Impaired share (pp)</w:t>
            </w:r>
          </w:p>
        </w:tc>
        <w:tc>
          <w:tcPr>
            <w:tcW w:type="dxa" w:w="2110"/>
            <w:tcMar>
              <w:top w:type="dxa" w:w="50"/>
              <w:left w:type="dxa" w:w="90"/>
              <w:bottom w:type="dxa" w:w="50"/>
              <w:right w:type="dxa" w:w="90"/>
            </w:tcMar>
          </w:tcPr>
          <w:p>
            <w:pPr>
              <w:jc w:val="center"/>
            </w:pPr>
            <w:r>
              <w:rPr>
                <w:b w:val="false"/>
                <w:bCs w:val="false"/>
                <w:sz w:val="18"/>
                <w:szCs w:val="18"/>
              </w:rPr>
              <w:t xml:space="preserve">+0.75 [−2.2, 3.9]</w:t>
            </w:r>
          </w:p>
        </w:tc>
        <w:tc>
          <w:tcPr>
            <w:tcW w:type="dxa" w:w="800"/>
            <w:tcMar>
              <w:top w:type="dxa" w:w="50"/>
              <w:left w:type="dxa" w:w="90"/>
              <w:bottom w:type="dxa" w:w="50"/>
              <w:right w:type="dxa" w:w="90"/>
            </w:tcMar>
          </w:tcPr>
          <w:p>
            <w:pPr>
              <w:jc w:val="center"/>
            </w:pPr>
            <w:r>
              <w:rPr>
                <w:b w:val="false"/>
                <w:bCs w:val="false"/>
                <w:sz w:val="18"/>
                <w:szCs w:val="18"/>
              </w:rPr>
              <w:t xml:space="preserve">0.62</w:t>
            </w:r>
          </w:p>
        </w:tc>
      </w:tr>
      <w:tr>
        <w:tc>
          <w:tcPr>
            <w:tcW w:type="dxa" w:w="1150"/>
            <w:tcMar>
              <w:top w:type="dxa" w:w="50"/>
              <w:left w:type="dxa" w:w="90"/>
              <w:bottom w:type="dxa" w:w="50"/>
              <w:right w:type="dxa" w:w="90"/>
            </w:tcMar>
          </w:tcPr>
          <w:p>
            <w:pPr>
              <w:jc w:val="left"/>
            </w:pPr>
            <w:r>
              <w:rPr>
                <w:b w:val="false"/>
                <w:bCs w:val="false"/>
                <w:sz w:val="18"/>
                <w:szCs w:val="18"/>
              </w:rPr>
              <w:t xml:space="preserve">1980s bans</w:t>
            </w:r>
          </w:p>
        </w:tc>
        <w:tc>
          <w:tcPr>
            <w:tcW w:type="dxa" w:w="2400"/>
            <w:tcMar>
              <w:top w:type="dxa" w:w="50"/>
              <w:left w:type="dxa" w:w="90"/>
              <w:bottom w:type="dxa" w:w="50"/>
              <w:right w:type="dxa" w:w="90"/>
            </w:tcMar>
          </w:tcPr>
          <w:p>
            <w:pPr>
              <w:jc w:val="left"/>
            </w:pPr>
            <w:r>
              <w:rPr>
                <w:b w:val="false"/>
                <w:bCs w:val="false"/>
                <w:sz w:val="18"/>
                <w:szCs w:val="18"/>
              </w:rPr>
              <w:t xml:space="preserve">1983-95, traffic-safety controls</w:t>
            </w:r>
          </w:p>
        </w:tc>
        <w:tc>
          <w:tcPr>
            <w:tcW w:type="dxa" w:w="2900"/>
            <w:tcMar>
              <w:top w:type="dxa" w:w="50"/>
              <w:left w:type="dxa" w:w="90"/>
              <w:bottom w:type="dxa" w:w="50"/>
              <w:right w:type="dxa" w:w="90"/>
            </w:tcMar>
          </w:tcPr>
          <w:p>
            <w:pPr>
              <w:jc w:val="left"/>
            </w:pPr>
            <w:r>
              <w:rPr>
                <w:b w:val="false"/>
                <w:bCs w:val="false"/>
                <w:sz w:val="18"/>
                <w:szCs w:val="18"/>
              </w:rPr>
              <w:t xml:space="preserve">Log odds, impaired vs. sober (x100)</w:t>
            </w:r>
          </w:p>
        </w:tc>
        <w:tc>
          <w:tcPr>
            <w:tcW w:type="dxa" w:w="2110"/>
            <w:tcMar>
              <w:top w:type="dxa" w:w="50"/>
              <w:left w:type="dxa" w:w="90"/>
              <w:bottom w:type="dxa" w:w="50"/>
              <w:right w:type="dxa" w:w="90"/>
            </w:tcMar>
          </w:tcPr>
          <w:p>
            <w:pPr>
              <w:jc w:val="center"/>
            </w:pPr>
            <w:r>
              <w:rPr>
                <w:b w:val="false"/>
                <w:bCs w:val="false"/>
                <w:sz w:val="18"/>
                <w:szCs w:val="18"/>
              </w:rPr>
              <w:t xml:space="preserve">+3.46 [−9.3, 16.7]</w:t>
            </w:r>
          </w:p>
        </w:tc>
        <w:tc>
          <w:tcPr>
            <w:tcW w:type="dxa" w:w="800"/>
            <w:tcMar>
              <w:top w:type="dxa" w:w="50"/>
              <w:left w:type="dxa" w:w="90"/>
              <w:bottom w:type="dxa" w:w="50"/>
              <w:right w:type="dxa" w:w="90"/>
            </w:tcMar>
          </w:tcPr>
          <w:p>
            <w:pPr>
              <w:jc w:val="center"/>
            </w:pPr>
            <w:r>
              <w:rPr>
                <w:b w:val="false"/>
                <w:bCs w:val="false"/>
                <w:sz w:val="18"/>
                <w:szCs w:val="18"/>
              </w:rPr>
              <w:t xml:space="preserve">0.60</w:t>
            </w:r>
          </w:p>
        </w:tc>
      </w:tr>
    </w:tbl>
    <w:p>
      <w:pPr>
        <w:spacing w:after="220" w:before="60"/>
      </w:pPr>
      <w:r>
        <w:rPr>
          <w:i/>
          <w:iCs/>
          <w:color w:val="444444"/>
          <w:sz w:val="17"/>
          <w:szCs w:val="17"/>
        </w:rPr>
        <w:t xml:space="preserve">Log points x100 approximate percent changes for small values. Randomization intervals as in Table 2.</w:t>
      </w:r>
    </w:p>
    <w:p>
      <w:pPr>
        <w:keepNext/>
        <w:spacing w:before="120"/>
        <w:jc w:val="center"/>
      </w:pPr>
      <w:r>
        <w:drawing>
          <wp:inline distT="0" distB="0" distL="0" distR="0">
            <wp:extent cx="59436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704975"/>
                    </a:xfrm>
                    <a:prstGeom prst="rect">
                      <a:avLst/>
                    </a:prstGeom>
                  </pic:spPr>
                </pic:pic>
              </a:graphicData>
            </a:graphic>
          </wp:inline>
        </w:drawing>
      </w:r>
    </w:p>
    <w:p>
      <w:pPr>
        <w:spacing w:after="220" w:before="60"/>
      </w:pPr>
      <w:r>
        <w:rPr>
          <w:i/>
          <w:iCs/>
          <w:color w:val="444444"/>
          <w:sz w:val="17"/>
          <w:szCs w:val="17"/>
        </w:rPr>
        <w:t xml:space="preserve">Figure 7. Deaths per vehicle-mile: actual minus imputed counterfactual for impaired deaths after the modern repeals (left), sober deaths after the repeals as a placebo (middle), and impaired deaths after the 1980s bans (right).</w:t>
      </w:r>
    </w:p>
    <w:p>
      <w:pPr>
        <w:pStyle w:val="Heading2"/>
      </w:pPr>
      <w:r>
        <w:t xml:space="preserve">7.6 Calibration, date sensitivity and an early look at Indiana</w:t>
      </w:r>
    </w:p>
    <w:p>
      <w:pPr>
        <w:spacing w:after="140" w:line="276"/>
      </w:pPr>
      <w:r>
        <w:t xml:space="preserve">Simulations measure how the inference behaves. The real event dates go to randomly chosen never-treated states, either as they are (true effect zero) or with an effect equal to the reported minimum detectable effect added to their post-change years (Table 10). The test is slightly liberal in both designs: at the 5% level it rejects a true null 7% of the time for the modern impaired share and 9% for the modern net evening test, and 8% for the 1980s impaired share and 11% for the 1980s single-vehicle-night share. p-values near 0.05 therefore deserve skepticism; none of the headline impaired-share estimates comes close to that threshold. Power at the stated minimum detectable effect is 81% in the modern design but only 62% in the 1980s design, so the reported 1980s minimum detectable effect understates the effect size the design can reliably detect. The average estimate is close to the injected effect (5.53 vs 5.83 and 3.82 vs 4.19 points), so the estimator shows little bias.</w:t>
      </w:r>
    </w:p>
    <w:p>
      <w:pPr>
        <w:keepNext/>
        <w:spacing w:after="80" w:before="200"/>
      </w:pPr>
      <w:r>
        <w:rPr>
          <w:b/>
          <w:bCs/>
          <w:sz w:val="20"/>
          <w:szCs w:val="20"/>
        </w:rPr>
        <w:t xml:space="preserve">Table 10. Simulated false-positive rates and power of the joint randomization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000"/>
        <w:gridCol w:w="1250"/>
        <w:gridCol w:w="1760"/>
        <w:gridCol w:w="850"/>
        <w:gridCol w:w="1200"/>
      </w:tblGrid>
      <w:tr>
        <w:trPr>
          <w:tblHeader/>
        </w:trPr>
        <w:tc>
          <w:tcPr>
            <w:tcW w:type="dxa" w:w="1100"/>
            <w:shd w:fill="DCE6F1" w:color="auto" w:val="clear"/>
            <w:tcMar>
              <w:top w:type="dxa" w:w="50"/>
              <w:left w:type="dxa" w:w="90"/>
              <w:bottom w:type="dxa" w:w="50"/>
              <w:right w:type="dxa" w:w="90"/>
            </w:tcMar>
          </w:tcPr>
          <w:p>
            <w:pPr>
              <w:jc w:val="left"/>
            </w:pPr>
            <w:r>
              <w:rPr>
                <w:b/>
                <w:bCs/>
                <w:sz w:val="18"/>
                <w:szCs w:val="18"/>
              </w:rPr>
              <w:t xml:space="preserve">Design</w:t>
            </w:r>
          </w:p>
        </w:tc>
        <w:tc>
          <w:tcPr>
            <w:tcW w:type="dxa" w:w="2200"/>
            <w:shd w:fill="DCE6F1" w:color="auto" w:val="clear"/>
            <w:tcMar>
              <w:top w:type="dxa" w:w="50"/>
              <w:left w:type="dxa" w:w="90"/>
              <w:bottom w:type="dxa" w:w="50"/>
              <w:right w:type="dxa" w:w="90"/>
            </w:tcMar>
          </w:tcPr>
          <w:p>
            <w:pPr>
              <w:jc w:val="center"/>
            </w:pPr>
            <w:r>
              <w:rPr>
                <w:b/>
                <w:bCs/>
                <w:sz w:val="18"/>
                <w:szCs w:val="18"/>
              </w:rPr>
              <w:t xml:space="preserve">Outcome</w:t>
            </w:r>
          </w:p>
        </w:tc>
        <w:tc>
          <w:tcPr>
            <w:tcW w:type="dxa" w:w="1000"/>
            <w:shd w:fill="DCE6F1" w:color="auto" w:val="clear"/>
            <w:tcMar>
              <w:top w:type="dxa" w:w="50"/>
              <w:left w:type="dxa" w:w="90"/>
              <w:bottom w:type="dxa" w:w="50"/>
              <w:right w:type="dxa" w:w="90"/>
            </w:tcMar>
          </w:tcPr>
          <w:p>
            <w:pPr>
              <w:jc w:val="center"/>
            </w:pPr>
            <w:r>
              <w:rPr>
                <w:b/>
                <w:bCs/>
                <w:sz w:val="18"/>
                <w:szCs w:val="18"/>
              </w:rPr>
              <w:t xml:space="preserve">Injected effect</w:t>
            </w:r>
          </w:p>
        </w:tc>
        <w:tc>
          <w:tcPr>
            <w:tcW w:type="dxa" w:w="1250"/>
            <w:shd w:fill="DCE6F1" w:color="auto" w:val="clear"/>
            <w:tcMar>
              <w:top w:type="dxa" w:w="50"/>
              <w:left w:type="dxa" w:w="90"/>
              <w:bottom w:type="dxa" w:w="50"/>
              <w:right w:type="dxa" w:w="90"/>
            </w:tcMar>
          </w:tcPr>
          <w:p>
            <w:pPr>
              <w:jc w:val="center"/>
            </w:pPr>
            <w:r>
              <w:rPr>
                <w:b/>
                <w:bCs/>
                <w:sz w:val="18"/>
                <w:szCs w:val="18"/>
              </w:rPr>
              <w:t xml:space="preserve">Simulations</w:t>
            </w:r>
          </w:p>
        </w:tc>
        <w:tc>
          <w:tcPr>
            <w:tcW w:type="dxa" w:w="1760"/>
            <w:shd w:fill="DCE6F1" w:color="auto" w:val="clear"/>
            <w:tcMar>
              <w:top w:type="dxa" w:w="50"/>
              <w:left w:type="dxa" w:w="90"/>
              <w:bottom w:type="dxa" w:w="50"/>
              <w:right w:type="dxa" w:w="90"/>
            </w:tcMar>
          </w:tcPr>
          <w:p>
            <w:pPr>
              <w:jc w:val="center"/>
            </w:pPr>
            <w:r>
              <w:rPr>
                <w:b/>
                <w:bCs/>
                <w:sz w:val="18"/>
                <w:szCs w:val="18"/>
              </w:rPr>
              <w:t xml:space="preserve">Rejected at 5% (± s.e.)</w:t>
            </w:r>
          </w:p>
        </w:tc>
        <w:tc>
          <w:tcPr>
            <w:tcW w:type="dxa" w:w="850"/>
            <w:shd w:fill="DCE6F1" w:color="auto" w:val="clear"/>
            <w:tcMar>
              <w:top w:type="dxa" w:w="50"/>
              <w:left w:type="dxa" w:w="90"/>
              <w:bottom w:type="dxa" w:w="50"/>
              <w:right w:type="dxa" w:w="90"/>
            </w:tcMar>
          </w:tcPr>
          <w:p>
            <w:pPr>
              <w:jc w:val="center"/>
            </w:pPr>
            <w:r>
              <w:rPr>
                <w:b/>
                <w:bCs/>
                <w:sz w:val="18"/>
                <w:szCs w:val="18"/>
              </w:rPr>
              <w:t xml:space="preserve">At 10%</w:t>
            </w:r>
          </w:p>
        </w:tc>
        <w:tc>
          <w:tcPr>
            <w:tcW w:type="dxa" w:w="1200"/>
            <w:shd w:fill="DCE6F1" w:color="auto" w:val="clear"/>
            <w:tcMar>
              <w:top w:type="dxa" w:w="50"/>
              <w:left w:type="dxa" w:w="90"/>
              <w:bottom w:type="dxa" w:w="50"/>
              <w:right w:type="dxa" w:w="90"/>
            </w:tcMar>
          </w:tcPr>
          <w:p>
            <w:pPr>
              <w:jc w:val="center"/>
            </w:pPr>
            <w:r>
              <w:rPr>
                <w:b/>
                <w:bCs/>
                <w:sz w:val="18"/>
                <w:szCs w:val="18"/>
              </w:rPr>
              <w:t xml:space="preserve">Mean estimate</w:t>
            </w:r>
          </w:p>
        </w:tc>
      </w:tr>
      <w:tr>
        <w:tc>
          <w:tcPr>
            <w:tcW w:type="dxa" w:w="1100"/>
            <w:tcMar>
              <w:top w:type="dxa" w:w="50"/>
              <w:left w:type="dxa" w:w="90"/>
              <w:bottom w:type="dxa" w:w="50"/>
              <w:right w:type="dxa" w:w="90"/>
            </w:tcMar>
          </w:tcPr>
          <w:p>
            <w:pPr>
              <w:jc w:val="left"/>
            </w:pPr>
            <w:r>
              <w:rPr>
                <w:b w:val="false"/>
                <w:bCs w:val="false"/>
                <w:sz w:val="18"/>
                <w:szCs w:val="18"/>
              </w:rPr>
              <w:t xml:space="preserve">Repeals</w:t>
            </w:r>
          </w:p>
        </w:tc>
        <w:tc>
          <w:tcPr>
            <w:tcW w:type="dxa" w:w="2200"/>
            <w:tcMar>
              <w:top w:type="dxa" w:w="50"/>
              <w:left w:type="dxa" w:w="90"/>
              <w:bottom w:type="dxa" w:w="50"/>
              <w:right w:type="dxa" w:w="90"/>
            </w:tcMar>
          </w:tcPr>
          <w:p>
            <w:pPr>
              <w:jc w:val="left"/>
            </w:pPr>
            <w:r>
              <w:rPr>
                <w:b w:val="false"/>
                <w:bCs w:val="false"/>
                <w:sz w:val="18"/>
                <w:szCs w:val="18"/>
              </w:rPr>
              <w:t xml:space="preserve">Impaired share (pp)</w:t>
            </w:r>
          </w:p>
        </w:tc>
        <w:tc>
          <w:tcPr>
            <w:tcW w:type="dxa" w:w="1000"/>
            <w:tcMar>
              <w:top w:type="dxa" w:w="50"/>
              <w:left w:type="dxa" w:w="90"/>
              <w:bottom w:type="dxa" w:w="50"/>
              <w:right w:type="dxa" w:w="90"/>
            </w:tcMar>
          </w:tcPr>
          <w:p>
            <w:pPr>
              <w:jc w:val="center"/>
            </w:pPr>
            <w:r>
              <w:rPr>
                <w:b w:val="false"/>
                <w:bCs w:val="false"/>
                <w:sz w:val="18"/>
                <w:szCs w:val="18"/>
              </w:rPr>
              <w:t xml:space="preserve">none</w:t>
            </w:r>
          </w:p>
        </w:tc>
        <w:tc>
          <w:tcPr>
            <w:tcW w:type="dxa" w:w="1250"/>
            <w:tcMar>
              <w:top w:type="dxa" w:w="50"/>
              <w:left w:type="dxa" w:w="90"/>
              <w:bottom w:type="dxa" w:w="50"/>
              <w:right w:type="dxa" w:w="90"/>
            </w:tcMar>
          </w:tcPr>
          <w:p>
            <w:pPr>
              <w:jc w:val="center"/>
            </w:pPr>
            <w:r>
              <w:rPr>
                <w:b w:val="false"/>
                <w:bCs w:val="false"/>
                <w:sz w:val="18"/>
                <w:szCs w:val="18"/>
              </w:rPr>
              <w:t xml:space="preserve">300</w:t>
            </w:r>
          </w:p>
        </w:tc>
        <w:tc>
          <w:tcPr>
            <w:tcW w:type="dxa" w:w="1760"/>
            <w:tcMar>
              <w:top w:type="dxa" w:w="50"/>
              <w:left w:type="dxa" w:w="90"/>
              <w:bottom w:type="dxa" w:w="50"/>
              <w:right w:type="dxa" w:w="90"/>
            </w:tcMar>
          </w:tcPr>
          <w:p>
            <w:pPr>
              <w:jc w:val="center"/>
            </w:pPr>
            <w:r>
              <w:rPr>
                <w:b w:val="false"/>
                <w:bCs w:val="false"/>
                <w:sz w:val="18"/>
                <w:szCs w:val="18"/>
              </w:rPr>
              <w:t xml:space="preserve">7.0% (± 1.5)</w:t>
            </w:r>
          </w:p>
        </w:tc>
        <w:tc>
          <w:tcPr>
            <w:tcW w:type="dxa" w:w="850"/>
            <w:tcMar>
              <w:top w:type="dxa" w:w="50"/>
              <w:left w:type="dxa" w:w="90"/>
              <w:bottom w:type="dxa" w:w="50"/>
              <w:right w:type="dxa" w:w="90"/>
            </w:tcMar>
          </w:tcPr>
          <w:p>
            <w:pPr>
              <w:jc w:val="center"/>
            </w:pPr>
            <w:r>
              <w:rPr>
                <w:b w:val="false"/>
                <w:bCs w:val="false"/>
                <w:sz w:val="18"/>
                <w:szCs w:val="18"/>
              </w:rPr>
              <w:t xml:space="preserve">11.0%</w:t>
            </w:r>
          </w:p>
        </w:tc>
        <w:tc>
          <w:tcPr>
            <w:tcW w:type="dxa" w:w="1200"/>
            <w:tcMar>
              <w:top w:type="dxa" w:w="50"/>
              <w:left w:type="dxa" w:w="90"/>
              <w:bottom w:type="dxa" w:w="50"/>
              <w:right w:type="dxa" w:w="90"/>
            </w:tcMar>
          </w:tcPr>
          <w:p>
            <w:pPr>
              <w:jc w:val="center"/>
            </w:pPr>
            <w:r>
              <w:rPr>
                <w:b w:val="false"/>
                <w:bCs w:val="false"/>
                <w:sz w:val="18"/>
                <w:szCs w:val="18"/>
              </w:rPr>
              <w:t xml:space="preserve">−0.02</w:t>
            </w:r>
          </w:p>
        </w:tc>
      </w:tr>
      <w:tr>
        <w:tc>
          <w:tcPr>
            <w:tcW w:type="dxa" w:w="1100"/>
            <w:tcMar>
              <w:top w:type="dxa" w:w="50"/>
              <w:left w:type="dxa" w:w="90"/>
              <w:bottom w:type="dxa" w:w="50"/>
              <w:right w:type="dxa" w:w="90"/>
            </w:tcMar>
          </w:tcPr>
          <w:p>
            <w:pPr>
              <w:jc w:val="left"/>
            </w:pPr>
            <w:r>
              <w:rPr>
                <w:b w:val="false"/>
                <w:bCs w:val="false"/>
                <w:sz w:val="18"/>
                <w:szCs w:val="18"/>
              </w:rPr>
              <w:t xml:space="preserve">Repeals</w:t>
            </w:r>
          </w:p>
        </w:tc>
        <w:tc>
          <w:tcPr>
            <w:tcW w:type="dxa" w:w="2200"/>
            <w:tcMar>
              <w:top w:type="dxa" w:w="50"/>
              <w:left w:type="dxa" w:w="90"/>
              <w:bottom w:type="dxa" w:w="50"/>
              <w:right w:type="dxa" w:w="90"/>
            </w:tcMar>
          </w:tcPr>
          <w:p>
            <w:pPr>
              <w:jc w:val="left"/>
            </w:pPr>
            <w:r>
              <w:rPr>
                <w:b w:val="false"/>
                <w:bCs w:val="false"/>
                <w:sz w:val="18"/>
                <w:szCs w:val="18"/>
              </w:rPr>
              <w:t xml:space="preserve">Impaired share (pp)</w:t>
            </w:r>
          </w:p>
        </w:tc>
        <w:tc>
          <w:tcPr>
            <w:tcW w:type="dxa" w:w="1000"/>
            <w:tcMar>
              <w:top w:type="dxa" w:w="50"/>
              <w:left w:type="dxa" w:w="90"/>
              <w:bottom w:type="dxa" w:w="50"/>
              <w:right w:type="dxa" w:w="90"/>
            </w:tcMar>
          </w:tcPr>
          <w:p>
            <w:pPr>
              <w:jc w:val="center"/>
            </w:pPr>
            <w:r>
              <w:rPr>
                <w:b w:val="false"/>
                <w:bCs w:val="false"/>
                <w:sz w:val="18"/>
                <w:szCs w:val="18"/>
              </w:rPr>
              <w:t xml:space="preserve">5.83</w:t>
            </w:r>
          </w:p>
        </w:tc>
        <w:tc>
          <w:tcPr>
            <w:tcW w:type="dxa" w:w="1250"/>
            <w:tcMar>
              <w:top w:type="dxa" w:w="50"/>
              <w:left w:type="dxa" w:w="90"/>
              <w:bottom w:type="dxa" w:w="50"/>
              <w:right w:type="dxa" w:w="90"/>
            </w:tcMar>
          </w:tcPr>
          <w:p>
            <w:pPr>
              <w:jc w:val="center"/>
            </w:pPr>
            <w:r>
              <w:rPr>
                <w:b w:val="false"/>
                <w:bCs w:val="false"/>
                <w:sz w:val="18"/>
                <w:szCs w:val="18"/>
              </w:rPr>
              <w:t xml:space="preserve">150</w:t>
            </w:r>
          </w:p>
        </w:tc>
        <w:tc>
          <w:tcPr>
            <w:tcW w:type="dxa" w:w="1760"/>
            <w:tcMar>
              <w:top w:type="dxa" w:w="50"/>
              <w:left w:type="dxa" w:w="90"/>
              <w:bottom w:type="dxa" w:w="50"/>
              <w:right w:type="dxa" w:w="90"/>
            </w:tcMar>
          </w:tcPr>
          <w:p>
            <w:pPr>
              <w:jc w:val="center"/>
            </w:pPr>
            <w:r>
              <w:rPr>
                <w:b w:val="false"/>
                <w:bCs w:val="false"/>
                <w:sz w:val="18"/>
                <w:szCs w:val="18"/>
              </w:rPr>
              <w:t xml:space="preserve">81.3% (± 3.2)</w:t>
            </w:r>
          </w:p>
        </w:tc>
        <w:tc>
          <w:tcPr>
            <w:tcW w:type="dxa" w:w="850"/>
            <w:tcMar>
              <w:top w:type="dxa" w:w="50"/>
              <w:left w:type="dxa" w:w="90"/>
              <w:bottom w:type="dxa" w:w="50"/>
              <w:right w:type="dxa" w:w="90"/>
            </w:tcMar>
          </w:tcPr>
          <w:p>
            <w:pPr>
              <w:jc w:val="center"/>
            </w:pPr>
            <w:r>
              <w:rPr>
                <w:b w:val="false"/>
                <w:bCs w:val="false"/>
                <w:sz w:val="18"/>
                <w:szCs w:val="18"/>
              </w:rPr>
              <w:t xml:space="preserve">92.7%</w:t>
            </w:r>
          </w:p>
        </w:tc>
        <w:tc>
          <w:tcPr>
            <w:tcW w:type="dxa" w:w="1200"/>
            <w:tcMar>
              <w:top w:type="dxa" w:w="50"/>
              <w:left w:type="dxa" w:w="90"/>
              <w:bottom w:type="dxa" w:w="50"/>
              <w:right w:type="dxa" w:w="90"/>
            </w:tcMar>
          </w:tcPr>
          <w:p>
            <w:pPr>
              <w:jc w:val="center"/>
            </w:pPr>
            <w:r>
              <w:rPr>
                <w:b w:val="false"/>
                <w:bCs w:val="false"/>
                <w:sz w:val="18"/>
                <w:szCs w:val="18"/>
              </w:rPr>
              <w:t xml:space="preserve">+5.53</w:t>
            </w:r>
          </w:p>
        </w:tc>
      </w:tr>
      <w:tr>
        <w:tc>
          <w:tcPr>
            <w:tcW w:type="dxa" w:w="1100"/>
            <w:tcMar>
              <w:top w:type="dxa" w:w="50"/>
              <w:left w:type="dxa" w:w="90"/>
              <w:bottom w:type="dxa" w:w="50"/>
              <w:right w:type="dxa" w:w="90"/>
            </w:tcMar>
          </w:tcPr>
          <w:p>
            <w:pPr>
              <w:jc w:val="left"/>
            </w:pPr>
            <w:r>
              <w:rPr>
                <w:b w:val="false"/>
                <w:bCs w:val="false"/>
                <w:sz w:val="18"/>
                <w:szCs w:val="18"/>
              </w:rPr>
              <w:t xml:space="preserve">Repeals</w:t>
            </w:r>
          </w:p>
        </w:tc>
        <w:tc>
          <w:tcPr>
            <w:tcW w:type="dxa" w:w="2200"/>
            <w:tcMar>
              <w:top w:type="dxa" w:w="50"/>
              <w:left w:type="dxa" w:w="90"/>
              <w:bottom w:type="dxa" w:w="50"/>
              <w:right w:type="dxa" w:w="90"/>
            </w:tcMar>
          </w:tcPr>
          <w:p>
            <w:pPr>
              <w:jc w:val="left"/>
            </w:pPr>
            <w:r>
              <w:rPr>
                <w:b w:val="false"/>
                <w:bCs w:val="false"/>
                <w:sz w:val="18"/>
                <w:szCs w:val="18"/>
              </w:rPr>
              <w:t xml:space="preserve">Net evening test (x100)</w:t>
            </w:r>
          </w:p>
        </w:tc>
        <w:tc>
          <w:tcPr>
            <w:tcW w:type="dxa" w:w="1000"/>
            <w:tcMar>
              <w:top w:type="dxa" w:w="50"/>
              <w:left w:type="dxa" w:w="90"/>
              <w:bottom w:type="dxa" w:w="50"/>
              <w:right w:type="dxa" w:w="90"/>
            </w:tcMar>
          </w:tcPr>
          <w:p>
            <w:pPr>
              <w:jc w:val="center"/>
            </w:pPr>
            <w:r>
              <w:rPr>
                <w:b w:val="false"/>
                <w:bCs w:val="false"/>
                <w:sz w:val="18"/>
                <w:szCs w:val="18"/>
              </w:rPr>
              <w:t xml:space="preserve">none</w:t>
            </w:r>
          </w:p>
        </w:tc>
        <w:tc>
          <w:tcPr>
            <w:tcW w:type="dxa" w:w="1250"/>
            <w:tcMar>
              <w:top w:type="dxa" w:w="50"/>
              <w:left w:type="dxa" w:w="90"/>
              <w:bottom w:type="dxa" w:w="50"/>
              <w:right w:type="dxa" w:w="90"/>
            </w:tcMar>
          </w:tcPr>
          <w:p>
            <w:pPr>
              <w:jc w:val="center"/>
            </w:pPr>
            <w:r>
              <w:rPr>
                <w:b w:val="false"/>
                <w:bCs w:val="false"/>
                <w:sz w:val="18"/>
                <w:szCs w:val="18"/>
              </w:rPr>
              <w:t xml:space="preserve">150</w:t>
            </w:r>
          </w:p>
        </w:tc>
        <w:tc>
          <w:tcPr>
            <w:tcW w:type="dxa" w:w="1760"/>
            <w:tcMar>
              <w:top w:type="dxa" w:w="50"/>
              <w:left w:type="dxa" w:w="90"/>
              <w:bottom w:type="dxa" w:w="50"/>
              <w:right w:type="dxa" w:w="90"/>
            </w:tcMar>
          </w:tcPr>
          <w:p>
            <w:pPr>
              <w:jc w:val="center"/>
            </w:pPr>
            <w:r>
              <w:rPr>
                <w:b w:val="false"/>
                <w:bCs w:val="false"/>
                <w:sz w:val="18"/>
                <w:szCs w:val="18"/>
              </w:rPr>
              <w:t xml:space="preserve">8.7% (± 2.3)</w:t>
            </w:r>
          </w:p>
        </w:tc>
        <w:tc>
          <w:tcPr>
            <w:tcW w:type="dxa" w:w="850"/>
            <w:tcMar>
              <w:top w:type="dxa" w:w="50"/>
              <w:left w:type="dxa" w:w="90"/>
              <w:bottom w:type="dxa" w:w="50"/>
              <w:right w:type="dxa" w:w="90"/>
            </w:tcMar>
          </w:tcPr>
          <w:p>
            <w:pPr>
              <w:jc w:val="center"/>
            </w:pPr>
            <w:r>
              <w:rPr>
                <w:b w:val="false"/>
                <w:bCs w:val="false"/>
                <w:sz w:val="18"/>
                <w:szCs w:val="18"/>
              </w:rPr>
              <w:t xml:space="preserve">14.0%</w:t>
            </w:r>
          </w:p>
        </w:tc>
        <w:tc>
          <w:tcPr>
            <w:tcW w:type="dxa" w:w="1200"/>
            <w:tcMar>
              <w:top w:type="dxa" w:w="50"/>
              <w:left w:type="dxa" w:w="90"/>
              <w:bottom w:type="dxa" w:w="50"/>
              <w:right w:type="dxa" w:w="90"/>
            </w:tcMar>
          </w:tcPr>
          <w:p>
            <w:pPr>
              <w:jc w:val="center"/>
            </w:pPr>
            <w:r>
              <w:rPr>
                <w:b w:val="false"/>
                <w:bCs w:val="false"/>
                <w:sz w:val="18"/>
                <w:szCs w:val="18"/>
              </w:rPr>
              <w:t xml:space="preserve">+0.07</w:t>
            </w:r>
          </w:p>
        </w:tc>
      </w:tr>
      <w:tr>
        <w:tc>
          <w:tcPr>
            <w:tcW w:type="dxa" w:w="1100"/>
            <w:tcMar>
              <w:top w:type="dxa" w:w="50"/>
              <w:left w:type="dxa" w:w="90"/>
              <w:bottom w:type="dxa" w:w="50"/>
              <w:right w:type="dxa" w:w="90"/>
            </w:tcMar>
          </w:tcPr>
          <w:p>
            <w:pPr>
              <w:jc w:val="left"/>
            </w:pPr>
            <w:r>
              <w:rPr>
                <w:b w:val="false"/>
                <w:bCs w:val="false"/>
                <w:sz w:val="18"/>
                <w:szCs w:val="18"/>
              </w:rPr>
              <w:t xml:space="preserve">1980s bans</w:t>
            </w:r>
          </w:p>
        </w:tc>
        <w:tc>
          <w:tcPr>
            <w:tcW w:type="dxa" w:w="2200"/>
            <w:tcMar>
              <w:top w:type="dxa" w:w="50"/>
              <w:left w:type="dxa" w:w="90"/>
              <w:bottom w:type="dxa" w:w="50"/>
              <w:right w:type="dxa" w:w="90"/>
            </w:tcMar>
          </w:tcPr>
          <w:p>
            <w:pPr>
              <w:jc w:val="left"/>
            </w:pPr>
            <w:r>
              <w:rPr>
                <w:b w:val="false"/>
                <w:bCs w:val="false"/>
                <w:sz w:val="18"/>
                <w:szCs w:val="18"/>
              </w:rPr>
              <w:t xml:space="preserve">Impaired share (pp)</w:t>
            </w:r>
          </w:p>
        </w:tc>
        <w:tc>
          <w:tcPr>
            <w:tcW w:type="dxa" w:w="1000"/>
            <w:tcMar>
              <w:top w:type="dxa" w:w="50"/>
              <w:left w:type="dxa" w:w="90"/>
              <w:bottom w:type="dxa" w:w="50"/>
              <w:right w:type="dxa" w:w="90"/>
            </w:tcMar>
          </w:tcPr>
          <w:p>
            <w:pPr>
              <w:jc w:val="center"/>
            </w:pPr>
            <w:r>
              <w:rPr>
                <w:b w:val="false"/>
                <w:bCs w:val="false"/>
                <w:sz w:val="18"/>
                <w:szCs w:val="18"/>
              </w:rPr>
              <w:t xml:space="preserve">none</w:t>
            </w:r>
          </w:p>
        </w:tc>
        <w:tc>
          <w:tcPr>
            <w:tcW w:type="dxa" w:w="1250"/>
            <w:tcMar>
              <w:top w:type="dxa" w:w="50"/>
              <w:left w:type="dxa" w:w="90"/>
              <w:bottom w:type="dxa" w:w="50"/>
              <w:right w:type="dxa" w:w="90"/>
            </w:tcMar>
          </w:tcPr>
          <w:p>
            <w:pPr>
              <w:jc w:val="center"/>
            </w:pPr>
            <w:r>
              <w:rPr>
                <w:b w:val="false"/>
                <w:bCs w:val="false"/>
                <w:sz w:val="18"/>
                <w:szCs w:val="18"/>
              </w:rPr>
              <w:t xml:space="preserve">300</w:t>
            </w:r>
          </w:p>
        </w:tc>
        <w:tc>
          <w:tcPr>
            <w:tcW w:type="dxa" w:w="1760"/>
            <w:tcMar>
              <w:top w:type="dxa" w:w="50"/>
              <w:left w:type="dxa" w:w="90"/>
              <w:bottom w:type="dxa" w:w="50"/>
              <w:right w:type="dxa" w:w="90"/>
            </w:tcMar>
          </w:tcPr>
          <w:p>
            <w:pPr>
              <w:jc w:val="center"/>
            </w:pPr>
            <w:r>
              <w:rPr>
                <w:b w:val="false"/>
                <w:bCs w:val="false"/>
                <w:sz w:val="18"/>
                <w:szCs w:val="18"/>
              </w:rPr>
              <w:t xml:space="preserve">8.3% (± 1.6)</w:t>
            </w:r>
          </w:p>
        </w:tc>
        <w:tc>
          <w:tcPr>
            <w:tcW w:type="dxa" w:w="850"/>
            <w:tcMar>
              <w:top w:type="dxa" w:w="50"/>
              <w:left w:type="dxa" w:w="90"/>
              <w:bottom w:type="dxa" w:w="50"/>
              <w:right w:type="dxa" w:w="90"/>
            </w:tcMar>
          </w:tcPr>
          <w:p>
            <w:pPr>
              <w:jc w:val="center"/>
            </w:pPr>
            <w:r>
              <w:rPr>
                <w:b w:val="false"/>
                <w:bCs w:val="false"/>
                <w:sz w:val="18"/>
                <w:szCs w:val="18"/>
              </w:rPr>
              <w:t xml:space="preserve">12.3%</w:t>
            </w:r>
          </w:p>
        </w:tc>
        <w:tc>
          <w:tcPr>
            <w:tcW w:type="dxa" w:w="1200"/>
            <w:tcMar>
              <w:top w:type="dxa" w:w="50"/>
              <w:left w:type="dxa" w:w="90"/>
              <w:bottom w:type="dxa" w:w="50"/>
              <w:right w:type="dxa" w:w="90"/>
            </w:tcMar>
          </w:tcPr>
          <w:p>
            <w:pPr>
              <w:jc w:val="center"/>
            </w:pPr>
            <w:r>
              <w:rPr>
                <w:b w:val="false"/>
                <w:bCs w:val="false"/>
                <w:sz w:val="18"/>
                <w:szCs w:val="18"/>
              </w:rPr>
              <w:t xml:space="preserve">+0.12</w:t>
            </w:r>
          </w:p>
        </w:tc>
      </w:tr>
      <w:tr>
        <w:tc>
          <w:tcPr>
            <w:tcW w:type="dxa" w:w="1100"/>
            <w:tcMar>
              <w:top w:type="dxa" w:w="50"/>
              <w:left w:type="dxa" w:w="90"/>
              <w:bottom w:type="dxa" w:w="50"/>
              <w:right w:type="dxa" w:w="90"/>
            </w:tcMar>
          </w:tcPr>
          <w:p>
            <w:pPr>
              <w:jc w:val="left"/>
            </w:pPr>
            <w:r>
              <w:rPr>
                <w:b w:val="false"/>
                <w:bCs w:val="false"/>
                <w:sz w:val="18"/>
                <w:szCs w:val="18"/>
              </w:rPr>
              <w:t xml:space="preserve">1980s bans</w:t>
            </w:r>
          </w:p>
        </w:tc>
        <w:tc>
          <w:tcPr>
            <w:tcW w:type="dxa" w:w="2200"/>
            <w:tcMar>
              <w:top w:type="dxa" w:w="50"/>
              <w:left w:type="dxa" w:w="90"/>
              <w:bottom w:type="dxa" w:w="50"/>
              <w:right w:type="dxa" w:w="90"/>
            </w:tcMar>
          </w:tcPr>
          <w:p>
            <w:pPr>
              <w:jc w:val="left"/>
            </w:pPr>
            <w:r>
              <w:rPr>
                <w:b w:val="false"/>
                <w:bCs w:val="false"/>
                <w:sz w:val="18"/>
                <w:szCs w:val="18"/>
              </w:rPr>
              <w:t xml:space="preserve">Impaired share (pp)</w:t>
            </w:r>
          </w:p>
        </w:tc>
        <w:tc>
          <w:tcPr>
            <w:tcW w:type="dxa" w:w="1000"/>
            <w:tcMar>
              <w:top w:type="dxa" w:w="50"/>
              <w:left w:type="dxa" w:w="90"/>
              <w:bottom w:type="dxa" w:w="50"/>
              <w:right w:type="dxa" w:w="90"/>
            </w:tcMar>
          </w:tcPr>
          <w:p>
            <w:pPr>
              <w:jc w:val="center"/>
            </w:pPr>
            <w:r>
              <w:rPr>
                <w:b w:val="false"/>
                <w:bCs w:val="false"/>
                <w:sz w:val="18"/>
                <w:szCs w:val="18"/>
              </w:rPr>
              <w:t xml:space="preserve">4.19</w:t>
            </w:r>
          </w:p>
        </w:tc>
        <w:tc>
          <w:tcPr>
            <w:tcW w:type="dxa" w:w="1250"/>
            <w:tcMar>
              <w:top w:type="dxa" w:w="50"/>
              <w:left w:type="dxa" w:w="90"/>
              <w:bottom w:type="dxa" w:w="50"/>
              <w:right w:type="dxa" w:w="90"/>
            </w:tcMar>
          </w:tcPr>
          <w:p>
            <w:pPr>
              <w:jc w:val="center"/>
            </w:pPr>
            <w:r>
              <w:rPr>
                <w:b w:val="false"/>
                <w:bCs w:val="false"/>
                <w:sz w:val="18"/>
                <w:szCs w:val="18"/>
              </w:rPr>
              <w:t xml:space="preserve">150</w:t>
            </w:r>
          </w:p>
        </w:tc>
        <w:tc>
          <w:tcPr>
            <w:tcW w:type="dxa" w:w="1760"/>
            <w:tcMar>
              <w:top w:type="dxa" w:w="50"/>
              <w:left w:type="dxa" w:w="90"/>
              <w:bottom w:type="dxa" w:w="50"/>
              <w:right w:type="dxa" w:w="90"/>
            </w:tcMar>
          </w:tcPr>
          <w:p>
            <w:pPr>
              <w:jc w:val="center"/>
            </w:pPr>
            <w:r>
              <w:rPr>
                <w:b w:val="false"/>
                <w:bCs w:val="false"/>
                <w:sz w:val="18"/>
                <w:szCs w:val="18"/>
              </w:rPr>
              <w:t xml:space="preserve">62.0% (± 4.0)</w:t>
            </w:r>
          </w:p>
        </w:tc>
        <w:tc>
          <w:tcPr>
            <w:tcW w:type="dxa" w:w="850"/>
            <w:tcMar>
              <w:top w:type="dxa" w:w="50"/>
              <w:left w:type="dxa" w:w="90"/>
              <w:bottom w:type="dxa" w:w="50"/>
              <w:right w:type="dxa" w:w="90"/>
            </w:tcMar>
          </w:tcPr>
          <w:p>
            <w:pPr>
              <w:jc w:val="center"/>
            </w:pPr>
            <w:r>
              <w:rPr>
                <w:b w:val="false"/>
                <w:bCs w:val="false"/>
                <w:sz w:val="18"/>
                <w:szCs w:val="18"/>
              </w:rPr>
              <w:t xml:space="preserve">77.3%</w:t>
            </w:r>
          </w:p>
        </w:tc>
        <w:tc>
          <w:tcPr>
            <w:tcW w:type="dxa" w:w="1200"/>
            <w:tcMar>
              <w:top w:type="dxa" w:w="50"/>
              <w:left w:type="dxa" w:w="90"/>
              <w:bottom w:type="dxa" w:w="50"/>
              <w:right w:type="dxa" w:w="90"/>
            </w:tcMar>
          </w:tcPr>
          <w:p>
            <w:pPr>
              <w:jc w:val="center"/>
            </w:pPr>
            <w:r>
              <w:rPr>
                <w:b w:val="false"/>
                <w:bCs w:val="false"/>
                <w:sz w:val="18"/>
                <w:szCs w:val="18"/>
              </w:rPr>
              <w:t xml:space="preserve">+3.82</w:t>
            </w:r>
          </w:p>
        </w:tc>
      </w:tr>
      <w:tr>
        <w:tc>
          <w:tcPr>
            <w:tcW w:type="dxa" w:w="1100"/>
            <w:tcMar>
              <w:top w:type="dxa" w:w="50"/>
              <w:left w:type="dxa" w:w="90"/>
              <w:bottom w:type="dxa" w:w="50"/>
              <w:right w:type="dxa" w:w="90"/>
            </w:tcMar>
          </w:tcPr>
          <w:p>
            <w:pPr>
              <w:jc w:val="left"/>
            </w:pPr>
            <w:r>
              <w:rPr>
                <w:b w:val="false"/>
                <w:bCs w:val="false"/>
                <w:sz w:val="18"/>
                <w:szCs w:val="18"/>
              </w:rPr>
              <w:t xml:space="preserve">1980s bans</w:t>
            </w:r>
          </w:p>
        </w:tc>
        <w:tc>
          <w:tcPr>
            <w:tcW w:type="dxa" w:w="2200"/>
            <w:tcMar>
              <w:top w:type="dxa" w:w="50"/>
              <w:left w:type="dxa" w:w="90"/>
              <w:bottom w:type="dxa" w:w="50"/>
              <w:right w:type="dxa" w:w="90"/>
            </w:tcMar>
          </w:tcPr>
          <w:p>
            <w:pPr>
              <w:jc w:val="left"/>
            </w:pPr>
            <w:r>
              <w:rPr>
                <w:b w:val="false"/>
                <w:bCs w:val="false"/>
                <w:sz w:val="18"/>
                <w:szCs w:val="18"/>
              </w:rPr>
              <w:t xml:space="preserve">Single-vehicle-night share (pp)</w:t>
            </w:r>
          </w:p>
        </w:tc>
        <w:tc>
          <w:tcPr>
            <w:tcW w:type="dxa" w:w="1000"/>
            <w:tcMar>
              <w:top w:type="dxa" w:w="50"/>
              <w:left w:type="dxa" w:w="90"/>
              <w:bottom w:type="dxa" w:w="50"/>
              <w:right w:type="dxa" w:w="90"/>
            </w:tcMar>
          </w:tcPr>
          <w:p>
            <w:pPr>
              <w:jc w:val="center"/>
            </w:pPr>
            <w:r>
              <w:rPr>
                <w:b w:val="false"/>
                <w:bCs w:val="false"/>
                <w:sz w:val="18"/>
                <w:szCs w:val="18"/>
              </w:rPr>
              <w:t xml:space="preserve">none</w:t>
            </w:r>
          </w:p>
        </w:tc>
        <w:tc>
          <w:tcPr>
            <w:tcW w:type="dxa" w:w="1250"/>
            <w:tcMar>
              <w:top w:type="dxa" w:w="50"/>
              <w:left w:type="dxa" w:w="90"/>
              <w:bottom w:type="dxa" w:w="50"/>
              <w:right w:type="dxa" w:w="90"/>
            </w:tcMar>
          </w:tcPr>
          <w:p>
            <w:pPr>
              <w:jc w:val="center"/>
            </w:pPr>
            <w:r>
              <w:rPr>
                <w:b w:val="false"/>
                <w:bCs w:val="false"/>
                <w:sz w:val="18"/>
                <w:szCs w:val="18"/>
              </w:rPr>
              <w:t xml:space="preserve">150</w:t>
            </w:r>
          </w:p>
        </w:tc>
        <w:tc>
          <w:tcPr>
            <w:tcW w:type="dxa" w:w="1760"/>
            <w:tcMar>
              <w:top w:type="dxa" w:w="50"/>
              <w:left w:type="dxa" w:w="90"/>
              <w:bottom w:type="dxa" w:w="50"/>
              <w:right w:type="dxa" w:w="90"/>
            </w:tcMar>
          </w:tcPr>
          <w:p>
            <w:pPr>
              <w:jc w:val="center"/>
            </w:pPr>
            <w:r>
              <w:rPr>
                <w:b w:val="false"/>
                <w:bCs w:val="false"/>
                <w:sz w:val="18"/>
                <w:szCs w:val="18"/>
              </w:rPr>
              <w:t xml:space="preserve">11.3% (± 2.6)</w:t>
            </w:r>
          </w:p>
        </w:tc>
        <w:tc>
          <w:tcPr>
            <w:tcW w:type="dxa" w:w="850"/>
            <w:tcMar>
              <w:top w:type="dxa" w:w="50"/>
              <w:left w:type="dxa" w:w="90"/>
              <w:bottom w:type="dxa" w:w="50"/>
              <w:right w:type="dxa" w:w="90"/>
            </w:tcMar>
          </w:tcPr>
          <w:p>
            <w:pPr>
              <w:jc w:val="center"/>
            </w:pPr>
            <w:r>
              <w:rPr>
                <w:b w:val="false"/>
                <w:bCs w:val="false"/>
                <w:sz w:val="18"/>
                <w:szCs w:val="18"/>
              </w:rPr>
              <w:t xml:space="preserve">18.0%</w:t>
            </w:r>
          </w:p>
        </w:tc>
        <w:tc>
          <w:tcPr>
            <w:tcW w:type="dxa" w:w="1200"/>
            <w:tcMar>
              <w:top w:type="dxa" w:w="50"/>
              <w:left w:type="dxa" w:w="90"/>
              <w:bottom w:type="dxa" w:w="50"/>
              <w:right w:type="dxa" w:w="90"/>
            </w:tcMar>
          </w:tcPr>
          <w:p>
            <w:pPr>
              <w:jc w:val="center"/>
            </w:pPr>
            <w:r>
              <w:rPr>
                <w:b w:val="false"/>
                <w:bCs w:val="false"/>
                <w:sz w:val="18"/>
                <w:szCs w:val="18"/>
              </w:rPr>
              <w:t xml:space="preserve">+0.03</w:t>
            </w:r>
          </w:p>
        </w:tc>
      </w:tr>
    </w:tbl>
    <w:p>
      <w:pPr>
        <w:spacing w:after="220" w:before="60"/>
      </w:pPr>
      <w:r>
        <w:rPr>
          <w:i/>
          <w:iCs/>
          <w:color w:val="444444"/>
          <w:sz w:val="17"/>
          <w:szCs w:val="17"/>
        </w:rPr>
        <w:t xml:space="preserve">With no injected effect, the rejection rate is the false-positive rate (target 5% and 10%); with the minimum detectable effect injected, it is power (target about 80% at 5%).</w:t>
      </w:r>
    </w:p>
    <w:p>
      <w:pPr>
        <w:spacing w:after="140" w:line="276"/>
      </w:pPr>
      <w:r>
        <w:t xml:space="preserve">Second, the 1980s dates. Moving any single adopter’s date one year earlier or later leaves the impaired-share estimate between +0.53 and +1.07 points, with p-values from 0.56 to 0.71. The single-vehicle-night estimate ranges from −1.25 to −0.57 points, with p-values from 0.17 to 0.43; it is most sensitive to Massachusetts’s date.</w:t>
      </w:r>
    </w:p>
    <w:p>
      <w:pPr>
        <w:spacing w:after="140" w:line="276"/>
      </w:pPr>
      <w:r>
        <w:t xml:space="preserve">Third, month-level data from the 2016–2024 FARS files, whose monthly totals match the annual data exactly, allow an early look at Indiana. The six months after its July 2024 change are compared with a counterfactual built from 34 states with at least 300 deaths a year, allowing each state its own seasonal pattern. Indiana’s impaired share changed by +2.0 points (95% interval −4.7 to +7.1, p = 0.51; Figure 8), within the range of Indiana’s own swings when the same test is run at fake July dates in 2018–2023 (−3.2 to +2.1 points). With six months of data the smallest reliably detectable effect is 9.3 points, about 35% of Indiana’s 27% baseline, and the 2024 file is still preliminary, so this says nothing yet about Indiana. The same monthly method applied to Oklahoma, now including the October–December 2018 months that the annual design drops, gives +1.2 points (−3.3 to +5.5, p = 0.65), consistent with the annual result.</w:t>
      </w:r>
    </w:p>
    <w:p>
      <w:pPr>
        <w:keepNext/>
        <w:spacing w:before="120"/>
        <w:jc w:val="center"/>
      </w:pPr>
      <w:r>
        <w:drawing>
          <wp:inline distT="0" distB="0" distL="0" distR="0">
            <wp:extent cx="59436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266950"/>
                    </a:xfrm>
                    <a:prstGeom prst="rect">
                      <a:avLst/>
                    </a:prstGeom>
                  </pic:spPr>
                </pic:pic>
              </a:graphicData>
            </a:graphic>
          </wp:inline>
        </w:drawing>
      </w:r>
    </w:p>
    <w:p>
      <w:pPr>
        <w:spacing w:after="220" w:before="60"/>
      </w:pPr>
      <w:r>
        <w:rPr>
          <w:i/>
          <w:iCs/>
          <w:color w:val="444444"/>
          <w:sz w:val="17"/>
          <w:szCs w:val="17"/>
        </w:rPr>
        <w:t xml:space="preserve">Figure 8. Indiana, month by month: actual minus imputed impaired share, with the 95% range of the same statistic for placebo states given the July 2024 date. The dashed line marks the July 1, 2024 change.</w:t>
      </w:r>
    </w:p>
    <w:p>
      <w:pPr>
        <w:pStyle w:val="Heading2"/>
      </w:pPr>
      <w:r>
        <w:t xml:space="preserve">7.7 Mechanism and specification checks</w:t>
      </w:r>
    </w:p>
    <w:p>
      <w:pPr>
        <w:spacing w:after="140" w:line="276"/>
      </w:pPr>
      <w:r>
        <w:t xml:space="preserve">Happy hours are mostly a weekday practice, so a sharper mechanism test compares weekday evenings (Monday–Friday, 4–10 p.m.) with weekend evenings at the same hours, when light and traffic are similar but happy hours are rare. After the modern repeals, the odds that a weekday-evening death involved an impaired driver rose by 26.6 log points relative to weekend evenings (95% interval 5.7 to 44.4, p = 0.008). The estimate is positive in all three states (Kansas +39, Illinois +23, Oklahoma +17) and in every specification in Table 11, and a placebo run five years before the repeals finds nothing. The 1980s bans move it the other way (−16.8, p = 0.37), as working bans would.</w:t>
      </w:r>
    </w:p>
    <w:p>
      <w:pPr>
        <w:spacing w:after="140" w:line="276"/>
      </w:pPr>
      <w:r>
        <w:t xml:space="preserve">Three cautions keep this from being a finding. Simulations show the test is liberal for this outcome, rejecting true nulls 11% of the time at the 5% level; only 5% of null simulations produce a p-value as small as the actual one, so the calibrated p-value is about 0.05. Only part of the estimate comes from impaired deaths (+12.5, p = 0.14); the rest is a fall in sober weekday-evening deaths (−13.9, p = 0.02), which a happy hour law should not cause. And with total impaired deaths unchanged, the pattern is at most suggestive of displacement: repeals shifting when alcohol-involved crashes happen rather than how many there are.</w:t>
      </w:r>
    </w:p>
    <w:p>
      <w:pPr>
        <w:keepNext/>
        <w:spacing w:after="80" w:before="200"/>
      </w:pPr>
      <w:r>
        <w:rPr>
          <w:b/>
          <w:bCs/>
          <w:sz w:val="20"/>
          <w:szCs w:val="20"/>
        </w:rPr>
        <w:t xml:space="preserve">Table 11. Weekday-vs-weekend evening test, modern repeals (x100): estimate [95% CI] and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3400"/>
        <w:gridCol w:w="1600"/>
      </w:tblGrid>
      <w:tr>
        <w:trPr>
          <w:tblHeader/>
        </w:trPr>
        <w:tc>
          <w:tcPr>
            <w:tcW w:type="dxa" w:w="4360"/>
            <w:shd w:fill="DCE6F1" w:color="auto" w:val="clear"/>
            <w:tcMar>
              <w:top w:type="dxa" w:w="50"/>
              <w:left w:type="dxa" w:w="90"/>
              <w:bottom w:type="dxa" w:w="50"/>
              <w:right w:type="dxa" w:w="90"/>
            </w:tcMar>
          </w:tcPr>
          <w:p>
            <w:pPr>
              <w:jc w:val="left"/>
            </w:pPr>
            <w:r>
              <w:rPr>
                <w:b/>
                <w:bCs/>
                <w:sz w:val="18"/>
                <w:szCs w:val="18"/>
              </w:rPr>
              <w:t xml:space="preserve">Specification</w:t>
            </w:r>
          </w:p>
        </w:tc>
        <w:tc>
          <w:tcPr>
            <w:tcW w:type="dxa" w:w="3400"/>
            <w:shd w:fill="DCE6F1" w:color="auto" w:val="clear"/>
            <w:tcMar>
              <w:top w:type="dxa" w:w="50"/>
              <w:left w:type="dxa" w:w="90"/>
              <w:bottom w:type="dxa" w:w="50"/>
              <w:right w:type="dxa" w:w="90"/>
            </w:tcMar>
          </w:tcPr>
          <w:p>
            <w:pPr>
              <w:jc w:val="center"/>
            </w:pPr>
            <w:r>
              <w:rPr>
                <w:b/>
                <w:bCs/>
                <w:sz w:val="18"/>
                <w:szCs w:val="18"/>
              </w:rPr>
              <w:t xml:space="preserve">Estimate [95% CI]</w:t>
            </w:r>
          </w:p>
        </w:tc>
        <w:tc>
          <w:tcPr>
            <w:tcW w:type="dxa" w:w="1600"/>
            <w:shd w:fill="DCE6F1" w:color="auto" w:val="clear"/>
            <w:tcMar>
              <w:top w:type="dxa" w:w="50"/>
              <w:left w:type="dxa" w:w="90"/>
              <w:bottom w:type="dxa" w:w="50"/>
              <w:right w:type="dxa" w:w="90"/>
            </w:tcMar>
          </w:tcPr>
          <w:p>
            <w:pPr>
              <w:jc w:val="center"/>
            </w:pPr>
            <w:r>
              <w:rPr>
                <w:b/>
                <w:bCs/>
                <w:sz w:val="18"/>
                <w:szCs w:val="18"/>
              </w:rPr>
              <w:t xml:space="preserve">p</w:t>
            </w:r>
          </w:p>
        </w:tc>
      </w:tr>
      <w:tr>
        <w:tc>
          <w:tcPr>
            <w:tcW w:type="dxa" w:w="4360"/>
            <w:tcMar>
              <w:top w:type="dxa" w:w="50"/>
              <w:left w:type="dxa" w:w="90"/>
              <w:bottom w:type="dxa" w:w="50"/>
              <w:right w:type="dxa" w:w="90"/>
            </w:tcMar>
          </w:tcPr>
          <w:p>
            <w:pPr>
              <w:jc w:val="left"/>
            </w:pPr>
            <w:r>
              <w:rPr>
                <w:b w:val="false"/>
                <w:bCs w:val="false"/>
                <w:sz w:val="18"/>
                <w:szCs w:val="18"/>
              </w:rPr>
              <w:t xml:space="preserve">Main</w:t>
            </w:r>
          </w:p>
        </w:tc>
        <w:tc>
          <w:tcPr>
            <w:tcW w:type="dxa" w:w="3400"/>
            <w:tcMar>
              <w:top w:type="dxa" w:w="50"/>
              <w:left w:type="dxa" w:w="90"/>
              <w:bottom w:type="dxa" w:w="50"/>
              <w:right w:type="dxa" w:w="90"/>
            </w:tcMar>
          </w:tcPr>
          <w:p>
            <w:pPr>
              <w:jc w:val="center"/>
            </w:pPr>
            <w:r>
              <w:rPr>
                <w:b w:val="false"/>
                <w:bCs w:val="false"/>
                <w:sz w:val="18"/>
                <w:szCs w:val="18"/>
              </w:rPr>
              <w:t xml:space="preserve">+26.6 [5.7, 44.4]</w:t>
            </w:r>
          </w:p>
        </w:tc>
        <w:tc>
          <w:tcPr>
            <w:tcW w:type="dxa" w:w="1600"/>
            <w:tcMar>
              <w:top w:type="dxa" w:w="50"/>
              <w:left w:type="dxa" w:w="90"/>
              <w:bottom w:type="dxa" w:w="50"/>
              <w:right w:type="dxa" w:w="90"/>
            </w:tcMar>
          </w:tcPr>
          <w:p>
            <w:pPr>
              <w:jc w:val="center"/>
            </w:pPr>
            <w:r>
              <w:rPr>
                <w:b w:val="false"/>
                <w:bCs w:val="false"/>
                <w:sz w:val="18"/>
                <w:szCs w:val="18"/>
              </w:rPr>
              <w:t xml:space="preserve">0.008</w:t>
            </w:r>
          </w:p>
        </w:tc>
      </w:tr>
      <w:tr>
        <w:tc>
          <w:tcPr>
            <w:tcW w:type="dxa" w:w="4360"/>
            <w:tcMar>
              <w:top w:type="dxa" w:w="50"/>
              <w:left w:type="dxa" w:w="90"/>
              <w:bottom w:type="dxa" w:w="50"/>
              <w:right w:type="dxa" w:w="90"/>
            </w:tcMar>
          </w:tcPr>
          <w:p>
            <w:pPr>
              <w:jc w:val="left"/>
            </w:pPr>
            <w:r>
              <w:rPr>
                <w:b w:val="false"/>
                <w:bCs w:val="false"/>
                <w:sz w:val="18"/>
                <w:szCs w:val="18"/>
              </w:rPr>
              <w:t xml:space="preserve">Excl. 2020-21</w:t>
            </w:r>
          </w:p>
        </w:tc>
        <w:tc>
          <w:tcPr>
            <w:tcW w:type="dxa" w:w="3400"/>
            <w:tcMar>
              <w:top w:type="dxa" w:w="50"/>
              <w:left w:type="dxa" w:w="90"/>
              <w:bottom w:type="dxa" w:w="50"/>
              <w:right w:type="dxa" w:w="90"/>
            </w:tcMar>
          </w:tcPr>
          <w:p>
            <w:pPr>
              <w:jc w:val="center"/>
            </w:pPr>
            <w:r>
              <w:rPr>
                <w:b w:val="false"/>
                <w:bCs w:val="false"/>
                <w:sz w:val="18"/>
                <w:szCs w:val="18"/>
              </w:rPr>
              <w:t xml:space="preserve">+32.3 [8.9, 52.1]</w:t>
            </w:r>
          </w:p>
        </w:tc>
        <w:tc>
          <w:tcPr>
            <w:tcW w:type="dxa" w:w="1600"/>
            <w:tcMar>
              <w:top w:type="dxa" w:w="50"/>
              <w:left w:type="dxa" w:w="90"/>
              <w:bottom w:type="dxa" w:w="50"/>
              <w:right w:type="dxa" w:w="90"/>
            </w:tcMar>
          </w:tcPr>
          <w:p>
            <w:pPr>
              <w:jc w:val="center"/>
            </w:pPr>
            <w:r>
              <w:rPr>
                <w:b w:val="false"/>
                <w:bCs w:val="false"/>
                <w:sz w:val="18"/>
                <w:szCs w:val="18"/>
              </w:rPr>
              <w:t xml:space="preserve">0.004</w:t>
            </w:r>
          </w:p>
        </w:tc>
      </w:tr>
      <w:tr>
        <w:tc>
          <w:tcPr>
            <w:tcW w:type="dxa" w:w="4360"/>
            <w:tcMar>
              <w:top w:type="dxa" w:w="50"/>
              <w:left w:type="dxa" w:w="90"/>
              <w:bottom w:type="dxa" w:w="50"/>
              <w:right w:type="dxa" w:w="90"/>
            </w:tcMar>
          </w:tcPr>
          <w:p>
            <w:pPr>
              <w:jc w:val="left"/>
            </w:pPr>
            <w:r>
              <w:rPr>
                <w:b w:val="false"/>
                <w:bCs w:val="false"/>
                <w:sz w:val="18"/>
                <w:szCs w:val="18"/>
              </w:rPr>
              <w:t xml:space="preserve">State linear trends</w:t>
            </w:r>
          </w:p>
        </w:tc>
        <w:tc>
          <w:tcPr>
            <w:tcW w:type="dxa" w:w="3400"/>
            <w:tcMar>
              <w:top w:type="dxa" w:w="50"/>
              <w:left w:type="dxa" w:w="90"/>
              <w:bottom w:type="dxa" w:w="50"/>
              <w:right w:type="dxa" w:w="90"/>
            </w:tcMar>
          </w:tcPr>
          <w:p>
            <w:pPr>
              <w:jc w:val="center"/>
            </w:pPr>
            <w:r>
              <w:rPr>
                <w:b w:val="false"/>
                <w:bCs w:val="false"/>
                <w:sz w:val="18"/>
                <w:szCs w:val="18"/>
              </w:rPr>
              <w:t xml:space="preserve">+29.3 [−4.5, 62.3]</w:t>
            </w:r>
          </w:p>
        </w:tc>
        <w:tc>
          <w:tcPr>
            <w:tcW w:type="dxa" w:w="1600"/>
            <w:tcMar>
              <w:top w:type="dxa" w:w="50"/>
              <w:left w:type="dxa" w:w="90"/>
              <w:bottom w:type="dxa" w:w="50"/>
              <w:right w:type="dxa" w:w="90"/>
            </w:tcMar>
          </w:tcPr>
          <w:p>
            <w:pPr>
              <w:jc w:val="center"/>
            </w:pPr>
            <w:r>
              <w:rPr>
                <w:b w:val="false"/>
                <w:bCs w:val="false"/>
                <w:sz w:val="18"/>
                <w:szCs w:val="18"/>
              </w:rPr>
              <w:t xml:space="preserve">0.11</w:t>
            </w:r>
          </w:p>
        </w:tc>
      </w:tr>
      <w:tr>
        <w:tc>
          <w:tcPr>
            <w:tcW w:type="dxa" w:w="4360"/>
            <w:tcMar>
              <w:top w:type="dxa" w:w="50"/>
              <w:left w:type="dxa" w:w="90"/>
              <w:bottom w:type="dxa" w:w="50"/>
              <w:right w:type="dxa" w:w="90"/>
            </w:tcMar>
          </w:tcPr>
          <w:p>
            <w:pPr>
              <w:jc w:val="left"/>
            </w:pPr>
            <w:r>
              <w:rPr>
                <w:b w:val="false"/>
                <w:bCs w:val="false"/>
                <w:sz w:val="18"/>
                <w:szCs w:val="18"/>
              </w:rPr>
              <w:t xml:space="preserve">Fatality-weighted</w:t>
            </w:r>
          </w:p>
        </w:tc>
        <w:tc>
          <w:tcPr>
            <w:tcW w:type="dxa" w:w="3400"/>
            <w:tcMar>
              <w:top w:type="dxa" w:w="50"/>
              <w:left w:type="dxa" w:w="90"/>
              <w:bottom w:type="dxa" w:w="50"/>
              <w:right w:type="dxa" w:w="90"/>
            </w:tcMar>
          </w:tcPr>
          <w:p>
            <w:pPr>
              <w:jc w:val="center"/>
            </w:pPr>
            <w:r>
              <w:rPr>
                <w:b w:val="false"/>
                <w:bCs w:val="false"/>
                <w:sz w:val="18"/>
                <w:szCs w:val="18"/>
              </w:rPr>
              <w:t xml:space="preserve">+24.4 [4.9, 38.9]</w:t>
            </w:r>
          </w:p>
        </w:tc>
        <w:tc>
          <w:tcPr>
            <w:tcW w:type="dxa" w:w="1600"/>
            <w:tcMar>
              <w:top w:type="dxa" w:w="50"/>
              <w:left w:type="dxa" w:w="90"/>
              <w:bottom w:type="dxa" w:w="50"/>
              <w:right w:type="dxa" w:w="90"/>
            </w:tcMar>
          </w:tcPr>
          <w:p>
            <w:pPr>
              <w:jc w:val="center"/>
            </w:pPr>
            <w:r>
              <w:rPr>
                <w:b w:val="false"/>
                <w:bCs w:val="false"/>
                <w:sz w:val="18"/>
                <w:szCs w:val="18"/>
              </w:rPr>
              <w:t xml:space="preserve">0.009</w:t>
            </w:r>
          </w:p>
        </w:tc>
      </w:tr>
      <w:tr>
        <w:tc>
          <w:tcPr>
            <w:tcW w:type="dxa" w:w="4360"/>
            <w:tcMar>
              <w:top w:type="dxa" w:w="50"/>
              <w:left w:type="dxa" w:w="90"/>
              <w:bottom w:type="dxa" w:w="50"/>
              <w:right w:type="dxa" w:w="90"/>
            </w:tcMar>
          </w:tcPr>
          <w:p>
            <w:pPr>
              <w:jc w:val="left"/>
            </w:pPr>
            <w:r>
              <w:rPr>
                <w:b w:val="false"/>
                <w:bCs w:val="false"/>
                <w:sz w:val="18"/>
                <w:szCs w:val="18"/>
              </w:rPr>
              <w:t xml:space="preserve">All post years</w:t>
            </w:r>
          </w:p>
        </w:tc>
        <w:tc>
          <w:tcPr>
            <w:tcW w:type="dxa" w:w="3400"/>
            <w:tcMar>
              <w:top w:type="dxa" w:w="50"/>
              <w:left w:type="dxa" w:w="90"/>
              <w:bottom w:type="dxa" w:w="50"/>
              <w:right w:type="dxa" w:w="90"/>
            </w:tcMar>
          </w:tcPr>
          <w:p>
            <w:pPr>
              <w:jc w:val="center"/>
            </w:pPr>
            <w:r>
              <w:rPr>
                <w:b w:val="false"/>
                <w:bCs w:val="false"/>
                <w:sz w:val="18"/>
                <w:szCs w:val="18"/>
              </w:rPr>
              <w:t xml:space="preserve">+24.5 [7.1, 38.7]</w:t>
            </w:r>
          </w:p>
        </w:tc>
        <w:tc>
          <w:tcPr>
            <w:tcW w:type="dxa" w:w="1600"/>
            <w:tcMar>
              <w:top w:type="dxa" w:w="50"/>
              <w:left w:type="dxa" w:w="90"/>
              <w:bottom w:type="dxa" w:w="50"/>
              <w:right w:type="dxa" w:w="90"/>
            </w:tcMar>
          </w:tcPr>
          <w:p>
            <w:pPr>
              <w:jc w:val="center"/>
            </w:pPr>
            <w:r>
              <w:rPr>
                <w:b w:val="false"/>
                <w:bCs w:val="false"/>
                <w:sz w:val="18"/>
                <w:szCs w:val="18"/>
              </w:rPr>
              <w:t xml:space="preserve">0.004</w:t>
            </w:r>
          </w:p>
        </w:tc>
      </w:tr>
      <w:tr>
        <w:tc>
          <w:tcPr>
            <w:tcW w:type="dxa" w:w="4360"/>
            <w:tcMar>
              <w:top w:type="dxa" w:w="50"/>
              <w:left w:type="dxa" w:w="90"/>
              <w:bottom w:type="dxa" w:w="50"/>
              <w:right w:type="dxa" w:w="90"/>
            </w:tcMar>
          </w:tcPr>
          <w:p>
            <w:pPr>
              <w:jc w:val="left"/>
            </w:pPr>
            <w:r>
              <w:rPr>
                <w:b w:val="false"/>
                <w:bCs w:val="false"/>
                <w:sz w:val="18"/>
                <w:szCs w:val="18"/>
              </w:rPr>
              <w:t xml:space="preserve">KS + OK only</w:t>
            </w:r>
          </w:p>
        </w:tc>
        <w:tc>
          <w:tcPr>
            <w:tcW w:type="dxa" w:w="3400"/>
            <w:tcMar>
              <w:top w:type="dxa" w:w="50"/>
              <w:left w:type="dxa" w:w="90"/>
              <w:bottom w:type="dxa" w:w="50"/>
              <w:right w:type="dxa" w:w="90"/>
            </w:tcMar>
          </w:tcPr>
          <w:p>
            <w:pPr>
              <w:jc w:val="center"/>
            </w:pPr>
            <w:r>
              <w:rPr>
                <w:b w:val="false"/>
                <w:bCs w:val="false"/>
                <w:sz w:val="18"/>
                <w:szCs w:val="18"/>
              </w:rPr>
              <w:t xml:space="preserve">+28.3 [1.8, 54.5]</w:t>
            </w:r>
          </w:p>
        </w:tc>
        <w:tc>
          <w:tcPr>
            <w:tcW w:type="dxa" w:w="1600"/>
            <w:tcMar>
              <w:top w:type="dxa" w:w="50"/>
              <w:left w:type="dxa" w:w="90"/>
              <w:bottom w:type="dxa" w:w="50"/>
              <w:right w:type="dxa" w:w="90"/>
            </w:tcMar>
          </w:tcPr>
          <w:p>
            <w:pPr>
              <w:jc w:val="center"/>
            </w:pPr>
            <w:r>
              <w:rPr>
                <w:b w:val="false"/>
                <w:bCs w:val="false"/>
                <w:sz w:val="18"/>
                <w:szCs w:val="18"/>
              </w:rPr>
              <w:t xml:space="preserve">0.03</w:t>
            </w:r>
          </w:p>
        </w:tc>
      </w:tr>
      <w:tr>
        <w:tc>
          <w:tcPr>
            <w:tcW w:type="dxa" w:w="4360"/>
            <w:tcMar>
              <w:top w:type="dxa" w:w="50"/>
              <w:left w:type="dxa" w:w="90"/>
              <w:bottom w:type="dxa" w:w="50"/>
              <w:right w:type="dxa" w:w="90"/>
            </w:tcMar>
          </w:tcPr>
          <w:p>
            <w:pPr>
              <w:jc w:val="left"/>
            </w:pPr>
            <w:r>
              <w:rPr>
                <w:b w:val="false"/>
                <w:bCs w:val="false"/>
                <w:sz w:val="18"/>
                <w:szCs w:val="18"/>
              </w:rPr>
              <w:t xml:space="preserve">Timing placebo (5 yrs early)</w:t>
            </w:r>
          </w:p>
        </w:tc>
        <w:tc>
          <w:tcPr>
            <w:tcW w:type="dxa" w:w="3400"/>
            <w:tcMar>
              <w:top w:type="dxa" w:w="50"/>
              <w:left w:type="dxa" w:w="90"/>
              <w:bottom w:type="dxa" w:w="50"/>
              <w:right w:type="dxa" w:w="90"/>
            </w:tcMar>
          </w:tcPr>
          <w:p>
            <w:pPr>
              <w:jc w:val="center"/>
            </w:pPr>
            <w:r>
              <w:rPr>
                <w:b w:val="false"/>
                <w:bCs w:val="false"/>
                <w:sz w:val="18"/>
                <w:szCs w:val="18"/>
              </w:rPr>
              <w:t xml:space="preserve">+2.1 [−35.3, 25.1]</w:t>
            </w:r>
          </w:p>
        </w:tc>
        <w:tc>
          <w:tcPr>
            <w:tcW w:type="dxa" w:w="1600"/>
            <w:tcMar>
              <w:top w:type="dxa" w:w="50"/>
              <w:left w:type="dxa" w:w="90"/>
              <w:bottom w:type="dxa" w:w="50"/>
              <w:right w:type="dxa" w:w="90"/>
            </w:tcMar>
          </w:tcPr>
          <w:p>
            <w:pPr>
              <w:jc w:val="center"/>
            </w:pPr>
            <w:r>
              <w:rPr>
                <w:b w:val="false"/>
                <w:bCs w:val="false"/>
                <w:sz w:val="18"/>
                <w:szCs w:val="18"/>
              </w:rPr>
              <w:t xml:space="preserve">0.76</w:t>
            </w:r>
          </w:p>
        </w:tc>
      </w:tr>
    </w:tbl>
    <w:p>
      <w:pPr>
        <w:spacing w:after="220" w:before="60"/>
      </w:pPr>
      <w:r>
        <w:rPr>
          <w:i/>
          <w:iCs/>
          <w:color w:val="444444"/>
          <w:sz w:val="17"/>
          <w:szCs w:val="17"/>
        </w:rPr>
        <w:t xml:space="preserve">p-values are nominal; calibrated by simulation, the main p-value is about 0.05.</w:t>
      </w:r>
    </w:p>
    <w:p>
      <w:pPr>
        <w:spacing w:after="140" w:line="276"/>
      </w:pPr>
      <w:r>
        <w:t xml:space="preserve">The 1980s timing shift is not an artifact of BAC imputation. The evening-versus-night contrast for all deaths, which uses no BAC data, rises 9 log points after the bans (p = 0.04). Per vehicle-mile, weekday-evening deaths rose +7% (p = 0.27) while night deaths changed −2% (p = 0.53), the same direction though neither is significant on its own. The shift appears in sober crashes and in all deaths but not in impaired crashes, which is why it shows up in the sober placebo but not in the alcohol measures. The modern repeals show no such shift (+0.6, p = 0.92).</w:t>
      </w:r>
    </w:p>
    <w:p>
      <w:pPr>
        <w:spacing w:after="140" w:line="276"/>
      </w:pPr>
      <w:r>
        <w:t xml:space="preserve">Dropping states that border a treated state, where cross-border drinking could contaminate the comparison, leaves the impaired-share estimates essentially unchanged (repeals −1.4 points, p = 0.69; 1980s +0.2, p = 0.53). Dropping one treated state at a time moves the repeal estimate between −2.1 and −0.2 points and the 1980s estimate between +0.0 and +1.4, none significant. The single-vehicle-night estimate is significant in 1 of the six leave-one-out fits (without KS: −1.8 points, p = 0.02).</w:t>
      </w:r>
    </w:p>
    <w:p>
      <w:pPr>
        <w:spacing w:after="140" w:line="276"/>
      </w:pPr>
      <w:r>
        <w:t xml:space="preserve">Pooling all nine law changes as the effect of having a ban, with the repeal estimates sign-flipped and each law change weighted equally, gives the tightest answer: a ban changes the odds that a traffic death involved an impaired driver by +5% (95% interval −7% to +16%, p = 0.50) and the impaired share by +1.0 points (−1.6 to +3.3). Inverse-variance weights give the same result. Bans did not lower the odds of alcohol involvement by more than about 7%.</w:t>
      </w:r>
    </w:p>
    <w:p>
      <w:pPr>
        <w:spacing w:after="140" w:line="276"/>
      </w:pPr>
      <w:r>
        <w:t xml:space="preserve">As a further check on the data build, NHTSA’s own highest-driver-BAC file for 2013–2015 agrees with the build’s driver-BAC construction for 99.9% or more of crashes, and national impaired deaths differ by at most 0.3%.</w:t>
      </w:r>
    </w:p>
    <w:p>
      <w:pPr>
        <w:spacing w:after="140" w:line="276"/>
      </w:pPr>
      <w:r>
        <w:t xml:space="preserve">Figure 9 collects the impaired-share estimates from the main designs and every robustness check in Sections 6–7, including the unemployment controls and the alternative 1980s codings: 16 for the repeals (−2.1 to −0.1 points) and 34 for the 1980s bans (−0.5 to +1.4). None is statistically significant.</w:t>
      </w:r>
    </w:p>
    <w:p>
      <w:pPr>
        <w:keepNext/>
        <w:spacing w:before="12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381250"/>
                    </a:xfrm>
                    <a:prstGeom prst="rect">
                      <a:avLst/>
                    </a:prstGeom>
                  </pic:spPr>
                </pic:pic>
              </a:graphicData>
            </a:graphic>
          </wp:inline>
        </w:drawing>
      </w:r>
    </w:p>
    <w:p>
      <w:pPr>
        <w:spacing w:after="220" w:before="60"/>
      </w:pPr>
      <w:r>
        <w:rPr>
          <w:i/>
          <w:iCs/>
          <w:color w:val="444444"/>
          <w:sz w:val="17"/>
          <w:szCs w:val="17"/>
        </w:rPr>
        <w:t xml:space="preserve">Figure 9. Impaired-share estimates from the main designs and every robustness check, sorted, with 95% intervals: modern repeals (left) and 1980s bans (right). The partial-restriction estimates in Table 13 are not ban effects and are not shown.</w:t>
      </w:r>
    </w:p>
    <w:p>
      <w:pPr>
        <w:pStyle w:val="Heading2"/>
      </w:pPr>
      <w:r>
        <w:t xml:space="preserve">7.8 Unemployment and population (FRED)</w:t>
      </w:r>
    </w:p>
    <w:p>
      <w:pPr>
        <w:spacing w:after="140" w:line="276"/>
      </w:pPr>
      <w:r>
        <w:t xml:space="preserve">FRED’s annual state unemployment rates (averages of the monthly BLS series) and Census resident population for 1982–2024 pass every check in the audit log. The file is complete for all 51 jurisdictions and 43 years. Every unemployment value is an exact average of twelve one-decimal monthly rates, as FRED’s annual series are, and the values agree with the independently compiled figures in Ruhm’s 1982–88 panel (correlation 0.996, mean difference 0.18 points; the remaining gaps reflect later BLS revisions). State populations sum to the published US totals within 0.05%, and population-weighted state unemployment tracks the national rate within 0.06 points. One quirk: Nevada and the District of Columbia jump 12% and 10% in 2000, where the population series switches from 1990s estimates to the 2000 census count. Dropping both states moves the per-capita repeal estimate from −1.1% to −1.9%.</w:t>
      </w:r>
    </w:p>
    <w:p>
      <w:pPr>
        <w:spacing w:after="140" w:line="276"/>
      </w:pPr>
      <w:r>
        <w:t xml:space="preserve">Unemployment as a control leaves the estimates unchanged (repeals: impaired share −1.4 points, p = 0.71; 1980s: +0.7, p = 0.67). Per 100,000 residents, impaired deaths changed by −1.1% after the repeals (95% interval −15.9% to +17.2%, p = 1.00; 3.7 per 100,000 before), with synthetic difference-in-differences giving −3.6% (p = 0.71) and sober deaths per resident +6% (p = 0.40). After the 1980s bans the change was +6.1% (−8.7% to +18.5%, p = 0.60; 7.7 per 100,000 before), and +3.3% with unemployment controlled. Weighting states by population instead of equally gives the same answer (impaired share −0.6 points for repeals, +0.1 for bans; Table 12).</w:t>
      </w:r>
    </w:p>
    <w:p>
      <w:pPr>
        <w:keepNext/>
        <w:spacing w:after="80" w:before="200"/>
      </w:pPr>
      <w:r>
        <w:rPr>
          <w:b/>
          <w:bCs/>
          <w:sz w:val="20"/>
          <w:szCs w:val="20"/>
        </w:rPr>
        <w:t xml:space="preserve">Table 12. Estimates with FRED unemployment and population: estimate [95% CI] (per-capita outcomes in log points; shares in 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00"/>
        <w:gridCol w:w="2900"/>
        <w:gridCol w:w="2110"/>
        <w:gridCol w:w="800"/>
      </w:tblGrid>
      <w:tr>
        <w:trPr>
          <w:tblHeader/>
        </w:trPr>
        <w:tc>
          <w:tcPr>
            <w:tcW w:type="dxa" w:w="1150"/>
            <w:shd w:fill="DCE6F1" w:color="auto" w:val="clear"/>
            <w:tcMar>
              <w:top w:type="dxa" w:w="50"/>
              <w:left w:type="dxa" w:w="90"/>
              <w:bottom w:type="dxa" w:w="50"/>
              <w:right w:type="dxa" w:w="90"/>
            </w:tcMar>
          </w:tcPr>
          <w:p>
            <w:pPr>
              <w:jc w:val="left"/>
            </w:pPr>
            <w:r>
              <w:rPr>
                <w:b/>
                <w:bCs/>
                <w:sz w:val="18"/>
                <w:szCs w:val="18"/>
              </w:rPr>
              <w:t xml:space="preserve">Design</w:t>
            </w:r>
          </w:p>
        </w:tc>
        <w:tc>
          <w:tcPr>
            <w:tcW w:type="dxa" w:w="2400"/>
            <w:shd w:fill="DCE6F1" w:color="auto" w:val="clear"/>
            <w:tcMar>
              <w:top w:type="dxa" w:w="50"/>
              <w:left w:type="dxa" w:w="90"/>
              <w:bottom w:type="dxa" w:w="50"/>
              <w:right w:type="dxa" w:w="90"/>
            </w:tcMar>
          </w:tcPr>
          <w:p>
            <w:pPr>
              <w:jc w:val="center"/>
            </w:pPr>
            <w:r>
              <w:rPr>
                <w:b/>
                <w:bCs/>
                <w:sz w:val="18"/>
                <w:szCs w:val="18"/>
              </w:rPr>
              <w:t xml:space="preserve">Specification</w:t>
            </w:r>
          </w:p>
        </w:tc>
        <w:tc>
          <w:tcPr>
            <w:tcW w:type="dxa" w:w="2900"/>
            <w:shd w:fill="DCE6F1" w:color="auto" w:val="clear"/>
            <w:tcMar>
              <w:top w:type="dxa" w:w="50"/>
              <w:left w:type="dxa" w:w="90"/>
              <w:bottom w:type="dxa" w:w="50"/>
              <w:right w:type="dxa" w:w="90"/>
            </w:tcMar>
          </w:tcPr>
          <w:p>
            <w:pPr>
              <w:jc w:val="center"/>
            </w:pPr>
            <w:r>
              <w:rPr>
                <w:b/>
                <w:bCs/>
                <w:sz w:val="18"/>
                <w:szCs w:val="18"/>
              </w:rPr>
              <w:t xml:space="preserve">Outcome</w:t>
            </w:r>
          </w:p>
        </w:tc>
        <w:tc>
          <w:tcPr>
            <w:tcW w:type="dxa" w:w="2110"/>
            <w:shd w:fill="DCE6F1" w:color="auto" w:val="clear"/>
            <w:tcMar>
              <w:top w:type="dxa" w:w="50"/>
              <w:left w:type="dxa" w:w="90"/>
              <w:bottom w:type="dxa" w:w="50"/>
              <w:right w:type="dxa" w:w="90"/>
            </w:tcMar>
          </w:tcPr>
          <w:p>
            <w:pPr>
              <w:jc w:val="center"/>
            </w:pPr>
            <w:r>
              <w:rPr>
                <w:b/>
                <w:bCs/>
                <w:sz w:val="18"/>
                <w:szCs w:val="18"/>
              </w:rPr>
              <w:t xml:space="preserve">Estimate [95% CI]</w:t>
            </w:r>
          </w:p>
        </w:tc>
        <w:tc>
          <w:tcPr>
            <w:tcW w:type="dxa" w:w="800"/>
            <w:shd w:fill="DCE6F1" w:color="auto" w:val="clear"/>
            <w:tcMar>
              <w:top w:type="dxa" w:w="50"/>
              <w:left w:type="dxa" w:w="90"/>
              <w:bottom w:type="dxa" w:w="50"/>
              <w:right w:type="dxa" w:w="90"/>
            </w:tcMar>
          </w:tcPr>
          <w:p>
            <w:pPr>
              <w:jc w:val="center"/>
            </w:pPr>
            <w:r>
              <w:rPr>
                <w:b/>
                <w:bCs/>
                <w:sz w:val="18"/>
                <w:szCs w:val="18"/>
              </w:rPr>
              <w:t xml:space="preserve">p</w:t>
            </w:r>
          </w:p>
        </w:tc>
      </w:tr>
      <w:tr>
        <w:tc>
          <w:tcPr>
            <w:tcW w:type="dxa" w:w="1150"/>
            <w:tcMar>
              <w:top w:type="dxa" w:w="50"/>
              <w:left w:type="dxa" w:w="90"/>
              <w:bottom w:type="dxa" w:w="50"/>
              <w:right w:type="dxa" w:w="90"/>
            </w:tcMar>
          </w:tcPr>
          <w:p>
            <w:pPr>
              <w:jc w:val="left"/>
            </w:pPr>
            <w:r>
              <w:rPr>
                <w:b w:val="false"/>
                <w:bCs w:val="false"/>
                <w:sz w:val="18"/>
                <w:szCs w:val="18"/>
              </w:rPr>
              <w:t xml:space="preserve">Repeals</w:t>
            </w:r>
          </w:p>
        </w:tc>
        <w:tc>
          <w:tcPr>
            <w:tcW w:type="dxa" w:w="2400"/>
            <w:tcMar>
              <w:top w:type="dxa" w:w="50"/>
              <w:left w:type="dxa" w:w="90"/>
              <w:bottom w:type="dxa" w:w="50"/>
              <w:right w:type="dxa" w:w="90"/>
            </w:tcMar>
          </w:tcPr>
          <w:p>
            <w:pPr>
              <w:jc w:val="left"/>
            </w:pPr>
            <w:r>
              <w:rPr>
                <w:b w:val="false"/>
                <w:bCs w:val="false"/>
                <w:sz w:val="18"/>
                <w:szCs w:val="18"/>
              </w:rPr>
              <w:t xml:space="preserve">+ unemployment</w:t>
            </w:r>
          </w:p>
        </w:tc>
        <w:tc>
          <w:tcPr>
            <w:tcW w:type="dxa" w:w="2900"/>
            <w:tcMar>
              <w:top w:type="dxa" w:w="50"/>
              <w:left w:type="dxa" w:w="90"/>
              <w:bottom w:type="dxa" w:w="50"/>
              <w:right w:type="dxa" w:w="90"/>
            </w:tcMar>
          </w:tcPr>
          <w:p>
            <w:pPr>
              <w:jc w:val="left"/>
            </w:pPr>
            <w:r>
              <w:rPr>
                <w:b w:val="false"/>
                <w:bCs w:val="false"/>
                <w:sz w:val="18"/>
                <w:szCs w:val="18"/>
              </w:rPr>
              <w:t xml:space="preserve">Impaired share (pp)</w:t>
            </w:r>
          </w:p>
        </w:tc>
        <w:tc>
          <w:tcPr>
            <w:tcW w:type="dxa" w:w="2110"/>
            <w:tcMar>
              <w:top w:type="dxa" w:w="50"/>
              <w:left w:type="dxa" w:w="90"/>
              <w:bottom w:type="dxa" w:w="50"/>
              <w:right w:type="dxa" w:w="90"/>
            </w:tcMar>
          </w:tcPr>
          <w:p>
            <w:pPr>
              <w:jc w:val="center"/>
            </w:pPr>
            <w:r>
              <w:rPr>
                <w:b w:val="false"/>
                <w:bCs w:val="false"/>
                <w:sz w:val="18"/>
                <w:szCs w:val="18"/>
              </w:rPr>
              <w:t xml:space="preserve">−1.40 [−5.0, 3.0]</w:t>
            </w:r>
          </w:p>
        </w:tc>
        <w:tc>
          <w:tcPr>
            <w:tcW w:type="dxa" w:w="800"/>
            <w:tcMar>
              <w:top w:type="dxa" w:w="50"/>
              <w:left w:type="dxa" w:w="90"/>
              <w:bottom w:type="dxa" w:w="50"/>
              <w:right w:type="dxa" w:w="90"/>
            </w:tcMar>
          </w:tcPr>
          <w:p>
            <w:pPr>
              <w:jc w:val="center"/>
            </w:pPr>
            <w:r>
              <w:rPr>
                <w:b w:val="false"/>
                <w:bCs w:val="false"/>
                <w:sz w:val="18"/>
                <w:szCs w:val="18"/>
              </w:rPr>
              <w:t xml:space="preserve">0.71</w:t>
            </w:r>
          </w:p>
        </w:tc>
      </w:tr>
      <w:tr>
        <w:tc>
          <w:tcPr>
            <w:tcW w:type="dxa" w:w="1150"/>
            <w:tcMar>
              <w:top w:type="dxa" w:w="50"/>
              <w:left w:type="dxa" w:w="90"/>
              <w:bottom w:type="dxa" w:w="50"/>
              <w:right w:type="dxa" w:w="90"/>
            </w:tcMar>
          </w:tcPr>
          <w:p>
            <w:pPr>
              <w:jc w:val="left"/>
            </w:pPr>
            <w:r>
              <w:rPr>
                <w:b w:val="false"/>
                <w:bCs w:val="false"/>
                <w:sz w:val="18"/>
                <w:szCs w:val="18"/>
              </w:rPr>
              <w:t xml:space="preserve">Repeals</w:t>
            </w:r>
          </w:p>
        </w:tc>
        <w:tc>
          <w:tcPr>
            <w:tcW w:type="dxa" w:w="2400"/>
            <w:tcMar>
              <w:top w:type="dxa" w:w="50"/>
              <w:left w:type="dxa" w:w="90"/>
              <w:bottom w:type="dxa" w:w="50"/>
              <w:right w:type="dxa" w:w="90"/>
            </w:tcMar>
          </w:tcPr>
          <w:p>
            <w:pPr>
              <w:jc w:val="left"/>
            </w:pPr>
            <w:r>
              <w:rPr>
                <w:b w:val="false"/>
                <w:bCs w:val="false"/>
                <w:sz w:val="18"/>
                <w:szCs w:val="18"/>
              </w:rPr>
              <w:t xml:space="preserve">+ unemployment</w:t>
            </w:r>
          </w:p>
        </w:tc>
        <w:tc>
          <w:tcPr>
            <w:tcW w:type="dxa" w:w="2900"/>
            <w:tcMar>
              <w:top w:type="dxa" w:w="50"/>
              <w:left w:type="dxa" w:w="90"/>
              <w:bottom w:type="dxa" w:w="50"/>
              <w:right w:type="dxa" w:w="90"/>
            </w:tcMar>
          </w:tcPr>
          <w:p>
            <w:pPr>
              <w:jc w:val="left"/>
            </w:pPr>
            <w:r>
              <w:rPr>
                <w:b w:val="false"/>
                <w:bCs w:val="false"/>
                <w:sz w:val="18"/>
                <w:szCs w:val="18"/>
              </w:rPr>
              <w:t xml:space="preserve">Log odds, impaired vs sober (x100)</w:t>
            </w:r>
          </w:p>
        </w:tc>
        <w:tc>
          <w:tcPr>
            <w:tcW w:type="dxa" w:w="2110"/>
            <w:tcMar>
              <w:top w:type="dxa" w:w="50"/>
              <w:left w:type="dxa" w:w="90"/>
              <w:bottom w:type="dxa" w:w="50"/>
              <w:right w:type="dxa" w:w="90"/>
            </w:tcMar>
          </w:tcPr>
          <w:p>
            <w:pPr>
              <w:jc w:val="center"/>
            </w:pPr>
            <w:r>
              <w:rPr>
                <w:b w:val="false"/>
                <w:bCs w:val="false"/>
                <w:sz w:val="18"/>
                <w:szCs w:val="18"/>
              </w:rPr>
              <w:t xml:space="preserve">−7.36 [−24.6, 14.7]</w:t>
            </w:r>
          </w:p>
        </w:tc>
        <w:tc>
          <w:tcPr>
            <w:tcW w:type="dxa" w:w="800"/>
            <w:tcMar>
              <w:top w:type="dxa" w:w="50"/>
              <w:left w:type="dxa" w:w="90"/>
              <w:bottom w:type="dxa" w:w="50"/>
              <w:right w:type="dxa" w:w="90"/>
            </w:tcMar>
          </w:tcPr>
          <w:p>
            <w:pPr>
              <w:jc w:val="center"/>
            </w:pPr>
            <w:r>
              <w:rPr>
                <w:b w:val="false"/>
                <w:bCs w:val="false"/>
                <w:sz w:val="18"/>
                <w:szCs w:val="18"/>
              </w:rPr>
              <w:t xml:space="preserve">0.67</w:t>
            </w:r>
          </w:p>
        </w:tc>
      </w:tr>
      <w:tr>
        <w:tc>
          <w:tcPr>
            <w:tcW w:type="dxa" w:w="1150"/>
            <w:tcMar>
              <w:top w:type="dxa" w:w="50"/>
              <w:left w:type="dxa" w:w="90"/>
              <w:bottom w:type="dxa" w:w="50"/>
              <w:right w:type="dxa" w:w="90"/>
            </w:tcMar>
          </w:tcPr>
          <w:p>
            <w:pPr>
              <w:jc w:val="left"/>
            </w:pPr>
            <w:r>
              <w:rPr>
                <w:b w:val="false"/>
                <w:bCs w:val="false"/>
                <w:sz w:val="18"/>
                <w:szCs w:val="18"/>
              </w:rPr>
              <w:t xml:space="preserve">Repeals</w:t>
            </w:r>
          </w:p>
        </w:tc>
        <w:tc>
          <w:tcPr>
            <w:tcW w:type="dxa" w:w="2400"/>
            <w:tcMar>
              <w:top w:type="dxa" w:w="50"/>
              <w:left w:type="dxa" w:w="90"/>
              <w:bottom w:type="dxa" w:w="50"/>
              <w:right w:type="dxa" w:w="90"/>
            </w:tcMar>
          </w:tcPr>
          <w:p>
            <w:pPr>
              <w:jc w:val="left"/>
            </w:pPr>
            <w:r>
              <w:rPr>
                <w:b w:val="false"/>
                <w:bCs w:val="false"/>
                <w:sz w:val="18"/>
                <w:szCs w:val="18"/>
              </w:rPr>
              <w:t xml:space="preserve">+ unemployment</w:t>
            </w:r>
          </w:p>
        </w:tc>
        <w:tc>
          <w:tcPr>
            <w:tcW w:type="dxa" w:w="2900"/>
            <w:tcMar>
              <w:top w:type="dxa" w:w="50"/>
              <w:left w:type="dxa" w:w="90"/>
              <w:bottom w:type="dxa" w:w="50"/>
              <w:right w:type="dxa" w:w="90"/>
            </w:tcMar>
          </w:tcPr>
          <w:p>
            <w:pPr>
              <w:jc w:val="left"/>
            </w:pPr>
            <w:r>
              <w:rPr>
                <w:b w:val="false"/>
                <w:bCs w:val="false"/>
                <w:sz w:val="18"/>
                <w:szCs w:val="18"/>
              </w:rPr>
              <w:t xml:space="preserve">Net evening test (x100)</w:t>
            </w:r>
          </w:p>
        </w:tc>
        <w:tc>
          <w:tcPr>
            <w:tcW w:type="dxa" w:w="2110"/>
            <w:tcMar>
              <w:top w:type="dxa" w:w="50"/>
              <w:left w:type="dxa" w:w="90"/>
              <w:bottom w:type="dxa" w:w="50"/>
              <w:right w:type="dxa" w:w="90"/>
            </w:tcMar>
          </w:tcPr>
          <w:p>
            <w:pPr>
              <w:jc w:val="center"/>
            </w:pPr>
            <w:r>
              <w:rPr>
                <w:b w:val="false"/>
                <w:bCs w:val="false"/>
                <w:sz w:val="18"/>
                <w:szCs w:val="18"/>
              </w:rPr>
              <w:t xml:space="preserve">+14.94 [−7.3, 34.1]</w:t>
            </w:r>
          </w:p>
        </w:tc>
        <w:tc>
          <w:tcPr>
            <w:tcW w:type="dxa" w:w="800"/>
            <w:tcMar>
              <w:top w:type="dxa" w:w="50"/>
              <w:left w:type="dxa" w:w="90"/>
              <w:bottom w:type="dxa" w:w="50"/>
              <w:right w:type="dxa" w:w="90"/>
            </w:tcMar>
          </w:tcPr>
          <w:p>
            <w:pPr>
              <w:jc w:val="center"/>
            </w:pPr>
            <w:r>
              <w:rPr>
                <w:b w:val="false"/>
                <w:bCs w:val="false"/>
                <w:sz w:val="18"/>
                <w:szCs w:val="18"/>
              </w:rPr>
              <w:t xml:space="preserve">0.21</w:t>
            </w:r>
          </w:p>
        </w:tc>
      </w:tr>
      <w:tr>
        <w:tc>
          <w:tcPr>
            <w:tcW w:type="dxa" w:w="1150"/>
            <w:tcMar>
              <w:top w:type="dxa" w:w="50"/>
              <w:left w:type="dxa" w:w="90"/>
              <w:bottom w:type="dxa" w:w="50"/>
              <w:right w:type="dxa" w:w="90"/>
            </w:tcMar>
          </w:tcPr>
          <w:p>
            <w:pPr>
              <w:jc w:val="left"/>
            </w:pPr>
            <w:r>
              <w:rPr>
                <w:b w:val="false"/>
                <w:bCs w:val="false"/>
                <w:sz w:val="18"/>
                <w:szCs w:val="18"/>
              </w:rPr>
              <w:t xml:space="preserve">Repeals</w:t>
            </w:r>
          </w:p>
        </w:tc>
        <w:tc>
          <w:tcPr>
            <w:tcW w:type="dxa" w:w="2400"/>
            <w:tcMar>
              <w:top w:type="dxa" w:w="50"/>
              <w:left w:type="dxa" w:w="90"/>
              <w:bottom w:type="dxa" w:w="50"/>
              <w:right w:type="dxa" w:w="90"/>
            </w:tcMar>
          </w:tcPr>
          <w:p>
            <w:pPr>
              <w:jc w:val="left"/>
            </w:pPr>
            <w:r>
              <w:rPr>
                <w:b w:val="false"/>
                <w:bCs w:val="false"/>
                <w:sz w:val="18"/>
                <w:szCs w:val="18"/>
              </w:rPr>
              <w:t xml:space="preserve">+ unemployment, vehicle-miles, rural share</w:t>
            </w:r>
          </w:p>
        </w:tc>
        <w:tc>
          <w:tcPr>
            <w:tcW w:type="dxa" w:w="2900"/>
            <w:tcMar>
              <w:top w:type="dxa" w:w="50"/>
              <w:left w:type="dxa" w:w="90"/>
              <w:bottom w:type="dxa" w:w="50"/>
              <w:right w:type="dxa" w:w="90"/>
            </w:tcMar>
          </w:tcPr>
          <w:p>
            <w:pPr>
              <w:jc w:val="left"/>
            </w:pPr>
            <w:r>
              <w:rPr>
                <w:b w:val="false"/>
                <w:bCs w:val="false"/>
                <w:sz w:val="18"/>
                <w:szCs w:val="18"/>
              </w:rPr>
              <w:t xml:space="preserve">Impaired share (pp)</w:t>
            </w:r>
          </w:p>
        </w:tc>
        <w:tc>
          <w:tcPr>
            <w:tcW w:type="dxa" w:w="2110"/>
            <w:tcMar>
              <w:top w:type="dxa" w:w="50"/>
              <w:left w:type="dxa" w:w="90"/>
              <w:bottom w:type="dxa" w:w="50"/>
              <w:right w:type="dxa" w:w="90"/>
            </w:tcMar>
          </w:tcPr>
          <w:p>
            <w:pPr>
              <w:jc w:val="center"/>
            </w:pPr>
            <w:r>
              <w:rPr>
                <w:b w:val="false"/>
                <w:bCs w:val="false"/>
                <w:sz w:val="18"/>
                <w:szCs w:val="18"/>
              </w:rPr>
              <w:t xml:space="preserve">−1.32 [−5.1, 3.2]</w:t>
            </w:r>
          </w:p>
        </w:tc>
        <w:tc>
          <w:tcPr>
            <w:tcW w:type="dxa" w:w="800"/>
            <w:tcMar>
              <w:top w:type="dxa" w:w="50"/>
              <w:left w:type="dxa" w:w="90"/>
              <w:bottom w:type="dxa" w:w="50"/>
              <w:right w:type="dxa" w:w="90"/>
            </w:tcMar>
          </w:tcPr>
          <w:p>
            <w:pPr>
              <w:jc w:val="center"/>
            </w:pPr>
            <w:r>
              <w:rPr>
                <w:b w:val="false"/>
                <w:bCs w:val="false"/>
                <w:sz w:val="18"/>
                <w:szCs w:val="18"/>
              </w:rPr>
              <w:t xml:space="preserve">0.74</w:t>
            </w:r>
          </w:p>
        </w:tc>
      </w:tr>
      <w:tr>
        <w:tc>
          <w:tcPr>
            <w:tcW w:type="dxa" w:w="1150"/>
            <w:tcMar>
              <w:top w:type="dxa" w:w="50"/>
              <w:left w:type="dxa" w:w="90"/>
              <w:bottom w:type="dxa" w:w="50"/>
              <w:right w:type="dxa" w:w="90"/>
            </w:tcMar>
          </w:tcPr>
          <w:p>
            <w:pPr>
              <w:jc w:val="left"/>
            </w:pPr>
            <w:r>
              <w:rPr>
                <w:b w:val="false"/>
                <w:bCs w:val="false"/>
                <w:sz w:val="18"/>
                <w:szCs w:val="18"/>
              </w:rPr>
              <w:t xml:space="preserve">Repeals</w:t>
            </w:r>
          </w:p>
        </w:tc>
        <w:tc>
          <w:tcPr>
            <w:tcW w:type="dxa" w:w="2400"/>
            <w:tcMar>
              <w:top w:type="dxa" w:w="50"/>
              <w:left w:type="dxa" w:w="90"/>
              <w:bottom w:type="dxa" w:w="50"/>
              <w:right w:type="dxa" w:w="90"/>
            </w:tcMar>
          </w:tcPr>
          <w:p>
            <w:pPr>
              <w:jc w:val="left"/>
            </w:pPr>
            <w:r>
              <w:rPr>
                <w:b w:val="false"/>
                <w:bCs w:val="false"/>
                <w:sz w:val="18"/>
                <w:szCs w:val="18"/>
              </w:rPr>
              <w:t xml:space="preserve">+ unemployment, vehicle-miles, rural share</w:t>
            </w:r>
          </w:p>
        </w:tc>
        <w:tc>
          <w:tcPr>
            <w:tcW w:type="dxa" w:w="2900"/>
            <w:tcMar>
              <w:top w:type="dxa" w:w="50"/>
              <w:left w:type="dxa" w:w="90"/>
              <w:bottom w:type="dxa" w:w="50"/>
              <w:right w:type="dxa" w:w="90"/>
            </w:tcMar>
          </w:tcPr>
          <w:p>
            <w:pPr>
              <w:jc w:val="left"/>
            </w:pPr>
            <w:r>
              <w:rPr>
                <w:b w:val="false"/>
                <w:bCs w:val="false"/>
                <w:sz w:val="18"/>
                <w:szCs w:val="18"/>
              </w:rPr>
              <w:t xml:space="preserve">Log odds, impaired vs sober (x100)</w:t>
            </w:r>
          </w:p>
        </w:tc>
        <w:tc>
          <w:tcPr>
            <w:tcW w:type="dxa" w:w="2110"/>
            <w:tcMar>
              <w:top w:type="dxa" w:w="50"/>
              <w:left w:type="dxa" w:w="90"/>
              <w:bottom w:type="dxa" w:w="50"/>
              <w:right w:type="dxa" w:w="90"/>
            </w:tcMar>
          </w:tcPr>
          <w:p>
            <w:pPr>
              <w:jc w:val="center"/>
            </w:pPr>
            <w:r>
              <w:rPr>
                <w:b w:val="false"/>
                <w:bCs w:val="false"/>
                <w:sz w:val="18"/>
                <w:szCs w:val="18"/>
              </w:rPr>
              <w:t xml:space="preserve">−6.91 [−24.1, 15.3]</w:t>
            </w:r>
          </w:p>
        </w:tc>
        <w:tc>
          <w:tcPr>
            <w:tcW w:type="dxa" w:w="800"/>
            <w:tcMar>
              <w:top w:type="dxa" w:w="50"/>
              <w:left w:type="dxa" w:w="90"/>
              <w:bottom w:type="dxa" w:w="50"/>
              <w:right w:type="dxa" w:w="90"/>
            </w:tcMar>
          </w:tcPr>
          <w:p>
            <w:pPr>
              <w:jc w:val="center"/>
            </w:pPr>
            <w:r>
              <w:rPr>
                <w:b w:val="false"/>
                <w:bCs w:val="false"/>
                <w:sz w:val="18"/>
                <w:szCs w:val="18"/>
              </w:rPr>
              <w:t xml:space="preserve">0.73</w:t>
            </w:r>
          </w:p>
        </w:tc>
      </w:tr>
      <w:tr>
        <w:tc>
          <w:tcPr>
            <w:tcW w:type="dxa" w:w="1150"/>
            <w:tcMar>
              <w:top w:type="dxa" w:w="50"/>
              <w:left w:type="dxa" w:w="90"/>
              <w:bottom w:type="dxa" w:w="50"/>
              <w:right w:type="dxa" w:w="90"/>
            </w:tcMar>
          </w:tcPr>
          <w:p>
            <w:pPr>
              <w:jc w:val="left"/>
            </w:pPr>
            <w:r>
              <w:rPr>
                <w:b w:val="false"/>
                <w:bCs w:val="false"/>
                <w:sz w:val="18"/>
                <w:szCs w:val="18"/>
              </w:rPr>
              <w:t xml:space="preserve">Repeals</w:t>
            </w:r>
          </w:p>
        </w:tc>
        <w:tc>
          <w:tcPr>
            <w:tcW w:type="dxa" w:w="2400"/>
            <w:tcMar>
              <w:top w:type="dxa" w:w="50"/>
              <w:left w:type="dxa" w:w="90"/>
              <w:bottom w:type="dxa" w:w="50"/>
              <w:right w:type="dxa" w:w="90"/>
            </w:tcMar>
          </w:tcPr>
          <w:p>
            <w:pPr>
              <w:jc w:val="left"/>
            </w:pPr>
            <w:r>
              <w:rPr>
                <w:b w:val="false"/>
                <w:bCs w:val="false"/>
                <w:sz w:val="18"/>
                <w:szCs w:val="18"/>
              </w:rPr>
              <w:t xml:space="preserve">per capita</w:t>
            </w:r>
          </w:p>
        </w:tc>
        <w:tc>
          <w:tcPr>
            <w:tcW w:type="dxa" w:w="2900"/>
            <w:tcMar>
              <w:top w:type="dxa" w:w="50"/>
              <w:left w:type="dxa" w:w="90"/>
              <w:bottom w:type="dxa" w:w="50"/>
              <w:right w:type="dxa" w:w="90"/>
            </w:tcMar>
          </w:tcPr>
          <w:p>
            <w:pPr>
              <w:jc w:val="left"/>
            </w:pPr>
            <w:r>
              <w:rPr>
                <w:b w:val="false"/>
                <w:bCs w:val="false"/>
                <w:sz w:val="18"/>
                <w:szCs w:val="18"/>
              </w:rPr>
              <w:t xml:space="preserve">Impaired deaths per 100k residents (log x100)</w:t>
            </w:r>
          </w:p>
        </w:tc>
        <w:tc>
          <w:tcPr>
            <w:tcW w:type="dxa" w:w="2110"/>
            <w:tcMar>
              <w:top w:type="dxa" w:w="50"/>
              <w:left w:type="dxa" w:w="90"/>
              <w:bottom w:type="dxa" w:w="50"/>
              <w:right w:type="dxa" w:w="90"/>
            </w:tcMar>
          </w:tcPr>
          <w:p>
            <w:pPr>
              <w:jc w:val="center"/>
            </w:pPr>
            <w:r>
              <w:rPr>
                <w:b w:val="false"/>
                <w:bCs w:val="false"/>
                <w:sz w:val="18"/>
                <w:szCs w:val="18"/>
              </w:rPr>
              <w:t xml:space="preserve">−1.11 [−17.3, 15.9]</w:t>
            </w:r>
          </w:p>
        </w:tc>
        <w:tc>
          <w:tcPr>
            <w:tcW w:type="dxa" w:w="800"/>
            <w:tcMar>
              <w:top w:type="dxa" w:w="50"/>
              <w:left w:type="dxa" w:w="90"/>
              <w:bottom w:type="dxa" w:w="50"/>
              <w:right w:type="dxa" w:w="90"/>
            </w:tcMar>
          </w:tcPr>
          <w:p>
            <w:pPr>
              <w:jc w:val="center"/>
            </w:pPr>
            <w:r>
              <w:rPr>
                <w:b w:val="false"/>
                <w:bCs w:val="false"/>
                <w:sz w:val="18"/>
                <w:szCs w:val="18"/>
              </w:rPr>
              <w:t xml:space="preserve">1.00</w:t>
            </w:r>
          </w:p>
        </w:tc>
      </w:tr>
      <w:tr>
        <w:tc>
          <w:tcPr>
            <w:tcW w:type="dxa" w:w="1150"/>
            <w:tcMar>
              <w:top w:type="dxa" w:w="50"/>
              <w:left w:type="dxa" w:w="90"/>
              <w:bottom w:type="dxa" w:w="50"/>
              <w:right w:type="dxa" w:w="90"/>
            </w:tcMar>
          </w:tcPr>
          <w:p>
            <w:pPr>
              <w:jc w:val="left"/>
            </w:pPr>
            <w:r>
              <w:rPr>
                <w:b w:val="false"/>
                <w:bCs w:val="false"/>
                <w:sz w:val="18"/>
                <w:szCs w:val="18"/>
              </w:rPr>
              <w:t xml:space="preserve">Repeals</w:t>
            </w:r>
          </w:p>
        </w:tc>
        <w:tc>
          <w:tcPr>
            <w:tcW w:type="dxa" w:w="2400"/>
            <w:tcMar>
              <w:top w:type="dxa" w:w="50"/>
              <w:left w:type="dxa" w:w="90"/>
              <w:bottom w:type="dxa" w:w="50"/>
              <w:right w:type="dxa" w:w="90"/>
            </w:tcMar>
          </w:tcPr>
          <w:p>
            <w:pPr>
              <w:jc w:val="left"/>
            </w:pPr>
            <w:r>
              <w:rPr>
                <w:b w:val="false"/>
                <w:bCs w:val="false"/>
                <w:sz w:val="18"/>
                <w:szCs w:val="18"/>
              </w:rPr>
              <w:t xml:space="preserve">per capita</w:t>
            </w:r>
          </w:p>
        </w:tc>
        <w:tc>
          <w:tcPr>
            <w:tcW w:type="dxa" w:w="2900"/>
            <w:tcMar>
              <w:top w:type="dxa" w:w="50"/>
              <w:left w:type="dxa" w:w="90"/>
              <w:bottom w:type="dxa" w:w="50"/>
              <w:right w:type="dxa" w:w="90"/>
            </w:tcMar>
          </w:tcPr>
          <w:p>
            <w:pPr>
              <w:jc w:val="left"/>
            </w:pPr>
            <w:r>
              <w:rPr>
                <w:b w:val="false"/>
                <w:bCs w:val="false"/>
                <w:sz w:val="18"/>
                <w:szCs w:val="18"/>
              </w:rPr>
              <w:t xml:space="preserve">Sober deaths per 100k: placebo (log x100)</w:t>
            </w:r>
          </w:p>
        </w:tc>
        <w:tc>
          <w:tcPr>
            <w:tcW w:type="dxa" w:w="2110"/>
            <w:tcMar>
              <w:top w:type="dxa" w:w="50"/>
              <w:left w:type="dxa" w:w="90"/>
              <w:bottom w:type="dxa" w:w="50"/>
              <w:right w:type="dxa" w:w="90"/>
            </w:tcMar>
          </w:tcPr>
          <w:p>
            <w:pPr>
              <w:jc w:val="center"/>
            </w:pPr>
            <w:r>
              <w:rPr>
                <w:b w:val="false"/>
                <w:bCs w:val="false"/>
                <w:sz w:val="18"/>
                <w:szCs w:val="18"/>
              </w:rPr>
              <w:t xml:space="preserve">+6.20 [−4.2, 15.7]</w:t>
            </w:r>
          </w:p>
        </w:tc>
        <w:tc>
          <w:tcPr>
            <w:tcW w:type="dxa" w:w="800"/>
            <w:tcMar>
              <w:top w:type="dxa" w:w="50"/>
              <w:left w:type="dxa" w:w="90"/>
              <w:bottom w:type="dxa" w:w="50"/>
              <w:right w:type="dxa" w:w="90"/>
            </w:tcMar>
          </w:tcPr>
          <w:p>
            <w:pPr>
              <w:jc w:val="center"/>
            </w:pPr>
            <w:r>
              <w:rPr>
                <w:b w:val="false"/>
                <w:bCs w:val="false"/>
                <w:sz w:val="18"/>
                <w:szCs w:val="18"/>
              </w:rPr>
              <w:t xml:space="preserve">0.40</w:t>
            </w:r>
          </w:p>
        </w:tc>
      </w:tr>
      <w:tr>
        <w:tc>
          <w:tcPr>
            <w:tcW w:type="dxa" w:w="1150"/>
            <w:tcMar>
              <w:top w:type="dxa" w:w="50"/>
              <w:left w:type="dxa" w:w="90"/>
              <w:bottom w:type="dxa" w:w="50"/>
              <w:right w:type="dxa" w:w="90"/>
            </w:tcMar>
          </w:tcPr>
          <w:p>
            <w:pPr>
              <w:jc w:val="left"/>
            </w:pPr>
            <w:r>
              <w:rPr>
                <w:b w:val="false"/>
                <w:bCs w:val="false"/>
                <w:sz w:val="18"/>
                <w:szCs w:val="18"/>
              </w:rPr>
              <w:t xml:space="preserve">Repeals</w:t>
            </w:r>
          </w:p>
        </w:tc>
        <w:tc>
          <w:tcPr>
            <w:tcW w:type="dxa" w:w="2400"/>
            <w:tcMar>
              <w:top w:type="dxa" w:w="50"/>
              <w:left w:type="dxa" w:w="90"/>
              <w:bottom w:type="dxa" w:w="50"/>
              <w:right w:type="dxa" w:w="90"/>
            </w:tcMar>
          </w:tcPr>
          <w:p>
            <w:pPr>
              <w:jc w:val="left"/>
            </w:pPr>
            <w:r>
              <w:rPr>
                <w:b w:val="false"/>
                <w:bCs w:val="false"/>
                <w:sz w:val="18"/>
                <w:szCs w:val="18"/>
              </w:rPr>
              <w:t xml:space="preserve">per capita</w:t>
            </w:r>
          </w:p>
        </w:tc>
        <w:tc>
          <w:tcPr>
            <w:tcW w:type="dxa" w:w="2900"/>
            <w:tcMar>
              <w:top w:type="dxa" w:w="50"/>
              <w:left w:type="dxa" w:w="90"/>
              <w:bottom w:type="dxa" w:w="50"/>
              <w:right w:type="dxa" w:w="90"/>
            </w:tcMar>
          </w:tcPr>
          <w:p>
            <w:pPr>
              <w:jc w:val="left"/>
            </w:pPr>
            <w:r>
              <w:rPr>
                <w:b w:val="false"/>
                <w:bCs w:val="false"/>
                <w:sz w:val="18"/>
                <w:szCs w:val="18"/>
              </w:rPr>
              <w:t xml:space="preserve">All deaths per 100k residents (log x100)</w:t>
            </w:r>
          </w:p>
        </w:tc>
        <w:tc>
          <w:tcPr>
            <w:tcW w:type="dxa" w:w="2110"/>
            <w:tcMar>
              <w:top w:type="dxa" w:w="50"/>
              <w:left w:type="dxa" w:w="90"/>
              <w:bottom w:type="dxa" w:w="50"/>
              <w:right w:type="dxa" w:w="90"/>
            </w:tcMar>
          </w:tcPr>
          <w:p>
            <w:pPr>
              <w:jc w:val="center"/>
            </w:pPr>
            <w:r>
              <w:rPr>
                <w:b w:val="false"/>
                <w:bCs w:val="false"/>
                <w:sz w:val="18"/>
                <w:szCs w:val="18"/>
              </w:rPr>
              <w:t xml:space="preserve">+4.35 [−5.2, 12.7]</w:t>
            </w:r>
          </w:p>
        </w:tc>
        <w:tc>
          <w:tcPr>
            <w:tcW w:type="dxa" w:w="800"/>
            <w:tcMar>
              <w:top w:type="dxa" w:w="50"/>
              <w:left w:type="dxa" w:w="90"/>
              <w:bottom w:type="dxa" w:w="50"/>
              <w:right w:type="dxa" w:w="90"/>
            </w:tcMar>
          </w:tcPr>
          <w:p>
            <w:pPr>
              <w:jc w:val="center"/>
            </w:pPr>
            <w:r>
              <w:rPr>
                <w:b w:val="false"/>
                <w:bCs w:val="false"/>
                <w:sz w:val="18"/>
                <w:szCs w:val="18"/>
              </w:rPr>
              <w:t xml:space="preserve">0.49</w:t>
            </w:r>
          </w:p>
        </w:tc>
      </w:tr>
      <w:tr>
        <w:tc>
          <w:tcPr>
            <w:tcW w:type="dxa" w:w="1150"/>
            <w:tcMar>
              <w:top w:type="dxa" w:w="50"/>
              <w:left w:type="dxa" w:w="90"/>
              <w:bottom w:type="dxa" w:w="50"/>
              <w:right w:type="dxa" w:w="90"/>
            </w:tcMar>
          </w:tcPr>
          <w:p>
            <w:pPr>
              <w:jc w:val="left"/>
            </w:pPr>
            <w:r>
              <w:rPr>
                <w:b w:val="false"/>
                <w:bCs w:val="false"/>
                <w:sz w:val="18"/>
                <w:szCs w:val="18"/>
              </w:rPr>
              <w:t xml:space="preserve">Repeals</w:t>
            </w:r>
          </w:p>
        </w:tc>
        <w:tc>
          <w:tcPr>
            <w:tcW w:type="dxa" w:w="2400"/>
            <w:tcMar>
              <w:top w:type="dxa" w:w="50"/>
              <w:left w:type="dxa" w:w="90"/>
              <w:bottom w:type="dxa" w:w="50"/>
              <w:right w:type="dxa" w:w="90"/>
            </w:tcMar>
          </w:tcPr>
          <w:p>
            <w:pPr>
              <w:jc w:val="left"/>
            </w:pPr>
            <w:r>
              <w:rPr>
                <w:b w:val="false"/>
                <w:bCs w:val="false"/>
                <w:sz w:val="18"/>
                <w:szCs w:val="18"/>
              </w:rPr>
              <w:t xml:space="preserve">per capita + unemployment</w:t>
            </w:r>
          </w:p>
        </w:tc>
        <w:tc>
          <w:tcPr>
            <w:tcW w:type="dxa" w:w="2900"/>
            <w:tcMar>
              <w:top w:type="dxa" w:w="50"/>
              <w:left w:type="dxa" w:w="90"/>
              <w:bottom w:type="dxa" w:w="50"/>
              <w:right w:type="dxa" w:w="90"/>
            </w:tcMar>
          </w:tcPr>
          <w:p>
            <w:pPr>
              <w:jc w:val="left"/>
            </w:pPr>
            <w:r>
              <w:rPr>
                <w:b w:val="false"/>
                <w:bCs w:val="false"/>
                <w:sz w:val="18"/>
                <w:szCs w:val="18"/>
              </w:rPr>
              <w:t xml:space="preserve">Impaired deaths per 100k residents (log x100)</w:t>
            </w:r>
          </w:p>
        </w:tc>
        <w:tc>
          <w:tcPr>
            <w:tcW w:type="dxa" w:w="2110"/>
            <w:tcMar>
              <w:top w:type="dxa" w:w="50"/>
              <w:left w:type="dxa" w:w="90"/>
              <w:bottom w:type="dxa" w:w="50"/>
              <w:right w:type="dxa" w:w="90"/>
            </w:tcMar>
          </w:tcPr>
          <w:p>
            <w:pPr>
              <w:jc w:val="center"/>
            </w:pPr>
            <w:r>
              <w:rPr>
                <w:b w:val="false"/>
                <w:bCs w:val="false"/>
                <w:sz w:val="18"/>
                <w:szCs w:val="18"/>
              </w:rPr>
              <w:t xml:space="preserve">−0.87 [−16.8, 16.1]</w:t>
            </w:r>
          </w:p>
        </w:tc>
        <w:tc>
          <w:tcPr>
            <w:tcW w:type="dxa" w:w="800"/>
            <w:tcMar>
              <w:top w:type="dxa" w:w="50"/>
              <w:left w:type="dxa" w:w="90"/>
              <w:bottom w:type="dxa" w:w="50"/>
              <w:right w:type="dxa" w:w="90"/>
            </w:tcMar>
          </w:tcPr>
          <w:p>
            <w:pPr>
              <w:jc w:val="center"/>
            </w:pPr>
            <w:r>
              <w:rPr>
                <w:b w:val="false"/>
                <w:bCs w:val="false"/>
                <w:sz w:val="18"/>
                <w:szCs w:val="18"/>
              </w:rPr>
              <w:t xml:space="preserve">0.97</w:t>
            </w:r>
          </w:p>
        </w:tc>
      </w:tr>
      <w:tr>
        <w:tc>
          <w:tcPr>
            <w:tcW w:type="dxa" w:w="1150"/>
            <w:tcMar>
              <w:top w:type="dxa" w:w="50"/>
              <w:left w:type="dxa" w:w="90"/>
              <w:bottom w:type="dxa" w:w="50"/>
              <w:right w:type="dxa" w:w="90"/>
            </w:tcMar>
          </w:tcPr>
          <w:p>
            <w:pPr>
              <w:jc w:val="left"/>
            </w:pPr>
            <w:r>
              <w:rPr>
                <w:b w:val="false"/>
                <w:bCs w:val="false"/>
                <w:sz w:val="18"/>
                <w:szCs w:val="18"/>
              </w:rPr>
              <w:t xml:space="preserve">1980s bans</w:t>
            </w:r>
          </w:p>
        </w:tc>
        <w:tc>
          <w:tcPr>
            <w:tcW w:type="dxa" w:w="2400"/>
            <w:tcMar>
              <w:top w:type="dxa" w:w="50"/>
              <w:left w:type="dxa" w:w="90"/>
              <w:bottom w:type="dxa" w:w="50"/>
              <w:right w:type="dxa" w:w="90"/>
            </w:tcMar>
          </w:tcPr>
          <w:p>
            <w:pPr>
              <w:jc w:val="left"/>
            </w:pPr>
            <w:r>
              <w:rPr>
                <w:b w:val="false"/>
                <w:bCs w:val="false"/>
                <w:sz w:val="18"/>
                <w:szCs w:val="18"/>
              </w:rPr>
              <w:t xml:space="preserve">+ unemployment</w:t>
            </w:r>
          </w:p>
        </w:tc>
        <w:tc>
          <w:tcPr>
            <w:tcW w:type="dxa" w:w="2900"/>
            <w:tcMar>
              <w:top w:type="dxa" w:w="50"/>
              <w:left w:type="dxa" w:w="90"/>
              <w:bottom w:type="dxa" w:w="50"/>
              <w:right w:type="dxa" w:w="90"/>
            </w:tcMar>
          </w:tcPr>
          <w:p>
            <w:pPr>
              <w:jc w:val="left"/>
            </w:pPr>
            <w:r>
              <w:rPr>
                <w:b w:val="false"/>
                <w:bCs w:val="false"/>
                <w:sz w:val="18"/>
                <w:szCs w:val="18"/>
              </w:rPr>
              <w:t xml:space="preserve">Impaired share (pp)</w:t>
            </w:r>
          </w:p>
        </w:tc>
        <w:tc>
          <w:tcPr>
            <w:tcW w:type="dxa" w:w="2110"/>
            <w:tcMar>
              <w:top w:type="dxa" w:w="50"/>
              <w:left w:type="dxa" w:w="90"/>
              <w:bottom w:type="dxa" w:w="50"/>
              <w:right w:type="dxa" w:w="90"/>
            </w:tcMar>
          </w:tcPr>
          <w:p>
            <w:pPr>
              <w:jc w:val="center"/>
            </w:pPr>
            <w:r>
              <w:rPr>
                <w:b w:val="false"/>
                <w:bCs w:val="false"/>
                <w:sz w:val="18"/>
                <w:szCs w:val="18"/>
              </w:rPr>
              <w:t xml:space="preserve">+0.67 [−2.3, 3.7]</w:t>
            </w:r>
          </w:p>
        </w:tc>
        <w:tc>
          <w:tcPr>
            <w:tcW w:type="dxa" w:w="800"/>
            <w:tcMar>
              <w:top w:type="dxa" w:w="50"/>
              <w:left w:type="dxa" w:w="90"/>
              <w:bottom w:type="dxa" w:w="50"/>
              <w:right w:type="dxa" w:w="90"/>
            </w:tcMar>
          </w:tcPr>
          <w:p>
            <w:pPr>
              <w:jc w:val="center"/>
            </w:pPr>
            <w:r>
              <w:rPr>
                <w:b w:val="false"/>
                <w:bCs w:val="false"/>
                <w:sz w:val="18"/>
                <w:szCs w:val="18"/>
              </w:rPr>
              <w:t xml:space="preserve">0.67</w:t>
            </w:r>
          </w:p>
        </w:tc>
      </w:tr>
      <w:tr>
        <w:tc>
          <w:tcPr>
            <w:tcW w:type="dxa" w:w="1150"/>
            <w:tcMar>
              <w:top w:type="dxa" w:w="50"/>
              <w:left w:type="dxa" w:w="90"/>
              <w:bottom w:type="dxa" w:w="50"/>
              <w:right w:type="dxa" w:w="90"/>
            </w:tcMar>
          </w:tcPr>
          <w:p>
            <w:pPr>
              <w:jc w:val="left"/>
            </w:pPr>
            <w:r>
              <w:rPr>
                <w:b w:val="false"/>
                <w:bCs w:val="false"/>
                <w:sz w:val="18"/>
                <w:szCs w:val="18"/>
              </w:rPr>
              <w:t xml:space="preserve">1980s bans</w:t>
            </w:r>
          </w:p>
        </w:tc>
        <w:tc>
          <w:tcPr>
            <w:tcW w:type="dxa" w:w="2400"/>
            <w:tcMar>
              <w:top w:type="dxa" w:w="50"/>
              <w:left w:type="dxa" w:w="90"/>
              <w:bottom w:type="dxa" w:w="50"/>
              <w:right w:type="dxa" w:w="90"/>
            </w:tcMar>
          </w:tcPr>
          <w:p>
            <w:pPr>
              <w:jc w:val="left"/>
            </w:pPr>
            <w:r>
              <w:rPr>
                <w:b w:val="false"/>
                <w:bCs w:val="false"/>
                <w:sz w:val="18"/>
                <w:szCs w:val="18"/>
              </w:rPr>
              <w:t xml:space="preserve">+ unemployment</w:t>
            </w:r>
          </w:p>
        </w:tc>
        <w:tc>
          <w:tcPr>
            <w:tcW w:type="dxa" w:w="2900"/>
            <w:tcMar>
              <w:top w:type="dxa" w:w="50"/>
              <w:left w:type="dxa" w:w="90"/>
              <w:bottom w:type="dxa" w:w="50"/>
              <w:right w:type="dxa" w:w="90"/>
            </w:tcMar>
          </w:tcPr>
          <w:p>
            <w:pPr>
              <w:jc w:val="left"/>
            </w:pPr>
            <w:r>
              <w:rPr>
                <w:b w:val="false"/>
                <w:bCs w:val="false"/>
                <w:sz w:val="18"/>
                <w:szCs w:val="18"/>
              </w:rPr>
              <w:t xml:space="preserve">Log odds, impaired vs sober (x100)</w:t>
            </w:r>
          </w:p>
        </w:tc>
        <w:tc>
          <w:tcPr>
            <w:tcW w:type="dxa" w:w="2110"/>
            <w:tcMar>
              <w:top w:type="dxa" w:w="50"/>
              <w:left w:type="dxa" w:w="90"/>
              <w:bottom w:type="dxa" w:w="50"/>
              <w:right w:type="dxa" w:w="90"/>
            </w:tcMar>
          </w:tcPr>
          <w:p>
            <w:pPr>
              <w:jc w:val="center"/>
            </w:pPr>
            <w:r>
              <w:rPr>
                <w:b w:val="false"/>
                <w:bCs w:val="false"/>
                <w:sz w:val="18"/>
                <w:szCs w:val="18"/>
              </w:rPr>
              <w:t xml:space="preserve">+2.94 [−9.6, 15.7]</w:t>
            </w:r>
          </w:p>
        </w:tc>
        <w:tc>
          <w:tcPr>
            <w:tcW w:type="dxa" w:w="800"/>
            <w:tcMar>
              <w:top w:type="dxa" w:w="50"/>
              <w:left w:type="dxa" w:w="90"/>
              <w:bottom w:type="dxa" w:w="50"/>
              <w:right w:type="dxa" w:w="90"/>
            </w:tcMar>
          </w:tcPr>
          <w:p>
            <w:pPr>
              <w:jc w:val="center"/>
            </w:pPr>
            <w:r>
              <w:rPr>
                <w:b w:val="false"/>
                <w:bCs w:val="false"/>
                <w:sz w:val="18"/>
                <w:szCs w:val="18"/>
              </w:rPr>
              <w:t xml:space="preserve">0.66</w:t>
            </w:r>
          </w:p>
        </w:tc>
      </w:tr>
      <w:tr>
        <w:tc>
          <w:tcPr>
            <w:tcW w:type="dxa" w:w="1150"/>
            <w:tcMar>
              <w:top w:type="dxa" w:w="50"/>
              <w:left w:type="dxa" w:w="90"/>
              <w:bottom w:type="dxa" w:w="50"/>
              <w:right w:type="dxa" w:w="90"/>
            </w:tcMar>
          </w:tcPr>
          <w:p>
            <w:pPr>
              <w:jc w:val="left"/>
            </w:pPr>
            <w:r>
              <w:rPr>
                <w:b w:val="false"/>
                <w:bCs w:val="false"/>
                <w:sz w:val="18"/>
                <w:szCs w:val="18"/>
              </w:rPr>
              <w:t xml:space="preserve">1980s bans</w:t>
            </w:r>
          </w:p>
        </w:tc>
        <w:tc>
          <w:tcPr>
            <w:tcW w:type="dxa" w:w="2400"/>
            <w:tcMar>
              <w:top w:type="dxa" w:w="50"/>
              <w:left w:type="dxa" w:w="90"/>
              <w:bottom w:type="dxa" w:w="50"/>
              <w:right w:type="dxa" w:w="90"/>
            </w:tcMar>
          </w:tcPr>
          <w:p>
            <w:pPr>
              <w:jc w:val="left"/>
            </w:pPr>
            <w:r>
              <w:rPr>
                <w:b w:val="false"/>
                <w:bCs w:val="false"/>
                <w:sz w:val="18"/>
                <w:szCs w:val="18"/>
              </w:rPr>
              <w:t xml:space="preserve">per capita</w:t>
            </w:r>
          </w:p>
        </w:tc>
        <w:tc>
          <w:tcPr>
            <w:tcW w:type="dxa" w:w="2900"/>
            <w:tcMar>
              <w:top w:type="dxa" w:w="50"/>
              <w:left w:type="dxa" w:w="90"/>
              <w:bottom w:type="dxa" w:w="50"/>
              <w:right w:type="dxa" w:w="90"/>
            </w:tcMar>
          </w:tcPr>
          <w:p>
            <w:pPr>
              <w:jc w:val="left"/>
            </w:pPr>
            <w:r>
              <w:rPr>
                <w:b w:val="false"/>
                <w:bCs w:val="false"/>
                <w:sz w:val="18"/>
                <w:szCs w:val="18"/>
              </w:rPr>
              <w:t xml:space="preserve">Impaired deaths per 100k residents (log x100)</w:t>
            </w:r>
          </w:p>
        </w:tc>
        <w:tc>
          <w:tcPr>
            <w:tcW w:type="dxa" w:w="2110"/>
            <w:tcMar>
              <w:top w:type="dxa" w:w="50"/>
              <w:left w:type="dxa" w:w="90"/>
              <w:bottom w:type="dxa" w:w="50"/>
              <w:right w:type="dxa" w:w="90"/>
            </w:tcMar>
          </w:tcPr>
          <w:p>
            <w:pPr>
              <w:jc w:val="center"/>
            </w:pPr>
            <w:r>
              <w:rPr>
                <w:b w:val="false"/>
                <w:bCs w:val="false"/>
                <w:sz w:val="18"/>
                <w:szCs w:val="18"/>
              </w:rPr>
              <w:t xml:space="preserve">+5.95 [−9.0, 16.9]</w:t>
            </w:r>
          </w:p>
        </w:tc>
        <w:tc>
          <w:tcPr>
            <w:tcW w:type="dxa" w:w="800"/>
            <w:tcMar>
              <w:top w:type="dxa" w:w="50"/>
              <w:left w:type="dxa" w:w="90"/>
              <w:bottom w:type="dxa" w:w="50"/>
              <w:right w:type="dxa" w:w="90"/>
            </w:tcMar>
          </w:tcPr>
          <w:p>
            <w:pPr>
              <w:jc w:val="center"/>
            </w:pPr>
            <w:r>
              <w:rPr>
                <w:b w:val="false"/>
                <w:bCs w:val="false"/>
                <w:sz w:val="18"/>
                <w:szCs w:val="18"/>
              </w:rPr>
              <w:t xml:space="preserve">0.60</w:t>
            </w:r>
          </w:p>
        </w:tc>
      </w:tr>
      <w:tr>
        <w:tc>
          <w:tcPr>
            <w:tcW w:type="dxa" w:w="1150"/>
            <w:tcMar>
              <w:top w:type="dxa" w:w="50"/>
              <w:left w:type="dxa" w:w="90"/>
              <w:bottom w:type="dxa" w:w="50"/>
              <w:right w:type="dxa" w:w="90"/>
            </w:tcMar>
          </w:tcPr>
          <w:p>
            <w:pPr>
              <w:jc w:val="left"/>
            </w:pPr>
            <w:r>
              <w:rPr>
                <w:b w:val="false"/>
                <w:bCs w:val="false"/>
                <w:sz w:val="18"/>
                <w:szCs w:val="18"/>
              </w:rPr>
              <w:t xml:space="preserve">1980s bans</w:t>
            </w:r>
          </w:p>
        </w:tc>
        <w:tc>
          <w:tcPr>
            <w:tcW w:type="dxa" w:w="2400"/>
            <w:tcMar>
              <w:top w:type="dxa" w:w="50"/>
              <w:left w:type="dxa" w:w="90"/>
              <w:bottom w:type="dxa" w:w="50"/>
              <w:right w:type="dxa" w:w="90"/>
            </w:tcMar>
          </w:tcPr>
          <w:p>
            <w:pPr>
              <w:jc w:val="left"/>
            </w:pPr>
            <w:r>
              <w:rPr>
                <w:b w:val="false"/>
                <w:bCs w:val="false"/>
                <w:sz w:val="18"/>
                <w:szCs w:val="18"/>
              </w:rPr>
              <w:t xml:space="preserve">per capita</w:t>
            </w:r>
          </w:p>
        </w:tc>
        <w:tc>
          <w:tcPr>
            <w:tcW w:type="dxa" w:w="2900"/>
            <w:tcMar>
              <w:top w:type="dxa" w:w="50"/>
              <w:left w:type="dxa" w:w="90"/>
              <w:bottom w:type="dxa" w:w="50"/>
              <w:right w:type="dxa" w:w="90"/>
            </w:tcMar>
          </w:tcPr>
          <w:p>
            <w:pPr>
              <w:jc w:val="left"/>
            </w:pPr>
            <w:r>
              <w:rPr>
                <w:b w:val="false"/>
                <w:bCs w:val="false"/>
                <w:sz w:val="18"/>
                <w:szCs w:val="18"/>
              </w:rPr>
              <w:t xml:space="preserve">Sober deaths per 100k: placebo (log x100)</w:t>
            </w:r>
          </w:p>
        </w:tc>
        <w:tc>
          <w:tcPr>
            <w:tcW w:type="dxa" w:w="2110"/>
            <w:tcMar>
              <w:top w:type="dxa" w:w="50"/>
              <w:left w:type="dxa" w:w="90"/>
              <w:bottom w:type="dxa" w:w="50"/>
              <w:right w:type="dxa" w:w="90"/>
            </w:tcMar>
          </w:tcPr>
          <w:p>
            <w:pPr>
              <w:jc w:val="center"/>
            </w:pPr>
            <w:r>
              <w:rPr>
                <w:b w:val="false"/>
                <w:bCs w:val="false"/>
                <w:sz w:val="18"/>
                <w:szCs w:val="18"/>
              </w:rPr>
              <w:t xml:space="preserve">+2.41 [−7.7, 9.0]</w:t>
            </w:r>
          </w:p>
        </w:tc>
        <w:tc>
          <w:tcPr>
            <w:tcW w:type="dxa" w:w="800"/>
            <w:tcMar>
              <w:top w:type="dxa" w:w="50"/>
              <w:left w:type="dxa" w:w="90"/>
              <w:bottom w:type="dxa" w:w="50"/>
              <w:right w:type="dxa" w:w="90"/>
            </w:tcMar>
          </w:tcPr>
          <w:p>
            <w:pPr>
              <w:jc w:val="center"/>
            </w:pPr>
            <w:r>
              <w:rPr>
                <w:b w:val="false"/>
                <w:bCs w:val="false"/>
                <w:sz w:val="18"/>
                <w:szCs w:val="18"/>
              </w:rPr>
              <w:t xml:space="preserve">0.99</w:t>
            </w:r>
          </w:p>
        </w:tc>
      </w:tr>
      <w:tr>
        <w:tc>
          <w:tcPr>
            <w:tcW w:type="dxa" w:w="1150"/>
            <w:tcMar>
              <w:top w:type="dxa" w:w="50"/>
              <w:left w:type="dxa" w:w="90"/>
              <w:bottom w:type="dxa" w:w="50"/>
              <w:right w:type="dxa" w:w="90"/>
            </w:tcMar>
          </w:tcPr>
          <w:p>
            <w:pPr>
              <w:jc w:val="left"/>
            </w:pPr>
            <w:r>
              <w:rPr>
                <w:b w:val="false"/>
                <w:bCs w:val="false"/>
                <w:sz w:val="18"/>
                <w:szCs w:val="18"/>
              </w:rPr>
              <w:t xml:space="preserve">1980s bans</w:t>
            </w:r>
          </w:p>
        </w:tc>
        <w:tc>
          <w:tcPr>
            <w:tcW w:type="dxa" w:w="2400"/>
            <w:tcMar>
              <w:top w:type="dxa" w:w="50"/>
              <w:left w:type="dxa" w:w="90"/>
              <w:bottom w:type="dxa" w:w="50"/>
              <w:right w:type="dxa" w:w="90"/>
            </w:tcMar>
          </w:tcPr>
          <w:p>
            <w:pPr>
              <w:jc w:val="left"/>
            </w:pPr>
            <w:r>
              <w:rPr>
                <w:b w:val="false"/>
                <w:bCs w:val="false"/>
                <w:sz w:val="18"/>
                <w:szCs w:val="18"/>
              </w:rPr>
              <w:t xml:space="preserve">per capita</w:t>
            </w:r>
          </w:p>
        </w:tc>
        <w:tc>
          <w:tcPr>
            <w:tcW w:type="dxa" w:w="2900"/>
            <w:tcMar>
              <w:top w:type="dxa" w:w="50"/>
              <w:left w:type="dxa" w:w="90"/>
              <w:bottom w:type="dxa" w:w="50"/>
              <w:right w:type="dxa" w:w="90"/>
            </w:tcMar>
          </w:tcPr>
          <w:p>
            <w:pPr>
              <w:jc w:val="left"/>
            </w:pPr>
            <w:r>
              <w:rPr>
                <w:b w:val="false"/>
                <w:bCs w:val="false"/>
                <w:sz w:val="18"/>
                <w:szCs w:val="18"/>
              </w:rPr>
              <w:t xml:space="preserve">All deaths per 100k residents (log x100)</w:t>
            </w:r>
          </w:p>
        </w:tc>
        <w:tc>
          <w:tcPr>
            <w:tcW w:type="dxa" w:w="2110"/>
            <w:tcMar>
              <w:top w:type="dxa" w:w="50"/>
              <w:left w:type="dxa" w:w="90"/>
              <w:bottom w:type="dxa" w:w="50"/>
              <w:right w:type="dxa" w:w="90"/>
            </w:tcMar>
          </w:tcPr>
          <w:p>
            <w:pPr>
              <w:jc w:val="center"/>
            </w:pPr>
            <w:r>
              <w:rPr>
                <w:b w:val="false"/>
                <w:bCs w:val="false"/>
                <w:sz w:val="18"/>
                <w:szCs w:val="18"/>
              </w:rPr>
              <w:t xml:space="preserve">+3.78 [−6.5, 10.2]</w:t>
            </w:r>
          </w:p>
        </w:tc>
        <w:tc>
          <w:tcPr>
            <w:tcW w:type="dxa" w:w="800"/>
            <w:tcMar>
              <w:top w:type="dxa" w:w="50"/>
              <w:left w:type="dxa" w:w="90"/>
              <w:bottom w:type="dxa" w:w="50"/>
              <w:right w:type="dxa" w:w="90"/>
            </w:tcMar>
          </w:tcPr>
          <w:p>
            <w:pPr>
              <w:jc w:val="center"/>
            </w:pPr>
            <w:r>
              <w:rPr>
                <w:b w:val="false"/>
                <w:bCs w:val="false"/>
                <w:sz w:val="18"/>
                <w:szCs w:val="18"/>
              </w:rPr>
              <w:t xml:space="preserve">0.77</w:t>
            </w:r>
          </w:p>
        </w:tc>
      </w:tr>
      <w:tr>
        <w:tc>
          <w:tcPr>
            <w:tcW w:type="dxa" w:w="1150"/>
            <w:tcMar>
              <w:top w:type="dxa" w:w="50"/>
              <w:left w:type="dxa" w:w="90"/>
              <w:bottom w:type="dxa" w:w="50"/>
              <w:right w:type="dxa" w:w="90"/>
            </w:tcMar>
          </w:tcPr>
          <w:p>
            <w:pPr>
              <w:jc w:val="left"/>
            </w:pPr>
            <w:r>
              <w:rPr>
                <w:b w:val="false"/>
                <w:bCs w:val="false"/>
                <w:sz w:val="18"/>
                <w:szCs w:val="18"/>
              </w:rPr>
              <w:t xml:space="preserve">1980s bans</w:t>
            </w:r>
          </w:p>
        </w:tc>
        <w:tc>
          <w:tcPr>
            <w:tcW w:type="dxa" w:w="2400"/>
            <w:tcMar>
              <w:top w:type="dxa" w:w="50"/>
              <w:left w:type="dxa" w:w="90"/>
              <w:bottom w:type="dxa" w:w="50"/>
              <w:right w:type="dxa" w:w="90"/>
            </w:tcMar>
          </w:tcPr>
          <w:p>
            <w:pPr>
              <w:jc w:val="left"/>
            </w:pPr>
            <w:r>
              <w:rPr>
                <w:b w:val="false"/>
                <w:bCs w:val="false"/>
                <w:sz w:val="18"/>
                <w:szCs w:val="18"/>
              </w:rPr>
              <w:t xml:space="preserve">per capita + unemployment</w:t>
            </w:r>
          </w:p>
        </w:tc>
        <w:tc>
          <w:tcPr>
            <w:tcW w:type="dxa" w:w="2900"/>
            <w:tcMar>
              <w:top w:type="dxa" w:w="50"/>
              <w:left w:type="dxa" w:w="90"/>
              <w:bottom w:type="dxa" w:w="50"/>
              <w:right w:type="dxa" w:w="90"/>
            </w:tcMar>
          </w:tcPr>
          <w:p>
            <w:pPr>
              <w:jc w:val="left"/>
            </w:pPr>
            <w:r>
              <w:rPr>
                <w:b w:val="false"/>
                <w:bCs w:val="false"/>
                <w:sz w:val="18"/>
                <w:szCs w:val="18"/>
              </w:rPr>
              <w:t xml:space="preserve">Impaired deaths per 100k residents (log x100)</w:t>
            </w:r>
          </w:p>
        </w:tc>
        <w:tc>
          <w:tcPr>
            <w:tcW w:type="dxa" w:w="2110"/>
            <w:tcMar>
              <w:top w:type="dxa" w:w="50"/>
              <w:left w:type="dxa" w:w="90"/>
              <w:bottom w:type="dxa" w:w="50"/>
              <w:right w:type="dxa" w:w="90"/>
            </w:tcMar>
          </w:tcPr>
          <w:p>
            <w:pPr>
              <w:jc w:val="center"/>
            </w:pPr>
            <w:r>
              <w:rPr>
                <w:b w:val="false"/>
                <w:bCs w:val="false"/>
                <w:sz w:val="18"/>
                <w:szCs w:val="18"/>
              </w:rPr>
              <w:t xml:space="preserve">+3.21 [−10.0, 13.1]</w:t>
            </w:r>
          </w:p>
        </w:tc>
        <w:tc>
          <w:tcPr>
            <w:tcW w:type="dxa" w:w="800"/>
            <w:tcMar>
              <w:top w:type="dxa" w:w="50"/>
              <w:left w:type="dxa" w:w="90"/>
              <w:bottom w:type="dxa" w:w="50"/>
              <w:right w:type="dxa" w:w="90"/>
            </w:tcMar>
          </w:tcPr>
          <w:p>
            <w:pPr>
              <w:jc w:val="center"/>
            </w:pPr>
            <w:r>
              <w:rPr>
                <w:b w:val="false"/>
                <w:bCs w:val="false"/>
                <w:sz w:val="18"/>
                <w:szCs w:val="18"/>
              </w:rPr>
              <w:t xml:space="preserve">0.80</w:t>
            </w:r>
          </w:p>
        </w:tc>
      </w:tr>
      <w:tr>
        <w:tc>
          <w:tcPr>
            <w:tcW w:type="dxa" w:w="1150"/>
            <w:tcMar>
              <w:top w:type="dxa" w:w="50"/>
              <w:left w:type="dxa" w:w="90"/>
              <w:bottom w:type="dxa" w:w="50"/>
              <w:right w:type="dxa" w:w="90"/>
            </w:tcMar>
          </w:tcPr>
          <w:p>
            <w:pPr>
              <w:jc w:val="left"/>
            </w:pPr>
            <w:r>
              <w:rPr>
                <w:b w:val="false"/>
                <w:bCs w:val="false"/>
                <w:sz w:val="18"/>
                <w:szCs w:val="18"/>
              </w:rPr>
              <w:t xml:space="preserve">1980s bans</w:t>
            </w:r>
          </w:p>
        </w:tc>
        <w:tc>
          <w:tcPr>
            <w:tcW w:type="dxa" w:w="2400"/>
            <w:tcMar>
              <w:top w:type="dxa" w:w="50"/>
              <w:left w:type="dxa" w:w="90"/>
              <w:bottom w:type="dxa" w:w="50"/>
              <w:right w:type="dxa" w:w="90"/>
            </w:tcMar>
          </w:tcPr>
          <w:p>
            <w:pPr>
              <w:jc w:val="left"/>
            </w:pPr>
            <w:r>
              <w:rPr>
                <w:b w:val="false"/>
                <w:bCs w:val="false"/>
                <w:sz w:val="18"/>
                <w:szCs w:val="18"/>
              </w:rPr>
              <w:t xml:space="preserve">1983-95, all traffic-safety controls + unemployment</w:t>
            </w:r>
          </w:p>
        </w:tc>
        <w:tc>
          <w:tcPr>
            <w:tcW w:type="dxa" w:w="2900"/>
            <w:tcMar>
              <w:top w:type="dxa" w:w="50"/>
              <w:left w:type="dxa" w:w="90"/>
              <w:bottom w:type="dxa" w:w="50"/>
              <w:right w:type="dxa" w:w="90"/>
            </w:tcMar>
          </w:tcPr>
          <w:p>
            <w:pPr>
              <w:jc w:val="left"/>
            </w:pPr>
            <w:r>
              <w:rPr>
                <w:b w:val="false"/>
                <w:bCs w:val="false"/>
                <w:sz w:val="18"/>
                <w:szCs w:val="18"/>
              </w:rPr>
              <w:t xml:space="preserve">Impaired share (pp)</w:t>
            </w:r>
          </w:p>
        </w:tc>
        <w:tc>
          <w:tcPr>
            <w:tcW w:type="dxa" w:w="2110"/>
            <w:tcMar>
              <w:top w:type="dxa" w:w="50"/>
              <w:left w:type="dxa" w:w="90"/>
              <w:bottom w:type="dxa" w:w="50"/>
              <w:right w:type="dxa" w:w="90"/>
            </w:tcMar>
          </w:tcPr>
          <w:p>
            <w:pPr>
              <w:jc w:val="center"/>
            </w:pPr>
            <w:r>
              <w:rPr>
                <w:b w:val="false"/>
                <w:bCs w:val="false"/>
                <w:sz w:val="18"/>
                <w:szCs w:val="18"/>
              </w:rPr>
              <w:t xml:space="preserve">+0.89 [−2.1, 4.0]</w:t>
            </w:r>
          </w:p>
        </w:tc>
        <w:tc>
          <w:tcPr>
            <w:tcW w:type="dxa" w:w="800"/>
            <w:tcMar>
              <w:top w:type="dxa" w:w="50"/>
              <w:left w:type="dxa" w:w="90"/>
              <w:bottom w:type="dxa" w:w="50"/>
              <w:right w:type="dxa" w:w="90"/>
            </w:tcMar>
          </w:tcPr>
          <w:p>
            <w:pPr>
              <w:jc w:val="center"/>
            </w:pPr>
            <w:r>
              <w:rPr>
                <w:b w:val="false"/>
                <w:bCs w:val="false"/>
                <w:sz w:val="18"/>
                <w:szCs w:val="18"/>
              </w:rPr>
              <w:t xml:space="preserve">0.57</w:t>
            </w:r>
          </w:p>
        </w:tc>
      </w:tr>
      <w:tr>
        <w:tc>
          <w:tcPr>
            <w:tcW w:type="dxa" w:w="1150"/>
            <w:tcMar>
              <w:top w:type="dxa" w:w="50"/>
              <w:left w:type="dxa" w:w="90"/>
              <w:bottom w:type="dxa" w:w="50"/>
              <w:right w:type="dxa" w:w="90"/>
            </w:tcMar>
          </w:tcPr>
          <w:p>
            <w:pPr>
              <w:jc w:val="left"/>
            </w:pPr>
            <w:r>
              <w:rPr>
                <w:b w:val="false"/>
                <w:bCs w:val="false"/>
                <w:sz w:val="18"/>
                <w:szCs w:val="18"/>
              </w:rPr>
              <w:t xml:space="preserve">1980s bans</w:t>
            </w:r>
          </w:p>
        </w:tc>
        <w:tc>
          <w:tcPr>
            <w:tcW w:type="dxa" w:w="2400"/>
            <w:tcMar>
              <w:top w:type="dxa" w:w="50"/>
              <w:left w:type="dxa" w:w="90"/>
              <w:bottom w:type="dxa" w:w="50"/>
              <w:right w:type="dxa" w:w="90"/>
            </w:tcMar>
          </w:tcPr>
          <w:p>
            <w:pPr>
              <w:jc w:val="left"/>
            </w:pPr>
            <w:r>
              <w:rPr>
                <w:b w:val="false"/>
                <w:bCs w:val="false"/>
                <w:sz w:val="18"/>
                <w:szCs w:val="18"/>
              </w:rPr>
              <w:t xml:space="preserve">1983-95, all traffic-safety controls + unemployment</w:t>
            </w:r>
          </w:p>
        </w:tc>
        <w:tc>
          <w:tcPr>
            <w:tcW w:type="dxa" w:w="2900"/>
            <w:tcMar>
              <w:top w:type="dxa" w:w="50"/>
              <w:left w:type="dxa" w:w="90"/>
              <w:bottom w:type="dxa" w:w="50"/>
              <w:right w:type="dxa" w:w="90"/>
            </w:tcMar>
          </w:tcPr>
          <w:p>
            <w:pPr>
              <w:jc w:val="left"/>
            </w:pPr>
            <w:r>
              <w:rPr>
                <w:b w:val="false"/>
                <w:bCs w:val="false"/>
                <w:sz w:val="18"/>
                <w:szCs w:val="18"/>
              </w:rPr>
              <w:t xml:space="preserve">Impaired deaths per 100k residents (log x100)</w:t>
            </w:r>
          </w:p>
        </w:tc>
        <w:tc>
          <w:tcPr>
            <w:tcW w:type="dxa" w:w="2110"/>
            <w:tcMar>
              <w:top w:type="dxa" w:w="50"/>
              <w:left w:type="dxa" w:w="90"/>
              <w:bottom w:type="dxa" w:w="50"/>
              <w:right w:type="dxa" w:w="90"/>
            </w:tcMar>
          </w:tcPr>
          <w:p>
            <w:pPr>
              <w:jc w:val="center"/>
            </w:pPr>
            <w:r>
              <w:rPr>
                <w:b w:val="false"/>
                <w:bCs w:val="false"/>
                <w:sz w:val="18"/>
                <w:szCs w:val="18"/>
              </w:rPr>
              <w:t xml:space="preserve">+4.27 [−9.2, 16.2]</w:t>
            </w:r>
          </w:p>
        </w:tc>
        <w:tc>
          <w:tcPr>
            <w:tcW w:type="dxa" w:w="800"/>
            <w:tcMar>
              <w:top w:type="dxa" w:w="50"/>
              <w:left w:type="dxa" w:w="90"/>
              <w:bottom w:type="dxa" w:w="50"/>
              <w:right w:type="dxa" w:w="90"/>
            </w:tcMar>
          </w:tcPr>
          <w:p>
            <w:pPr>
              <w:jc w:val="center"/>
            </w:pPr>
            <w:r>
              <w:rPr>
                <w:b w:val="false"/>
                <w:bCs w:val="false"/>
                <w:sz w:val="18"/>
                <w:szCs w:val="18"/>
              </w:rPr>
              <w:t xml:space="preserve">0.61</w:t>
            </w:r>
          </w:p>
        </w:tc>
      </w:tr>
      <w:tr>
        <w:tc>
          <w:tcPr>
            <w:tcW w:type="dxa" w:w="1150"/>
            <w:tcMar>
              <w:top w:type="dxa" w:w="50"/>
              <w:left w:type="dxa" w:w="90"/>
              <w:bottom w:type="dxa" w:w="50"/>
              <w:right w:type="dxa" w:w="90"/>
            </w:tcMar>
          </w:tcPr>
          <w:p>
            <w:pPr>
              <w:jc w:val="left"/>
            </w:pPr>
            <w:r>
              <w:rPr>
                <w:b w:val="false"/>
                <w:bCs w:val="false"/>
                <w:sz w:val="18"/>
                <w:szCs w:val="18"/>
              </w:rPr>
              <w:t xml:space="preserve">Repeals</w:t>
            </w:r>
          </w:p>
        </w:tc>
        <w:tc>
          <w:tcPr>
            <w:tcW w:type="dxa" w:w="2400"/>
            <w:tcMar>
              <w:top w:type="dxa" w:w="50"/>
              <w:left w:type="dxa" w:w="90"/>
              <w:bottom w:type="dxa" w:w="50"/>
              <w:right w:type="dxa" w:w="90"/>
            </w:tcMar>
          </w:tcPr>
          <w:p>
            <w:pPr>
              <w:jc w:val="left"/>
            </w:pPr>
            <w:r>
              <w:rPr>
                <w:b w:val="false"/>
                <w:bCs w:val="false"/>
                <w:sz w:val="18"/>
                <w:szCs w:val="18"/>
              </w:rPr>
              <w:t xml:space="preserve">population-weighted</w:t>
            </w:r>
          </w:p>
        </w:tc>
        <w:tc>
          <w:tcPr>
            <w:tcW w:type="dxa" w:w="2900"/>
            <w:tcMar>
              <w:top w:type="dxa" w:w="50"/>
              <w:left w:type="dxa" w:w="90"/>
              <w:bottom w:type="dxa" w:w="50"/>
              <w:right w:type="dxa" w:w="90"/>
            </w:tcMar>
          </w:tcPr>
          <w:p>
            <w:pPr>
              <w:jc w:val="left"/>
            </w:pPr>
            <w:r>
              <w:rPr>
                <w:b w:val="false"/>
                <w:bCs w:val="false"/>
                <w:sz w:val="18"/>
                <w:szCs w:val="18"/>
              </w:rPr>
              <w:t xml:space="preserve">Impaired share (pp)</w:t>
            </w:r>
          </w:p>
        </w:tc>
        <w:tc>
          <w:tcPr>
            <w:tcW w:type="dxa" w:w="2110"/>
            <w:tcMar>
              <w:top w:type="dxa" w:w="50"/>
              <w:left w:type="dxa" w:w="90"/>
              <w:bottom w:type="dxa" w:w="50"/>
              <w:right w:type="dxa" w:w="90"/>
            </w:tcMar>
          </w:tcPr>
          <w:p>
            <w:pPr>
              <w:jc w:val="center"/>
            </w:pPr>
            <w:r>
              <w:rPr>
                <w:b w:val="false"/>
                <w:bCs w:val="false"/>
                <w:sz w:val="18"/>
                <w:szCs w:val="18"/>
              </w:rPr>
              <w:t xml:space="preserve">−0.61 [−4.8, 5.6]</w:t>
            </w:r>
          </w:p>
        </w:tc>
        <w:tc>
          <w:tcPr>
            <w:tcW w:type="dxa" w:w="800"/>
            <w:tcMar>
              <w:top w:type="dxa" w:w="50"/>
              <w:left w:type="dxa" w:w="90"/>
              <w:bottom w:type="dxa" w:w="50"/>
              <w:right w:type="dxa" w:w="90"/>
            </w:tcMar>
          </w:tcPr>
          <w:p>
            <w:pPr>
              <w:jc w:val="center"/>
            </w:pPr>
            <w:r>
              <w:rPr>
                <w:b w:val="false"/>
                <w:bCs w:val="false"/>
                <w:sz w:val="18"/>
                <w:szCs w:val="18"/>
              </w:rPr>
              <w:t xml:space="preserve">0.85</w:t>
            </w:r>
          </w:p>
        </w:tc>
      </w:tr>
      <w:tr>
        <w:tc>
          <w:tcPr>
            <w:tcW w:type="dxa" w:w="1150"/>
            <w:tcMar>
              <w:top w:type="dxa" w:w="50"/>
              <w:left w:type="dxa" w:w="90"/>
              <w:bottom w:type="dxa" w:w="50"/>
              <w:right w:type="dxa" w:w="90"/>
            </w:tcMar>
          </w:tcPr>
          <w:p>
            <w:pPr>
              <w:jc w:val="left"/>
            </w:pPr>
            <w:r>
              <w:rPr>
                <w:b w:val="false"/>
                <w:bCs w:val="false"/>
                <w:sz w:val="18"/>
                <w:szCs w:val="18"/>
              </w:rPr>
              <w:t xml:space="preserve">Repeals</w:t>
            </w:r>
          </w:p>
        </w:tc>
        <w:tc>
          <w:tcPr>
            <w:tcW w:type="dxa" w:w="2400"/>
            <w:tcMar>
              <w:top w:type="dxa" w:w="50"/>
              <w:left w:type="dxa" w:w="90"/>
              <w:bottom w:type="dxa" w:w="50"/>
              <w:right w:type="dxa" w:w="90"/>
            </w:tcMar>
          </w:tcPr>
          <w:p>
            <w:pPr>
              <w:jc w:val="left"/>
            </w:pPr>
            <w:r>
              <w:rPr>
                <w:b w:val="false"/>
                <w:bCs w:val="false"/>
                <w:sz w:val="18"/>
                <w:szCs w:val="18"/>
              </w:rPr>
              <w:t xml:space="preserve">population-weighted</w:t>
            </w:r>
          </w:p>
        </w:tc>
        <w:tc>
          <w:tcPr>
            <w:tcW w:type="dxa" w:w="2900"/>
            <w:tcMar>
              <w:top w:type="dxa" w:w="50"/>
              <w:left w:type="dxa" w:w="90"/>
              <w:bottom w:type="dxa" w:w="50"/>
              <w:right w:type="dxa" w:w="90"/>
            </w:tcMar>
          </w:tcPr>
          <w:p>
            <w:pPr>
              <w:jc w:val="left"/>
            </w:pPr>
            <w:r>
              <w:rPr>
                <w:b w:val="false"/>
                <w:bCs w:val="false"/>
                <w:sz w:val="18"/>
                <w:szCs w:val="18"/>
              </w:rPr>
              <w:t xml:space="preserve">Impaired deaths per 100k residents (log x100)</w:t>
            </w:r>
          </w:p>
        </w:tc>
        <w:tc>
          <w:tcPr>
            <w:tcW w:type="dxa" w:w="2110"/>
            <w:tcMar>
              <w:top w:type="dxa" w:w="50"/>
              <w:left w:type="dxa" w:w="90"/>
              <w:bottom w:type="dxa" w:w="50"/>
              <w:right w:type="dxa" w:w="90"/>
            </w:tcMar>
          </w:tcPr>
          <w:p>
            <w:pPr>
              <w:jc w:val="center"/>
            </w:pPr>
            <w:r>
              <w:rPr>
                <w:b w:val="false"/>
                <w:bCs w:val="false"/>
                <w:sz w:val="18"/>
                <w:szCs w:val="18"/>
              </w:rPr>
              <w:t xml:space="preserve">+3.25 [−12.6, 25.0]</w:t>
            </w:r>
          </w:p>
        </w:tc>
        <w:tc>
          <w:tcPr>
            <w:tcW w:type="dxa" w:w="800"/>
            <w:tcMar>
              <w:top w:type="dxa" w:w="50"/>
              <w:left w:type="dxa" w:w="90"/>
              <w:bottom w:type="dxa" w:w="50"/>
              <w:right w:type="dxa" w:w="90"/>
            </w:tcMar>
          </w:tcPr>
          <w:p>
            <w:pPr>
              <w:jc w:val="center"/>
            </w:pPr>
            <w:r>
              <w:rPr>
                <w:b w:val="false"/>
                <w:bCs w:val="false"/>
                <w:sz w:val="18"/>
                <w:szCs w:val="18"/>
              </w:rPr>
              <w:t xml:space="preserve">0.58</w:t>
            </w:r>
          </w:p>
        </w:tc>
      </w:tr>
      <w:tr>
        <w:tc>
          <w:tcPr>
            <w:tcW w:type="dxa" w:w="1150"/>
            <w:tcMar>
              <w:top w:type="dxa" w:w="50"/>
              <w:left w:type="dxa" w:w="90"/>
              <w:bottom w:type="dxa" w:w="50"/>
              <w:right w:type="dxa" w:w="90"/>
            </w:tcMar>
          </w:tcPr>
          <w:p>
            <w:pPr>
              <w:jc w:val="left"/>
            </w:pPr>
            <w:r>
              <w:rPr>
                <w:b w:val="false"/>
                <w:bCs w:val="false"/>
                <w:sz w:val="18"/>
                <w:szCs w:val="18"/>
              </w:rPr>
              <w:t xml:space="preserve">1980s bans</w:t>
            </w:r>
          </w:p>
        </w:tc>
        <w:tc>
          <w:tcPr>
            <w:tcW w:type="dxa" w:w="2400"/>
            <w:tcMar>
              <w:top w:type="dxa" w:w="50"/>
              <w:left w:type="dxa" w:w="90"/>
              <w:bottom w:type="dxa" w:w="50"/>
              <w:right w:type="dxa" w:w="90"/>
            </w:tcMar>
          </w:tcPr>
          <w:p>
            <w:pPr>
              <w:jc w:val="left"/>
            </w:pPr>
            <w:r>
              <w:rPr>
                <w:b w:val="false"/>
                <w:bCs w:val="false"/>
                <w:sz w:val="18"/>
                <w:szCs w:val="18"/>
              </w:rPr>
              <w:t xml:space="preserve">population-weighted</w:t>
            </w:r>
          </w:p>
        </w:tc>
        <w:tc>
          <w:tcPr>
            <w:tcW w:type="dxa" w:w="2900"/>
            <w:tcMar>
              <w:top w:type="dxa" w:w="50"/>
              <w:left w:type="dxa" w:w="90"/>
              <w:bottom w:type="dxa" w:w="50"/>
              <w:right w:type="dxa" w:w="90"/>
            </w:tcMar>
          </w:tcPr>
          <w:p>
            <w:pPr>
              <w:jc w:val="left"/>
            </w:pPr>
            <w:r>
              <w:rPr>
                <w:b w:val="false"/>
                <w:bCs w:val="false"/>
                <w:sz w:val="18"/>
                <w:szCs w:val="18"/>
              </w:rPr>
              <w:t xml:space="preserve">Impaired share (pp)</w:t>
            </w:r>
          </w:p>
        </w:tc>
        <w:tc>
          <w:tcPr>
            <w:tcW w:type="dxa" w:w="2110"/>
            <w:tcMar>
              <w:top w:type="dxa" w:w="50"/>
              <w:left w:type="dxa" w:w="90"/>
              <w:bottom w:type="dxa" w:w="50"/>
              <w:right w:type="dxa" w:w="90"/>
            </w:tcMar>
          </w:tcPr>
          <w:p>
            <w:pPr>
              <w:jc w:val="center"/>
            </w:pPr>
            <w:r>
              <w:rPr>
                <w:b w:val="false"/>
                <w:bCs w:val="false"/>
                <w:sz w:val="18"/>
                <w:szCs w:val="18"/>
              </w:rPr>
              <w:t xml:space="preserve">+0.10 [−2.8, 3.6]</w:t>
            </w:r>
          </w:p>
        </w:tc>
        <w:tc>
          <w:tcPr>
            <w:tcW w:type="dxa" w:w="800"/>
            <w:tcMar>
              <w:top w:type="dxa" w:w="50"/>
              <w:left w:type="dxa" w:w="90"/>
              <w:bottom w:type="dxa" w:w="50"/>
              <w:right w:type="dxa" w:w="90"/>
            </w:tcMar>
          </w:tcPr>
          <w:p>
            <w:pPr>
              <w:jc w:val="center"/>
            </w:pPr>
            <w:r>
              <w:rPr>
                <w:b w:val="false"/>
                <w:bCs w:val="false"/>
                <w:sz w:val="18"/>
                <w:szCs w:val="18"/>
              </w:rPr>
              <w:t xml:space="preserve">0.89</w:t>
            </w:r>
          </w:p>
        </w:tc>
      </w:tr>
      <w:tr>
        <w:tc>
          <w:tcPr>
            <w:tcW w:type="dxa" w:w="1150"/>
            <w:tcMar>
              <w:top w:type="dxa" w:w="50"/>
              <w:left w:type="dxa" w:w="90"/>
              <w:bottom w:type="dxa" w:w="50"/>
              <w:right w:type="dxa" w:w="90"/>
            </w:tcMar>
          </w:tcPr>
          <w:p>
            <w:pPr>
              <w:jc w:val="left"/>
            </w:pPr>
            <w:r>
              <w:rPr>
                <w:b w:val="false"/>
                <w:bCs w:val="false"/>
                <w:sz w:val="18"/>
                <w:szCs w:val="18"/>
              </w:rPr>
              <w:t xml:space="preserve">1980s bans</w:t>
            </w:r>
          </w:p>
        </w:tc>
        <w:tc>
          <w:tcPr>
            <w:tcW w:type="dxa" w:w="2400"/>
            <w:tcMar>
              <w:top w:type="dxa" w:w="50"/>
              <w:left w:type="dxa" w:w="90"/>
              <w:bottom w:type="dxa" w:w="50"/>
              <w:right w:type="dxa" w:w="90"/>
            </w:tcMar>
          </w:tcPr>
          <w:p>
            <w:pPr>
              <w:jc w:val="left"/>
            </w:pPr>
            <w:r>
              <w:rPr>
                <w:b w:val="false"/>
                <w:bCs w:val="false"/>
                <w:sz w:val="18"/>
                <w:szCs w:val="18"/>
              </w:rPr>
              <w:t xml:space="preserve">population-weighted</w:t>
            </w:r>
          </w:p>
        </w:tc>
        <w:tc>
          <w:tcPr>
            <w:tcW w:type="dxa" w:w="2900"/>
            <w:tcMar>
              <w:top w:type="dxa" w:w="50"/>
              <w:left w:type="dxa" w:w="90"/>
              <w:bottom w:type="dxa" w:w="50"/>
              <w:right w:type="dxa" w:w="90"/>
            </w:tcMar>
          </w:tcPr>
          <w:p>
            <w:pPr>
              <w:jc w:val="left"/>
            </w:pPr>
            <w:r>
              <w:rPr>
                <w:b w:val="false"/>
                <w:bCs w:val="false"/>
                <w:sz w:val="18"/>
                <w:szCs w:val="18"/>
              </w:rPr>
              <w:t xml:space="preserve">Impaired deaths per 100k residents (log x100)</w:t>
            </w:r>
          </w:p>
        </w:tc>
        <w:tc>
          <w:tcPr>
            <w:tcW w:type="dxa" w:w="2110"/>
            <w:tcMar>
              <w:top w:type="dxa" w:w="50"/>
              <w:left w:type="dxa" w:w="90"/>
              <w:bottom w:type="dxa" w:w="50"/>
              <w:right w:type="dxa" w:w="90"/>
            </w:tcMar>
          </w:tcPr>
          <w:p>
            <w:pPr>
              <w:jc w:val="center"/>
            </w:pPr>
            <w:r>
              <w:rPr>
                <w:b w:val="false"/>
                <w:bCs w:val="false"/>
                <w:sz w:val="18"/>
                <w:szCs w:val="18"/>
              </w:rPr>
              <w:t xml:space="preserve">+5.52 [−12.6, 16.5]</w:t>
            </w:r>
          </w:p>
        </w:tc>
        <w:tc>
          <w:tcPr>
            <w:tcW w:type="dxa" w:w="800"/>
            <w:tcMar>
              <w:top w:type="dxa" w:w="50"/>
              <w:left w:type="dxa" w:w="90"/>
              <w:bottom w:type="dxa" w:w="50"/>
              <w:right w:type="dxa" w:w="90"/>
            </w:tcMar>
          </w:tcPr>
          <w:p>
            <w:pPr>
              <w:jc w:val="center"/>
            </w:pPr>
            <w:r>
              <w:rPr>
                <w:b w:val="false"/>
                <w:bCs w:val="false"/>
                <w:sz w:val="18"/>
                <w:szCs w:val="18"/>
              </w:rPr>
              <w:t xml:space="preserve">0.79</w:t>
            </w:r>
          </w:p>
        </w:tc>
      </w:tr>
    </w:tbl>
    <w:p>
      <w:pPr>
        <w:spacing w:after="220" w:before="60"/>
      </w:pPr>
      <w:r>
        <w:rPr>
          <w:i/>
          <w:iCs/>
          <w:color w:val="444444"/>
          <w:sz w:val="17"/>
          <w:szCs w:val="17"/>
        </w:rPr>
        <w:t xml:space="preserve">Joint randomization intervals as in Table 2; population-weighted rows weight each state by its pre-change population.</w:t>
      </w:r>
    </w:p>
    <w:p>
      <w:pPr>
        <w:pStyle w:val="Heading2"/>
      </w:pPr>
      <w:r>
        <w:t xml:space="preserve">7.9 The 1980s coding and alternative codings</w:t>
      </w:r>
    </w:p>
    <w:p>
      <w:pPr>
        <w:spacing w:after="140" w:line="276"/>
      </w:pPr>
      <w:r>
        <w:t xml:space="preserve">The 1980s design rests on a law-by-law check of every state’s happy-hour history for 1980–1995, against statutes, regulations and the 1994 NHTSA digest (data/inputs/coding_1980s_verified.csv). It confirmed the adoption years of the six bans and shaped the design in three ways. First, Pennsylvania (December 1985), Connecticut (January 1986) and Virginia (about 1985) restricted drink specials themselves, and several Atlanta-area counties banned happy hours in 1985, so states with any restriction are left out of the comparison group, while Delaware and Utah, which had no statewide law in the period, are included. Second, Rhode Island’s 1985 law was a partial restriction: the state supreme court described it that year as banning multi-drink price inducements and happy-hour advertising, not single-drink discounts. Third, the laws differ in strength. The check classes Kansas, Indiana and Rhode Island as partial restrictions, but by the standard it applies to North Carolina (time-limited price cuts banned, full-day specials allowed) Indiana’s statute is a ban, and Kansas’s covered every on-premise licensee then licensed, so the main design treats six states as bans. Vermont’s adoption date remains unverified (1985 or 1986).</w:t>
      </w:r>
    </w:p>
    <w:p>
      <w:pPr>
        <w:spacing w:after="140" w:line="276"/>
      </w:pPr>
      <w:r>
        <w:t xml:space="preserve">Table 13 compares alternative codings against the same 29-state comparison group. Keeping only the four laws the check classes as strict bans gives −0.5 points on the impaired share (p = 0.64), counting Rhode Island as a seventh ban gives +0.4 (p = 0.98), and moving Vermont to 1986 or adding Alaska’s 1986 ban changes little. The net evening test points the way a working ban would in every ban coding, but as in the main design it is not matched by any change in the impaired share, and it weakens with Alaska included.</w:t>
      </w:r>
    </w:p>
    <w:p>
      <w:pPr>
        <w:spacing w:after="140" w:line="276"/>
      </w:pPr>
      <w:r>
        <w:t xml:space="preserve">One result is a genuine surprise. The nine partial restrictions (Pennsylvania, Connecticut, Virginia, Maine, Texas, Washington, Michigan, Ohio and Rhode Island) are followed by a drop in the impaired share of 3.0 points (95% interval −5.9 to −0.6, p = 0.02). It survives traffic-safety and unemployment controls (−2.8 points) and dropping any single uncertain state, and it is negative in eight of the nine states. It is still hard to read as a happy-hour effect: the stronger laws show nothing, there is no evening timing signature (+1, p = 0.70), Maine and Ohio contribute the largest drops, and it is one of many estimates in this paper. Follow-up research supports reading it as a confound. Maine adopted immediate license suspension in 1984 and in August 1988 lowered its BAC limit to .08, and to .05 for convicted offenders; Cohen and Einav’s panel independently dates Maine’s .08 law to 1988. Ohio’s substantive rule dates to April 15, 1988 (its official rule history lists no earlier version; before then Ohio restricted only drink-price advertising), and Ohio adopted immediate license suspension in September 1993. Without Maine and Ohio, the estimate falls to −1.4 points (p = 0.30), and cutting their post-periods before those laws leaves −2.4 (p = 0.05), with Maine’s 1984 suspension law still inside that window. The result rests on two states with confounding laws, so it is not a finding.</w:t>
      </w:r>
    </w:p>
    <w:p>
      <w:pPr>
        <w:keepNext/>
        <w:spacing w:after="80" w:before="200"/>
      </w:pPr>
      <w:r>
        <w:rPr>
          <w:b/>
          <w:bCs/>
          <w:sz w:val="20"/>
          <w:szCs w:val="20"/>
        </w:rPr>
        <w:t xml:space="preserve">Table 13. Alternative 1980s codings, same comparison group: estimate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1600"/>
        <w:gridCol w:w="1600"/>
        <w:gridCol w:w="1600"/>
      </w:tblGrid>
      <w:tr>
        <w:trPr>
          <w:tblHeader/>
        </w:trPr>
        <w:tc>
          <w:tcPr>
            <w:tcW w:type="dxa" w:w="2960"/>
            <w:shd w:fill="DCE6F1" w:color="auto" w:val="clear"/>
            <w:tcMar>
              <w:top w:type="dxa" w:w="50"/>
              <w:left w:type="dxa" w:w="90"/>
              <w:bottom w:type="dxa" w:w="50"/>
              <w:right w:type="dxa" w:w="90"/>
            </w:tcMar>
          </w:tcPr>
          <w:p>
            <w:pPr>
              <w:jc w:val="left"/>
            </w:pPr>
            <w:r>
              <w:rPr>
                <w:b/>
                <w:bCs/>
                <w:sz w:val="18"/>
                <w:szCs w:val="18"/>
              </w:rPr>
              <w:t xml:space="preserve">Treated states</w:t>
            </w:r>
          </w:p>
        </w:tc>
        <w:tc>
          <w:tcPr>
            <w:tcW w:type="dxa" w:w="1600"/>
            <w:shd w:fill="DCE6F1" w:color="auto" w:val="clear"/>
            <w:tcMar>
              <w:top w:type="dxa" w:w="50"/>
              <w:left w:type="dxa" w:w="90"/>
              <w:bottom w:type="dxa" w:w="50"/>
              <w:right w:type="dxa" w:w="90"/>
            </w:tcMar>
          </w:tcPr>
          <w:p>
            <w:pPr>
              <w:jc w:val="center"/>
            </w:pPr>
            <w:r>
              <w:rPr>
                <w:b/>
                <w:bCs/>
                <w:sz w:val="18"/>
                <w:szCs w:val="18"/>
              </w:rPr>
              <w:t xml:space="preserve">Impaired share (pp)</w:t>
            </w:r>
          </w:p>
        </w:tc>
        <w:tc>
          <w:tcPr>
            <w:tcW w:type="dxa" w:w="1600"/>
            <w:shd w:fill="DCE6F1" w:color="auto" w:val="clear"/>
            <w:tcMar>
              <w:top w:type="dxa" w:w="50"/>
              <w:left w:type="dxa" w:w="90"/>
              <w:bottom w:type="dxa" w:w="50"/>
              <w:right w:type="dxa" w:w="90"/>
            </w:tcMar>
          </w:tcPr>
          <w:p>
            <w:pPr>
              <w:jc w:val="center"/>
            </w:pPr>
            <w:r>
              <w:rPr>
                <w:b/>
                <w:bCs/>
                <w:sz w:val="18"/>
                <w:szCs w:val="18"/>
              </w:rPr>
              <w:t xml:space="preserve">Log odds (x100)</w:t>
            </w:r>
          </w:p>
        </w:tc>
        <w:tc>
          <w:tcPr>
            <w:tcW w:type="dxa" w:w="1600"/>
            <w:shd w:fill="DCE6F1" w:color="auto" w:val="clear"/>
            <w:tcMar>
              <w:top w:type="dxa" w:w="50"/>
              <w:left w:type="dxa" w:w="90"/>
              <w:bottom w:type="dxa" w:w="50"/>
              <w:right w:type="dxa" w:w="90"/>
            </w:tcMar>
          </w:tcPr>
          <w:p>
            <w:pPr>
              <w:jc w:val="center"/>
            </w:pPr>
            <w:r>
              <w:rPr>
                <w:b/>
                <w:bCs/>
                <w:sz w:val="18"/>
                <w:szCs w:val="18"/>
              </w:rPr>
              <w:t xml:space="preserve">Per 100k (log x100)</w:t>
            </w:r>
          </w:p>
        </w:tc>
        <w:tc>
          <w:tcPr>
            <w:tcW w:type="dxa" w:w="1600"/>
            <w:shd w:fill="DCE6F1" w:color="auto" w:val="clear"/>
            <w:tcMar>
              <w:top w:type="dxa" w:w="50"/>
              <w:left w:type="dxa" w:w="90"/>
              <w:bottom w:type="dxa" w:w="50"/>
              <w:right w:type="dxa" w:w="90"/>
            </w:tcMar>
          </w:tcPr>
          <w:p>
            <w:pPr>
              <w:jc w:val="center"/>
            </w:pPr>
            <w:r>
              <w:rPr>
                <w:b/>
                <w:bCs/>
                <w:sz w:val="18"/>
                <w:szCs w:val="18"/>
              </w:rPr>
              <w:t xml:space="preserve">Net evening test (x100)</w:t>
            </w:r>
          </w:p>
        </w:tc>
      </w:tr>
      <w:tr>
        <w:tc>
          <w:tcPr>
            <w:tcW w:type="dxa" w:w="2960"/>
            <w:tcMar>
              <w:top w:type="dxa" w:w="50"/>
              <w:left w:type="dxa" w:w="90"/>
              <w:bottom w:type="dxa" w:w="50"/>
              <w:right w:type="dxa" w:w="90"/>
            </w:tcMar>
          </w:tcPr>
          <w:p>
            <w:pPr>
              <w:jc w:val="left"/>
            </w:pPr>
            <w:r>
              <w:rPr>
                <w:b w:val="false"/>
                <w:bCs w:val="false"/>
                <w:sz w:val="18"/>
                <w:szCs w:val="18"/>
              </w:rPr>
              <w:t xml:space="preserve">Six bans (main design)</w:t>
            </w:r>
          </w:p>
        </w:tc>
        <w:tc>
          <w:tcPr>
            <w:tcW w:type="dxa" w:w="1600"/>
            <w:tcMar>
              <w:top w:type="dxa" w:w="50"/>
              <w:left w:type="dxa" w:w="90"/>
              <w:bottom w:type="dxa" w:w="50"/>
              <w:right w:type="dxa" w:w="90"/>
            </w:tcMar>
          </w:tcPr>
          <w:p>
            <w:pPr>
              <w:jc w:val="center"/>
            </w:pPr>
            <w:r>
              <w:rPr>
                <w:b w:val="false"/>
                <w:bCs w:val="false"/>
                <w:sz w:val="18"/>
                <w:szCs w:val="18"/>
              </w:rPr>
              <w:t xml:space="preserve">+0.78 (0.64)</w:t>
            </w:r>
          </w:p>
        </w:tc>
        <w:tc>
          <w:tcPr>
            <w:tcW w:type="dxa" w:w="1600"/>
            <w:tcMar>
              <w:top w:type="dxa" w:w="50"/>
              <w:left w:type="dxa" w:w="90"/>
              <w:bottom w:type="dxa" w:w="50"/>
              <w:right w:type="dxa" w:w="90"/>
            </w:tcMar>
          </w:tcPr>
          <w:p>
            <w:pPr>
              <w:jc w:val="center"/>
            </w:pPr>
            <w:r>
              <w:rPr>
                <w:b w:val="false"/>
                <w:bCs w:val="false"/>
                <w:sz w:val="18"/>
                <w:szCs w:val="18"/>
              </w:rPr>
              <w:t xml:space="preserve">+3.55 (0.61)</w:t>
            </w:r>
          </w:p>
        </w:tc>
        <w:tc>
          <w:tcPr>
            <w:tcW w:type="dxa" w:w="1600"/>
            <w:tcMar>
              <w:top w:type="dxa" w:w="50"/>
              <w:left w:type="dxa" w:w="90"/>
              <w:bottom w:type="dxa" w:w="50"/>
              <w:right w:type="dxa" w:w="90"/>
            </w:tcMar>
          </w:tcPr>
          <w:p>
            <w:pPr>
              <w:jc w:val="center"/>
            </w:pPr>
            <w:r>
              <w:rPr>
                <w:b w:val="false"/>
                <w:bCs w:val="false"/>
                <w:sz w:val="18"/>
                <w:szCs w:val="18"/>
              </w:rPr>
              <w:t xml:space="preserve">+5.95 (0.58)</w:t>
            </w:r>
          </w:p>
        </w:tc>
        <w:tc>
          <w:tcPr>
            <w:tcW w:type="dxa" w:w="1600"/>
            <w:tcMar>
              <w:top w:type="dxa" w:w="50"/>
              <w:left w:type="dxa" w:w="90"/>
              <w:bottom w:type="dxa" w:w="50"/>
              <w:right w:type="dxa" w:w="90"/>
            </w:tcMar>
          </w:tcPr>
          <w:p>
            <w:pPr>
              <w:jc w:val="center"/>
            </w:pPr>
            <w:r>
              <w:rPr>
                <w:b w:val="false"/>
                <w:bCs w:val="false"/>
                <w:sz w:val="18"/>
                <w:szCs w:val="18"/>
              </w:rPr>
              <w:t xml:space="preserve">−19.62 (0.05)</w:t>
            </w:r>
          </w:p>
        </w:tc>
      </w:tr>
      <w:tr>
        <w:tc>
          <w:tcPr>
            <w:tcW w:type="dxa" w:w="2960"/>
            <w:tcMar>
              <w:top w:type="dxa" w:w="50"/>
              <w:left w:type="dxa" w:w="90"/>
              <w:bottom w:type="dxa" w:w="50"/>
              <w:right w:type="dxa" w:w="90"/>
            </w:tcMar>
          </w:tcPr>
          <w:p>
            <w:pPr>
              <w:jc w:val="left"/>
            </w:pPr>
            <w:r>
              <w:rPr>
                <w:b w:val="false"/>
                <w:bCs w:val="false"/>
                <w:sz w:val="18"/>
                <w:szCs w:val="18"/>
              </w:rPr>
              <w:t xml:space="preserve">Four strict bans only (MA, NC, VT, IL)</w:t>
            </w:r>
          </w:p>
        </w:tc>
        <w:tc>
          <w:tcPr>
            <w:tcW w:type="dxa" w:w="1600"/>
            <w:tcMar>
              <w:top w:type="dxa" w:w="50"/>
              <w:left w:type="dxa" w:w="90"/>
              <w:bottom w:type="dxa" w:w="50"/>
              <w:right w:type="dxa" w:w="90"/>
            </w:tcMar>
          </w:tcPr>
          <w:p>
            <w:pPr>
              <w:jc w:val="center"/>
            </w:pPr>
            <w:r>
              <w:rPr>
                <w:b w:val="false"/>
                <w:bCs w:val="false"/>
                <w:sz w:val="18"/>
                <w:szCs w:val="18"/>
              </w:rPr>
              <w:t xml:space="preserve">−0.54 (0.64)</w:t>
            </w:r>
          </w:p>
        </w:tc>
        <w:tc>
          <w:tcPr>
            <w:tcW w:type="dxa" w:w="1600"/>
            <w:tcMar>
              <w:top w:type="dxa" w:w="50"/>
              <w:left w:type="dxa" w:w="90"/>
              <w:bottom w:type="dxa" w:w="50"/>
              <w:right w:type="dxa" w:w="90"/>
            </w:tcMar>
          </w:tcPr>
          <w:p>
            <w:pPr>
              <w:jc w:val="center"/>
            </w:pPr>
            <w:r>
              <w:rPr>
                <w:b w:val="false"/>
                <w:bCs w:val="false"/>
                <w:sz w:val="18"/>
                <w:szCs w:val="18"/>
              </w:rPr>
              <w:t xml:space="preserve">−1.89 (0.70)</w:t>
            </w:r>
          </w:p>
        </w:tc>
        <w:tc>
          <w:tcPr>
            <w:tcW w:type="dxa" w:w="1600"/>
            <w:tcMar>
              <w:top w:type="dxa" w:w="50"/>
              <w:left w:type="dxa" w:w="90"/>
              <w:bottom w:type="dxa" w:w="50"/>
              <w:right w:type="dxa" w:w="90"/>
            </w:tcMar>
          </w:tcPr>
          <w:p>
            <w:pPr>
              <w:jc w:val="center"/>
            </w:pPr>
            <w:r>
              <w:rPr>
                <w:b w:val="false"/>
                <w:bCs w:val="false"/>
                <w:sz w:val="18"/>
                <w:szCs w:val="18"/>
              </w:rPr>
              <w:t xml:space="preserve">+2.99 (0.91)</w:t>
            </w:r>
          </w:p>
        </w:tc>
        <w:tc>
          <w:tcPr>
            <w:tcW w:type="dxa" w:w="1600"/>
            <w:tcMar>
              <w:top w:type="dxa" w:w="50"/>
              <w:left w:type="dxa" w:w="90"/>
              <w:bottom w:type="dxa" w:w="50"/>
              <w:right w:type="dxa" w:w="90"/>
            </w:tcMar>
          </w:tcPr>
          <w:p>
            <w:pPr>
              <w:jc w:val="center"/>
            </w:pPr>
            <w:r>
              <w:rPr>
                <w:b w:val="false"/>
                <w:bCs w:val="false"/>
                <w:sz w:val="18"/>
                <w:szCs w:val="18"/>
              </w:rPr>
              <w:t xml:space="preserve">−26.82 (0.05)</w:t>
            </w:r>
          </w:p>
        </w:tc>
      </w:tr>
      <w:tr>
        <w:tc>
          <w:tcPr>
            <w:tcW w:type="dxa" w:w="2960"/>
            <w:tcMar>
              <w:top w:type="dxa" w:w="50"/>
              <w:left w:type="dxa" w:w="90"/>
              <w:bottom w:type="dxa" w:w="50"/>
              <w:right w:type="dxa" w:w="90"/>
            </w:tcMar>
          </w:tcPr>
          <w:p>
            <w:pPr>
              <w:jc w:val="left"/>
            </w:pPr>
            <w:r>
              <w:rPr>
                <w:b w:val="false"/>
                <w:bCs w:val="false"/>
                <w:sz w:val="18"/>
                <w:szCs w:val="18"/>
              </w:rPr>
              <w:t xml:space="preserve">Six bans plus Rhode Island</w:t>
            </w:r>
          </w:p>
        </w:tc>
        <w:tc>
          <w:tcPr>
            <w:tcW w:type="dxa" w:w="1600"/>
            <w:tcMar>
              <w:top w:type="dxa" w:w="50"/>
              <w:left w:type="dxa" w:w="90"/>
              <w:bottom w:type="dxa" w:w="50"/>
              <w:right w:type="dxa" w:w="90"/>
            </w:tcMar>
          </w:tcPr>
          <w:p>
            <w:pPr>
              <w:jc w:val="center"/>
            </w:pPr>
            <w:r>
              <w:rPr>
                <w:b w:val="false"/>
                <w:bCs w:val="false"/>
                <w:sz w:val="18"/>
                <w:szCs w:val="18"/>
              </w:rPr>
              <w:t xml:space="preserve">+0.40 (0.98)</w:t>
            </w:r>
          </w:p>
        </w:tc>
        <w:tc>
          <w:tcPr>
            <w:tcW w:type="dxa" w:w="1600"/>
            <w:tcMar>
              <w:top w:type="dxa" w:w="50"/>
              <w:left w:type="dxa" w:w="90"/>
              <w:bottom w:type="dxa" w:w="50"/>
              <w:right w:type="dxa" w:w="90"/>
            </w:tcMar>
          </w:tcPr>
          <w:p>
            <w:pPr>
              <w:jc w:val="center"/>
            </w:pPr>
            <w:r>
              <w:rPr>
                <w:b w:val="false"/>
                <w:bCs w:val="false"/>
                <w:sz w:val="18"/>
                <w:szCs w:val="18"/>
              </w:rPr>
              <w:t xml:space="preserve">+2.01 (0.94)</w:t>
            </w:r>
          </w:p>
        </w:tc>
        <w:tc>
          <w:tcPr>
            <w:tcW w:type="dxa" w:w="1600"/>
            <w:tcMar>
              <w:top w:type="dxa" w:w="50"/>
              <w:left w:type="dxa" w:w="90"/>
              <w:bottom w:type="dxa" w:w="50"/>
              <w:right w:type="dxa" w:w="90"/>
            </w:tcMar>
          </w:tcPr>
          <w:p>
            <w:pPr>
              <w:jc w:val="center"/>
            </w:pPr>
            <w:r>
              <w:rPr>
                <w:b w:val="false"/>
                <w:bCs w:val="false"/>
                <w:sz w:val="18"/>
                <w:szCs w:val="18"/>
              </w:rPr>
              <w:t xml:space="preserve">+5.94 (0.47)</w:t>
            </w:r>
          </w:p>
        </w:tc>
        <w:tc>
          <w:tcPr>
            <w:tcW w:type="dxa" w:w="1600"/>
            <w:tcMar>
              <w:top w:type="dxa" w:w="50"/>
              <w:left w:type="dxa" w:w="90"/>
              <w:bottom w:type="dxa" w:w="50"/>
              <w:right w:type="dxa" w:w="90"/>
            </w:tcMar>
          </w:tcPr>
          <w:p>
            <w:pPr>
              <w:jc w:val="center"/>
            </w:pPr>
            <w:r>
              <w:rPr>
                <w:b w:val="false"/>
                <w:bCs w:val="false"/>
                <w:sz w:val="18"/>
                <w:szCs w:val="18"/>
              </w:rPr>
              <w:t xml:space="preserve">−16.82 (0.24)</w:t>
            </w:r>
          </w:p>
        </w:tc>
      </w:tr>
      <w:tr>
        <w:tc>
          <w:tcPr>
            <w:tcW w:type="dxa" w:w="2960"/>
            <w:tcMar>
              <w:top w:type="dxa" w:w="50"/>
              <w:left w:type="dxa" w:w="90"/>
              <w:bottom w:type="dxa" w:w="50"/>
              <w:right w:type="dxa" w:w="90"/>
            </w:tcMar>
          </w:tcPr>
          <w:p>
            <w:pPr>
              <w:jc w:val="left"/>
            </w:pPr>
            <w:r>
              <w:rPr>
                <w:b w:val="false"/>
                <w:bCs w:val="false"/>
                <w:sz w:val="18"/>
                <w:szCs w:val="18"/>
              </w:rPr>
              <w:t xml:space="preserve">Six bans, Vermont dated 1986</w:t>
            </w:r>
          </w:p>
        </w:tc>
        <w:tc>
          <w:tcPr>
            <w:tcW w:type="dxa" w:w="1600"/>
            <w:tcMar>
              <w:top w:type="dxa" w:w="50"/>
              <w:left w:type="dxa" w:w="90"/>
              <w:bottom w:type="dxa" w:w="50"/>
              <w:right w:type="dxa" w:w="90"/>
            </w:tcMar>
          </w:tcPr>
          <w:p>
            <w:pPr>
              <w:jc w:val="center"/>
            </w:pPr>
            <w:r>
              <w:rPr>
                <w:b w:val="false"/>
                <w:bCs w:val="false"/>
                <w:sz w:val="18"/>
                <w:szCs w:val="18"/>
              </w:rPr>
              <w:t xml:space="preserve">+0.78 (0.58)</w:t>
            </w:r>
          </w:p>
        </w:tc>
        <w:tc>
          <w:tcPr>
            <w:tcW w:type="dxa" w:w="1600"/>
            <w:tcMar>
              <w:top w:type="dxa" w:w="50"/>
              <w:left w:type="dxa" w:w="90"/>
              <w:bottom w:type="dxa" w:w="50"/>
              <w:right w:type="dxa" w:w="90"/>
            </w:tcMar>
          </w:tcPr>
          <w:p>
            <w:pPr>
              <w:jc w:val="center"/>
            </w:pPr>
            <w:r>
              <w:rPr>
                <w:b w:val="false"/>
                <w:bCs w:val="false"/>
                <w:sz w:val="18"/>
                <w:szCs w:val="18"/>
              </w:rPr>
              <w:t xml:space="preserve">+3.54 (0.55)</w:t>
            </w:r>
          </w:p>
        </w:tc>
        <w:tc>
          <w:tcPr>
            <w:tcW w:type="dxa" w:w="1600"/>
            <w:tcMar>
              <w:top w:type="dxa" w:w="50"/>
              <w:left w:type="dxa" w:w="90"/>
              <w:bottom w:type="dxa" w:w="50"/>
              <w:right w:type="dxa" w:w="90"/>
            </w:tcMar>
          </w:tcPr>
          <w:p>
            <w:pPr>
              <w:jc w:val="center"/>
            </w:pPr>
            <w:r>
              <w:rPr>
                <w:b w:val="false"/>
                <w:bCs w:val="false"/>
                <w:sz w:val="18"/>
                <w:szCs w:val="18"/>
              </w:rPr>
              <w:t xml:space="preserve">+5.24 (0.70)</w:t>
            </w:r>
          </w:p>
        </w:tc>
        <w:tc>
          <w:tcPr>
            <w:tcW w:type="dxa" w:w="1600"/>
            <w:tcMar>
              <w:top w:type="dxa" w:w="50"/>
              <w:left w:type="dxa" w:w="90"/>
              <w:bottom w:type="dxa" w:w="50"/>
              <w:right w:type="dxa" w:w="90"/>
            </w:tcMar>
          </w:tcPr>
          <w:p>
            <w:pPr>
              <w:jc w:val="center"/>
            </w:pPr>
            <w:r>
              <w:rPr>
                <w:b w:val="false"/>
                <w:bCs w:val="false"/>
                <w:sz w:val="18"/>
                <w:szCs w:val="18"/>
              </w:rPr>
              <w:t xml:space="preserve">−18.33 (0.10)</w:t>
            </w:r>
          </w:p>
        </w:tc>
      </w:tr>
      <w:tr>
        <w:tc>
          <w:tcPr>
            <w:tcW w:type="dxa" w:w="2960"/>
            <w:tcMar>
              <w:top w:type="dxa" w:w="50"/>
              <w:left w:type="dxa" w:w="90"/>
              <w:bottom w:type="dxa" w:w="50"/>
              <w:right w:type="dxa" w:w="90"/>
            </w:tcMar>
          </w:tcPr>
          <w:p>
            <w:pPr>
              <w:jc w:val="left"/>
            </w:pPr>
            <w:r>
              <w:rPr>
                <w:b w:val="false"/>
                <w:bCs w:val="false"/>
                <w:sz w:val="18"/>
                <w:szCs w:val="18"/>
              </w:rPr>
              <w:t xml:space="preserve">Six bans plus Alaska (1983–95)</w:t>
            </w:r>
          </w:p>
        </w:tc>
        <w:tc>
          <w:tcPr>
            <w:tcW w:type="dxa" w:w="1600"/>
            <w:tcMar>
              <w:top w:type="dxa" w:w="50"/>
              <w:left w:type="dxa" w:w="90"/>
              <w:bottom w:type="dxa" w:w="50"/>
              <w:right w:type="dxa" w:w="90"/>
            </w:tcMar>
          </w:tcPr>
          <w:p>
            <w:pPr>
              <w:jc w:val="center"/>
            </w:pPr>
            <w:r>
              <w:rPr>
                <w:b w:val="false"/>
                <w:bCs w:val="false"/>
                <w:sz w:val="18"/>
                <w:szCs w:val="18"/>
              </w:rPr>
              <w:t xml:space="preserve">−0.08 (0.81)</w:t>
            </w:r>
          </w:p>
        </w:tc>
        <w:tc>
          <w:tcPr>
            <w:tcW w:type="dxa" w:w="1600"/>
            <w:tcMar>
              <w:top w:type="dxa" w:w="50"/>
              <w:left w:type="dxa" w:w="90"/>
              <w:bottom w:type="dxa" w:w="50"/>
              <w:right w:type="dxa" w:w="90"/>
            </w:tcMar>
          </w:tcPr>
          <w:p>
            <w:pPr>
              <w:jc w:val="center"/>
            </w:pPr>
            <w:r>
              <w:rPr>
                <w:b w:val="false"/>
                <w:bCs w:val="false"/>
                <w:sz w:val="18"/>
                <w:szCs w:val="18"/>
              </w:rPr>
              <w:t xml:space="preserve">−0.01 (0.83)</w:t>
            </w:r>
          </w:p>
        </w:tc>
        <w:tc>
          <w:tcPr>
            <w:tcW w:type="dxa" w:w="1600"/>
            <w:tcMar>
              <w:top w:type="dxa" w:w="50"/>
              <w:left w:type="dxa" w:w="90"/>
              <w:bottom w:type="dxa" w:w="50"/>
              <w:right w:type="dxa" w:w="90"/>
            </w:tcMar>
          </w:tcPr>
          <w:p>
            <w:pPr>
              <w:jc w:val="center"/>
            </w:pPr>
            <w:r>
              <w:rPr>
                <w:b w:val="false"/>
                <w:bCs w:val="false"/>
                <w:sz w:val="18"/>
                <w:szCs w:val="18"/>
              </w:rPr>
              <w:t xml:space="preserve">−3.07 (0.49)</w:t>
            </w:r>
          </w:p>
        </w:tc>
        <w:tc>
          <w:tcPr>
            <w:tcW w:type="dxa" w:w="1600"/>
            <w:tcMar>
              <w:top w:type="dxa" w:w="50"/>
              <w:left w:type="dxa" w:w="90"/>
              <w:bottom w:type="dxa" w:w="50"/>
              <w:right w:type="dxa" w:w="90"/>
            </w:tcMar>
          </w:tcPr>
          <w:p>
            <w:pPr>
              <w:jc w:val="center"/>
            </w:pPr>
            <w:r>
              <w:rPr>
                <w:b w:val="false"/>
                <w:bCs w:val="false"/>
                <w:sz w:val="18"/>
                <w:szCs w:val="18"/>
              </w:rPr>
              <w:t xml:space="preserve">−16.14 (0.25)</w:t>
            </w:r>
          </w:p>
        </w:tc>
      </w:tr>
      <w:tr>
        <w:tc>
          <w:tcPr>
            <w:tcW w:type="dxa" w:w="2960"/>
            <w:tcMar>
              <w:top w:type="dxa" w:w="50"/>
              <w:left w:type="dxa" w:w="90"/>
              <w:bottom w:type="dxa" w:w="50"/>
              <w:right w:type="dxa" w:w="90"/>
            </w:tcMar>
          </w:tcPr>
          <w:p>
            <w:pPr>
              <w:jc w:val="left"/>
            </w:pPr>
            <w:r>
              <w:rPr>
                <w:b w:val="false"/>
                <w:bCs w:val="false"/>
                <w:sz w:val="18"/>
                <w:szCs w:val="18"/>
              </w:rPr>
              <w:t xml:space="preserve">Nine partial restrictions</w:t>
            </w:r>
          </w:p>
        </w:tc>
        <w:tc>
          <w:tcPr>
            <w:tcW w:type="dxa" w:w="1600"/>
            <w:tcMar>
              <w:top w:type="dxa" w:w="50"/>
              <w:left w:type="dxa" w:w="90"/>
              <w:bottom w:type="dxa" w:w="50"/>
              <w:right w:type="dxa" w:w="90"/>
            </w:tcMar>
          </w:tcPr>
          <w:p>
            <w:pPr>
              <w:jc w:val="center"/>
            </w:pPr>
            <w:r>
              <w:rPr>
                <w:b w:val="false"/>
                <w:bCs w:val="false"/>
                <w:sz w:val="18"/>
                <w:szCs w:val="18"/>
              </w:rPr>
              <w:t xml:space="preserve">−3.01 (0.02)</w:t>
            </w:r>
          </w:p>
        </w:tc>
        <w:tc>
          <w:tcPr>
            <w:tcW w:type="dxa" w:w="1600"/>
            <w:tcMar>
              <w:top w:type="dxa" w:w="50"/>
              <w:left w:type="dxa" w:w="90"/>
              <w:bottom w:type="dxa" w:w="50"/>
              <w:right w:type="dxa" w:w="90"/>
            </w:tcMar>
          </w:tcPr>
          <w:p>
            <w:pPr>
              <w:jc w:val="center"/>
            </w:pPr>
            <w:r>
              <w:rPr>
                <w:b w:val="false"/>
                <w:bCs w:val="false"/>
                <w:sz w:val="18"/>
                <w:szCs w:val="18"/>
              </w:rPr>
              <w:t xml:space="preserve">−11.99 (0.02)</w:t>
            </w:r>
          </w:p>
        </w:tc>
        <w:tc>
          <w:tcPr>
            <w:tcW w:type="dxa" w:w="1600"/>
            <w:tcMar>
              <w:top w:type="dxa" w:w="50"/>
              <w:left w:type="dxa" w:w="90"/>
              <w:bottom w:type="dxa" w:w="50"/>
              <w:right w:type="dxa" w:w="90"/>
            </w:tcMar>
          </w:tcPr>
          <w:p>
            <w:pPr>
              <w:jc w:val="center"/>
            </w:pPr>
            <w:r>
              <w:rPr>
                <w:b w:val="false"/>
                <w:bCs w:val="false"/>
                <w:sz w:val="18"/>
                <w:szCs w:val="18"/>
              </w:rPr>
              <w:t xml:space="preserve">−5.66 (0.16)</w:t>
            </w:r>
          </w:p>
        </w:tc>
        <w:tc>
          <w:tcPr>
            <w:tcW w:type="dxa" w:w="1600"/>
            <w:tcMar>
              <w:top w:type="dxa" w:w="50"/>
              <w:left w:type="dxa" w:w="90"/>
              <w:bottom w:type="dxa" w:w="50"/>
              <w:right w:type="dxa" w:w="90"/>
            </w:tcMar>
          </w:tcPr>
          <w:p>
            <w:pPr>
              <w:jc w:val="center"/>
            </w:pPr>
            <w:r>
              <w:rPr>
                <w:b w:val="false"/>
                <w:bCs w:val="false"/>
                <w:sz w:val="18"/>
                <w:szCs w:val="18"/>
              </w:rPr>
              <w:t xml:space="preserve">+1.49 (0.70)</w:t>
            </w:r>
          </w:p>
        </w:tc>
      </w:tr>
    </w:tbl>
    <w:p>
      <w:pPr>
        <w:spacing w:after="220" w:before="60"/>
      </w:pPr>
      <w:r>
        <w:rPr>
          <w:i/>
          <w:iCs/>
          <w:color w:val="444444"/>
          <w:sz w:val="17"/>
          <w:szCs w:val="17"/>
        </w:rPr>
        <w:t xml:space="preserve">Joint randomization p-values in parentheses. Each row uses its own randomization draws, so p-values for the main-design row can differ slightly from Table 2.</w:t>
      </w:r>
    </w:p>
    <w:p>
      <w:pPr>
        <w:pStyle w:val="Heading1"/>
      </w:pPr>
      <w:r>
        <w:t xml:space="preserve">8. Limitations</w:t>
      </w:r>
    </w:p>
    <w:p>
      <w:pPr>
        <w:pStyle w:val="ListParagraph"/>
        <w:numPr>
          <w:ilvl w:val="0"/>
          <w:numId w:val="2"/>
        </w:numPr>
        <w:spacing w:after="90" w:line="264"/>
      </w:pPr>
      <w:r>
        <w:rPr>
          <w:b/>
          <w:bCs/>
        </w:rPr>
        <w:t xml:space="preserve">Imputed BACs. </w:t>
      </w:r>
      <w:r>
        <w:t xml:space="preserve">NHTSA imputes missing BACs partly from crash characteristics, including time of day. That pulls untested drivers toward national time-of-day patterns and biases the evening-versus-night tests toward zero. BAC testing rates were also much lower in the 1980s. The 1980s timing shift, however, also appears in all deaths, which use no BAC data (Section 7.7).</w:t>
      </w:r>
    </w:p>
    <w:p>
      <w:pPr>
        <w:pStyle w:val="ListParagraph"/>
        <w:numPr>
          <w:ilvl w:val="0"/>
          <w:numId w:val="2"/>
        </w:numPr>
        <w:spacing w:after="90" w:line="264"/>
      </w:pPr>
      <w:r>
        <w:rPr>
          <w:b/>
          <w:bCs/>
        </w:rPr>
        <w:t xml:space="preserve">1980s coding. </w:t>
      </w:r>
      <w:r>
        <w:t xml:space="preserve">Dates are verified law by law (Section 7.9), but Vermont’s adoption year, the exact days for several states and the adoption date of Rhode Island’s broader price regulation remain unconfirmed, and the line between a ban and a restriction is a judgment call for Kansas and Indiana. Shifting any one date by a year leaves the impaired-share result intact.</w:t>
      </w:r>
    </w:p>
    <w:p>
      <w:pPr>
        <w:pStyle w:val="ListParagraph"/>
        <w:numPr>
          <w:ilvl w:val="0"/>
          <w:numId w:val="2"/>
        </w:numPr>
        <w:spacing w:after="90" w:line="264"/>
      </w:pPr>
      <w:r>
        <w:rPr>
          <w:b/>
          <w:bCs/>
        </w:rPr>
        <w:t xml:space="preserve">Bundled reforms. </w:t>
      </w:r>
      <w:r>
        <w:t xml:space="preserve">Kansas’s 2012 repeal came in a broad liquor bill; Indiana’s adds an insurance mandate and to-go cocktails; Oklahoma’s took effect the same day as State Question 792’s liquor modernization.</w:t>
      </w:r>
    </w:p>
    <w:p>
      <w:pPr>
        <w:pStyle w:val="ListParagraph"/>
        <w:numPr>
          <w:ilvl w:val="0"/>
          <w:numId w:val="2"/>
        </w:numPr>
        <w:spacing w:after="90" w:line="264"/>
      </w:pPr>
      <w:r>
        <w:rPr>
          <w:b/>
          <w:bCs/>
        </w:rPr>
        <w:t xml:space="preserve">Few treated units. </w:t>
      </w:r>
      <w:r>
        <w:t xml:space="preserve">Randomization inference assumes similar-size states are exchangeable; in simulations the joint test rejected true nulls 7% (modern) and 8% (1980s) of the time at the 5% level, and the 1980s design has less power than its reported minimum detectable effect implies. The COVID years and the newest file (2024) add noise; Kansas and Oklahoma both jump 7–10 points in 2024, and dropping 2024 does not change the results.</w:t>
      </w:r>
    </w:p>
    <w:p>
      <w:pPr>
        <w:pStyle w:val="ListParagraph"/>
        <w:numPr>
          <w:ilvl w:val="0"/>
          <w:numId w:val="2"/>
        </w:numPr>
        <w:spacing w:after="90" w:line="264"/>
      </w:pPr>
      <w:r>
        <w:rPr>
          <w:b/>
          <w:bCs/>
        </w:rPr>
        <w:t xml:space="preserve">Covariates. </w:t>
      </w:r>
      <w:r>
        <w:t xml:space="preserve">Robustness checks in both designs add vehicle-miles, the rural share of driving, unemployment and population, and the 1980s checks also control for seat-belt, speed-limit and BAC laws and income. State-specific drinking trends and other concurrent laws remain uncontrolled, and the shift in 1980s crash timing remains unexplained.</w:t>
      </w:r>
    </w:p>
    <w:p>
      <w:pPr>
        <w:pStyle w:val="Heading1"/>
      </w:pPr>
      <w:r>
        <w:t xml:space="preserve">9. Policy context and a better experiment</w:t>
      </w:r>
    </w:p>
    <w:p>
      <w:pPr>
        <w:spacing w:after="140" w:line="276"/>
      </w:pPr>
      <w:r>
        <w:t xml:space="preserve">Massachusetts, which banned happy hour in 1984, is actively debating repeal. In July 2026 the state Senate adopted Sen. Julian Cyr’s municipal local-option happy hour amendment to its economic development bill, S.3178 (State House News Service, 2026b). Cyr’s earlier versions of the proposal barred discounts after 10 p.m. and required drink prices to stay fixed during a promotion (Boston.com, 2024). Only the Senate version of the bill includes it. The bill is now in a House–Senate conference, where House negotiators dropped the same proposal in 2022 and 2024 (NBC Boston, 2022; State House News Service, 2026a), and Speaker Mariano has suggested it faces a dim future (State House News Service, 2026a). Under new rules, though, the Legislature has until the end of 2026 to act on bills sent to conference by July 31 (Massachusetts High Technology Council, 2026). Indiana’s 2024 law, now in effect, will provide a fourth repeal once FARS data for 2025 and later are released.</w:t>
      </w:r>
    </w:p>
    <w:p>
      <w:pPr>
        <w:spacing w:after="140" w:line="276"/>
      </w:pPr>
      <w:r>
        <w:t xml:space="preserve">A municipal local option would be a far better natural experiment than anything in this project: many towns opting in at different dates under one state’s laws and enforcement. Crash records from the Massachusetts Department of Transportation could support a town-level staggered design, and it would be worth specifying that analysis before any law takes effect.</w:t>
      </w:r>
    </w:p>
    <w:p>
      <w:pPr>
        <w:pStyle w:val="Heading1"/>
      </w:pPr>
      <w:r>
        <w:t xml:space="preserve">10. Next steps</w:t>
      </w:r>
    </w:p>
    <w:p>
      <w:pPr>
        <w:pStyle w:val="ListParagraph"/>
        <w:numPr>
          <w:ilvl w:val="0"/>
          <w:numId w:val="2"/>
        </w:numPr>
        <w:spacing w:after="90" w:line="264"/>
      </w:pPr>
      <w:r>
        <w:t xml:space="preserve">Add Indiana once the 2025 FARS file is released (the early look at July–December 2024 is uninformative: +2.0 points, −4.7 to +7.1), and re-check 2024 in NHTSA’s final release.</w:t>
      </w:r>
    </w:p>
    <w:p>
      <w:pPr>
        <w:pStyle w:val="ListParagraph"/>
        <w:numPr>
          <w:ilvl w:val="0"/>
          <w:numId w:val="2"/>
        </w:numPr>
        <w:spacing w:after="90" w:line="264"/>
      </w:pPr>
      <w:r>
        <w:t xml:space="preserve">With Indiana’s 2025 data, test the weekday-evening pattern directly: its law allows discounts only before 9 p.m.</w:t>
      </w:r>
    </w:p>
    <w:p>
      <w:pPr>
        <w:pStyle w:val="ListParagraph"/>
        <w:numPr>
          <w:ilvl w:val="0"/>
          <w:numId w:val="2"/>
        </w:numPr>
        <w:spacing w:after="90" w:line="264"/>
      </w:pPr>
      <w:r>
        <w:t xml:space="preserve">Pin down Vermont’s adoption date, which likely needs 1985–87 Liquor Control Board minutes or newspaper archives, and when Rhode Island’s broader price regulation (Rule 16) took effect.</w:t>
      </w:r>
    </w:p>
    <w:p>
      <w:pPr>
        <w:pStyle w:val="ListParagraph"/>
        <w:numPr>
          <w:ilvl w:val="0"/>
          <w:numId w:val="2"/>
        </w:numPr>
        <w:spacing w:after="90" w:line="264"/>
      </w:pPr>
      <w:r>
        <w:t xml:space="preserve">Re-run the evening-versus-night tests on drivers with actual BAC test results, removing the imputation’s pull toward national time-of-day patterns.</w:t>
      </w:r>
    </w:p>
    <w:p>
      <w:pPr>
        <w:pStyle w:val="ListParagraph"/>
        <w:numPr>
          <w:ilvl w:val="0"/>
          <w:numId w:val="2"/>
        </w:numPr>
        <w:spacing w:after="90" w:line="264"/>
      </w:pPr>
      <w:r>
        <w:t xml:space="preserve">Specify a town-level design in advance for a Massachusetts local option.</w:t>
      </w:r>
    </w:p>
    <w:p>
      <w:pPr>
        <w:pStyle w:val="Heading1"/>
      </w:pPr>
      <w:r>
        <w:t xml:space="preserve">References</w:t>
      </w:r>
    </w:p>
    <w:p>
      <w:pPr>
        <w:spacing w:after="90"/>
        <w:ind w:left="360" w:hanging="360"/>
      </w:pPr>
      <w:r>
        <w:rPr>
          <w:sz w:val="19"/>
          <w:szCs w:val="19"/>
        </w:rPr>
        <w:t xml:space="preserve">Abadie, A., Diamond, A., &amp; Hainmueller, J. (2010). Synthetic control methods for comparative case studies. Journal of the American Statistical Association, 105(490), 493–505.</w:t>
      </w:r>
    </w:p>
    <w:p>
      <w:pPr>
        <w:spacing w:after="90"/>
        <w:ind w:left="360" w:hanging="360"/>
      </w:pPr>
      <w:r>
        <w:rPr>
          <w:sz w:val="19"/>
          <w:szCs w:val="19"/>
        </w:rPr>
        <w:t xml:space="preserve">Arkhangelsky, D., Athey, S., Hirshberg, D. A., Imbens, G. W., &amp; Wager, S. (2021). Synthetic difference-in-differences. American Economic Review, 111(12), 4088–4118.</w:t>
      </w:r>
    </w:p>
    <w:p>
      <w:pPr>
        <w:spacing w:after="90"/>
        <w:ind w:left="360" w:hanging="360"/>
      </w:pPr>
      <w:r>
        <w:rPr>
          <w:sz w:val="19"/>
          <w:szCs w:val="19"/>
        </w:rPr>
        <w:t xml:space="preserve">Borusyak, K., Jaravel, X., &amp; Spiess, J. (2024). Revisiting event-study designs: Robust and efficient estimation. Review of Economic Studies, 91(6), 3253–3285.</w:t>
      </w:r>
    </w:p>
    <w:p>
      <w:pPr>
        <w:spacing w:after="90"/>
        <w:ind w:left="360" w:hanging="360"/>
      </w:pPr>
      <w:r>
        <w:rPr>
          <w:sz w:val="19"/>
          <w:szCs w:val="19"/>
        </w:rPr>
        <w:t xml:space="preserve">Cohen, A., &amp; Einav, L. (2003). The effects of mandatory seat belt laws on driving behavior and traffic fatalities. Review of Economics and Statistics, 85(4), 828–843.</w:t>
      </w:r>
    </w:p>
    <w:p>
      <w:pPr>
        <w:spacing w:after="90"/>
        <w:ind w:left="360" w:hanging="360"/>
      </w:pPr>
      <w:r>
        <w:rPr>
          <w:sz w:val="19"/>
          <w:szCs w:val="19"/>
        </w:rPr>
        <w:t xml:space="preserve">Conley, T. G., &amp; Taber, C. R. (2011). Inference with “difference in differences” with a small number of policy changes. Review of Economics and Statistics, 93(1), 113–125.</w:t>
      </w:r>
    </w:p>
    <w:p>
      <w:pPr>
        <w:spacing w:after="90"/>
        <w:ind w:left="360" w:hanging="360"/>
      </w:pPr>
      <w:r>
        <w:rPr>
          <w:sz w:val="19"/>
          <w:szCs w:val="19"/>
        </w:rPr>
        <w:t xml:space="preserve">Ruhm, C. J. (1996). Alcohol policies and highway vehicle fatalities. Journal of Health Economics, 15(4), 435–454.</w:t>
      </w:r>
    </w:p>
    <w:p>
      <w:pPr>
        <w:spacing w:after="90"/>
        <w:ind w:left="360" w:hanging="360"/>
      </w:pPr>
      <w:r>
        <w:rPr>
          <w:sz w:val="19"/>
          <w:szCs w:val="19"/>
        </w:rPr>
        <w:t xml:space="preserve">Subramanian, R. (2002). Transitioning to multiple imputation: A new method to impute missing blood alcohol concentration (BAC) values in FARS (DOT HS 809 403). NHTSA.</w:t>
      </w:r>
    </w:p>
    <w:p>
      <w:pPr>
        <w:spacing w:after="90"/>
        <w:ind w:left="360" w:hanging="360"/>
      </w:pPr>
      <w:r>
        <w:rPr>
          <w:sz w:val="19"/>
          <w:szCs w:val="19"/>
        </w:rPr>
        <w:t xml:space="preserve">Federal Highway Administration. Highway Statistics, Table VM-2: Functional system travel, 1980–2024.</w:t>
      </w:r>
    </w:p>
    <w:p>
      <w:pPr>
        <w:spacing w:after="90"/>
        <w:ind w:left="360" w:hanging="360"/>
      </w:pPr>
      <w:r>
        <w:rPr>
          <w:sz w:val="19"/>
          <w:szCs w:val="19"/>
        </w:rPr>
        <w:t xml:space="preserve">Federal Reserve Bank of St. Louis. FRED: state unemployment rates (BLS Local Area Unemployment Statistics) and resident population (U.S. Census Bureau), 1982–2024.</w:t>
      </w:r>
    </w:p>
    <w:p>
      <w:pPr>
        <w:spacing w:after="90"/>
        <w:ind w:left="360" w:hanging="360"/>
      </w:pPr>
      <w:r>
        <w:rPr>
          <w:sz w:val="19"/>
          <w:szCs w:val="19"/>
        </w:rPr>
        <w:t xml:space="preserve">National Highway Traffic Safety Administration. Digest of State Alcohol-Highway Safety Related Legislation, 12th ed. (1994); state statutes and regulations as cited in Table 1.</w:t>
      </w:r>
    </w:p>
    <w:p>
      <w:pPr>
        <w:spacing w:after="90"/>
        <w:ind w:left="360" w:hanging="360"/>
      </w:pPr>
      <w:r>
        <w:rPr>
          <w:sz w:val="19"/>
          <w:szCs w:val="19"/>
        </w:rPr>
        <w:t xml:space="preserve">National Highway Traffic Safety Administration. Fatality Analysis Reporting System (FARS), 1982–2024. Files for 1982–2015 accessed through a mirror of NHTSA’s FTP archive, https://github.com/wgetsnaps/ftp.nhtsa.dot.gov--fars.</w:t>
      </w:r>
    </w:p>
    <w:p>
      <w:pPr>
        <w:spacing w:after="90"/>
        <w:ind w:left="360" w:hanging="360"/>
      </w:pPr>
      <w:r>
        <w:rPr>
          <w:sz w:val="19"/>
          <w:szCs w:val="19"/>
        </w:rPr>
        <w:t xml:space="preserve">National Institute on Alcohol Abuse and Alcoholism. Alcohol Policy Information System (APIS): Drink Specials.</w:t>
      </w:r>
    </w:p>
    <w:p>
      <w:pPr>
        <w:spacing w:after="90"/>
        <w:ind w:left="360" w:hanging="360"/>
      </w:pPr>
      <w:r>
        <w:rPr>
          <w:sz w:val="19"/>
          <w:szCs w:val="19"/>
        </w:rPr>
        <w:t xml:space="preserve">Boston.com. (2024, July 11). Happy hour in Massachusetts? Legislature takes big step toward reviving discounted drinks. https://www.boston.com/news/politics/2024/07/11/happy-hour-in-massachusetts-legislature-takes-big-step-toward-reviving-discounted-drinks</w:t>
      </w:r>
    </w:p>
    <w:p>
      <w:pPr>
        <w:spacing w:after="90"/>
        <w:ind w:left="360" w:hanging="360"/>
      </w:pPr>
      <w:r>
        <w:rPr>
          <w:sz w:val="19"/>
          <w:szCs w:val="19"/>
        </w:rPr>
        <w:t xml:space="preserve">Massachusetts High Technology Council. (2026, August). 2025–2026 legislative session wrap-up: Key outcomes and what comes next. https://www.mhtc.org/?p=330188</w:t>
      </w:r>
    </w:p>
    <w:p>
      <w:pPr>
        <w:spacing w:after="90"/>
        <w:ind w:left="360" w:hanging="360"/>
      </w:pPr>
      <w:r>
        <w:rPr>
          <w:sz w:val="19"/>
          <w:szCs w:val="19"/>
        </w:rPr>
        <w:t xml:space="preserve">NBC Boston. (2022). Could happy hour return to Mass.? Senate’s economic development bill includes the option. https://www.nbcboston.com/news/local/could-happy-hour-return-to-mass-senates-economic-development-bill-includes-the-option/2780921/</w:t>
      </w:r>
    </w:p>
    <w:p>
      <w:pPr>
        <w:spacing w:after="90"/>
        <w:ind w:left="360" w:hanging="360"/>
      </w:pPr>
      <w:r>
        <w:rPr>
          <w:sz w:val="19"/>
          <w:szCs w:val="19"/>
        </w:rPr>
        <w:t xml:space="preserve">State House News Service. (2026a, July 22). Mariano spells out threshold for “fun agenda”: 81 votes. https://www.statehousenews.com/news/legislature/house/mariano-spells-out-threshold-for-fun-agenda-81-votes/article_3a0a8770-3ff9-4a53-9ff0-6eaafd720130.html</w:t>
      </w:r>
    </w:p>
    <w:p>
      <w:pPr>
        <w:spacing w:after="90"/>
        <w:ind w:left="360" w:hanging="360"/>
      </w:pPr>
      <w:r>
        <w:rPr>
          <w:sz w:val="19"/>
          <w:szCs w:val="19"/>
        </w:rPr>
        <w:t xml:space="preserve">State House News Service. (2026b, July 24). Senators show they’re up for some of “fun agenda,” but not all of it. https://www.statehousenews.com/news/economy/senators-show-theyre-up-for-some-of-fun-agenda-but-not-all-of-it/article_b2a2c2d1-851a-4c05-978e-e2a73e267af4.html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b/>
      <w:bCs/>
      <w:color w:val="1F3864"/>
      <w:sz w:val="27"/>
      <w:szCs w:val="27"/>
    </w:rPr>
  </w:style>
  <w:style w:type="paragraph" w:styleId="Heading2">
    <w:name w:val="Heading 2"/>
    <w:basedOn w:val="Normal"/>
    <w:next w:val="Normal"/>
    <w:qFormat/>
    <w:pPr>
      <w:keepNext/>
      <w:spacing w:after="100" w:before="200"/>
      <w:outlineLvl w:val="1"/>
    </w:pPr>
    <w:rPr>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f422e45c4ba93fc8160eb3ec4d5a196da4c8caa.png"/><Relationship Id="rId9" Type="http://schemas.openxmlformats.org/officeDocument/2006/relationships/image" Target="media/f0ba62a5ebea679072d1e058bf7d737676d5eb40.png"/><Relationship Id="rId10" Type="http://schemas.openxmlformats.org/officeDocument/2006/relationships/image" Target="media/97566afe43a63fdc483b89edf5362386c1a42169.png"/><Relationship Id="rId11" Type="http://schemas.openxmlformats.org/officeDocument/2006/relationships/image" Target="media/4aecd6ccc2484acae60689809d785b2ca2b959ae.png"/><Relationship Id="rId12" Type="http://schemas.openxmlformats.org/officeDocument/2006/relationships/image" Target="media/72081a9029c70bc2ec437adab74c90409114e823.png"/><Relationship Id="rId13" Type="http://schemas.openxmlformats.org/officeDocument/2006/relationships/image" Target="media/ffa07a9c24ca21533a301f41eec7e1afde4c5cfa.png"/><Relationship Id="rId14" Type="http://schemas.openxmlformats.org/officeDocument/2006/relationships/image" Target="media/747ba9b7b12cdceb9c8d016ffe4affe4794c08b0.png"/><Relationship Id="rId15" Type="http://schemas.openxmlformats.org/officeDocument/2006/relationships/image" Target="media/16d710e28a39ef2923838eaef80e4cf561bd58ba.png"/><Relationship Id="rId16" Type="http://schemas.openxmlformats.org/officeDocument/2006/relationships/image" Target="media/60ebb31d897c6355d73860386c301c62562f8ba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Happy Hour Laws and Alcohol-Impaired Traffic Deaths</dc:title>
  <dc:creator>Elliot Louis</dc:creator>
  <dc:description>Natural-experiment evidence from FARS crash data, 1982-2024</dc:description>
  <cp:lastModifiedBy>Elliot Louis</cp:lastModifiedBy>
  <cp:revision>1</cp:revision>
  <dcterms:created xsi:type="dcterms:W3CDTF">2026-10-04T15:54:35.643Z</dcterms:created>
  <dcterms:modified xsi:type="dcterms:W3CDTF">2026-10-04T15:54:35.643Z</dcterms:modified>
</cp:coreProperties>
</file>

<file path=docProps/custom.xml><?xml version="1.0" encoding="utf-8"?>
<Properties xmlns="http://schemas.openxmlformats.org/officeDocument/2006/custom-properties" xmlns:vt="http://schemas.openxmlformats.org/officeDocument/2006/docPropsVTypes"/>
</file>