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8B5F" w14:textId="13A03F47" w:rsidR="00736730" w:rsidRPr="008B19B9" w:rsidRDefault="00736730" w:rsidP="008B19B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>Actividades 2022 del Comité Normativo Nacional de Medicina General (CONAMEGE</w:t>
      </w:r>
      <w:r w:rsidR="00341504" w:rsidRPr="008B19B9">
        <w:rPr>
          <w:rFonts w:ascii="Arial" w:hAnsi="Arial" w:cs="Arial"/>
          <w:b/>
          <w:bCs/>
          <w:sz w:val="24"/>
          <w:szCs w:val="24"/>
        </w:rPr>
        <w:t>,</w:t>
      </w:r>
      <w:r w:rsidRPr="008B19B9">
        <w:rPr>
          <w:rFonts w:ascii="Arial" w:hAnsi="Arial" w:cs="Arial"/>
          <w:b/>
          <w:bCs/>
          <w:sz w:val="24"/>
          <w:szCs w:val="24"/>
        </w:rPr>
        <w:t xml:space="preserve"> A.C.)</w:t>
      </w:r>
    </w:p>
    <w:p w14:paraId="576798BF" w14:textId="4C9A52B6" w:rsidR="00736730" w:rsidRPr="008B19B9" w:rsidRDefault="00736730" w:rsidP="004565BE">
      <w:pPr>
        <w:spacing w:after="0"/>
        <w:rPr>
          <w:rFonts w:ascii="Arial" w:hAnsi="Arial" w:cs="Arial"/>
          <w:sz w:val="24"/>
          <w:szCs w:val="24"/>
        </w:rPr>
      </w:pPr>
    </w:p>
    <w:p w14:paraId="5763F68B" w14:textId="30F617F3" w:rsidR="00736730" w:rsidRPr="008B19B9" w:rsidRDefault="00736730" w:rsidP="004565BE">
      <w:pPr>
        <w:spacing w:after="0"/>
        <w:rPr>
          <w:rFonts w:ascii="Arial" w:hAnsi="Arial" w:cs="Arial"/>
          <w:sz w:val="24"/>
          <w:szCs w:val="24"/>
        </w:rPr>
      </w:pPr>
    </w:p>
    <w:p w14:paraId="6C019CDE" w14:textId="77777777" w:rsidR="00736730" w:rsidRPr="008B19B9" w:rsidRDefault="00736730" w:rsidP="004565BE">
      <w:pPr>
        <w:spacing w:after="0"/>
        <w:rPr>
          <w:rFonts w:ascii="Arial" w:hAnsi="Arial" w:cs="Arial"/>
          <w:sz w:val="24"/>
          <w:szCs w:val="24"/>
        </w:rPr>
      </w:pPr>
    </w:p>
    <w:p w14:paraId="1197FFD0" w14:textId="5D35B26B" w:rsidR="007559ED" w:rsidRPr="008B19B9" w:rsidRDefault="007559ED" w:rsidP="0041082C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>Dr. Adolfo Chávez Negrete</w:t>
      </w:r>
    </w:p>
    <w:p w14:paraId="700A8E48" w14:textId="560C03D2" w:rsidR="007559ED" w:rsidRPr="008B19B9" w:rsidRDefault="007559ED" w:rsidP="0041082C">
      <w:pPr>
        <w:spacing w:after="0"/>
        <w:jc w:val="right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Presidente del </w:t>
      </w:r>
      <w:r w:rsidR="00431ADE" w:rsidRPr="008B19B9">
        <w:rPr>
          <w:rFonts w:ascii="Arial" w:hAnsi="Arial" w:cs="Arial"/>
          <w:sz w:val="24"/>
          <w:szCs w:val="24"/>
        </w:rPr>
        <w:t>Comité Normativo Nacional de Medicina General</w:t>
      </w:r>
      <w:r w:rsidR="00F9027C" w:rsidRPr="008B19B9">
        <w:rPr>
          <w:rFonts w:ascii="Arial" w:hAnsi="Arial" w:cs="Arial"/>
          <w:sz w:val="24"/>
          <w:szCs w:val="24"/>
        </w:rPr>
        <w:t>,</w:t>
      </w:r>
      <w:r w:rsidR="00431ADE" w:rsidRPr="008B19B9">
        <w:rPr>
          <w:rFonts w:ascii="Arial" w:hAnsi="Arial" w:cs="Arial"/>
          <w:sz w:val="24"/>
          <w:szCs w:val="24"/>
        </w:rPr>
        <w:t xml:space="preserve"> A.C.</w:t>
      </w:r>
    </w:p>
    <w:p w14:paraId="74254212" w14:textId="788EC847" w:rsidR="0010323A" w:rsidRPr="008B19B9" w:rsidRDefault="00736730" w:rsidP="0041082C">
      <w:pPr>
        <w:spacing w:after="0"/>
        <w:jc w:val="right"/>
        <w:rPr>
          <w:rFonts w:ascii="Arial" w:hAnsi="Arial" w:cs="Arial"/>
          <w:sz w:val="24"/>
          <w:szCs w:val="24"/>
        </w:rPr>
      </w:pPr>
      <w:hyperlink r:id="rId7" w:history="1">
        <w:r w:rsidR="0010323A" w:rsidRPr="008B19B9">
          <w:rPr>
            <w:rStyle w:val="Hyperlink"/>
            <w:rFonts w:ascii="Arial" w:hAnsi="Arial" w:cs="Arial"/>
            <w:sz w:val="24"/>
            <w:szCs w:val="24"/>
          </w:rPr>
          <w:t>conamege@yahoo.com.mx</w:t>
        </w:r>
      </w:hyperlink>
    </w:p>
    <w:p w14:paraId="14C144ED" w14:textId="77777777" w:rsidR="00236636" w:rsidRPr="008B19B9" w:rsidRDefault="00236636" w:rsidP="004565BE">
      <w:pPr>
        <w:spacing w:after="0"/>
        <w:rPr>
          <w:rFonts w:ascii="Arial" w:hAnsi="Arial" w:cs="Arial"/>
          <w:sz w:val="24"/>
          <w:szCs w:val="24"/>
        </w:rPr>
      </w:pPr>
    </w:p>
    <w:p w14:paraId="58A48CE3" w14:textId="18A64ACD" w:rsidR="00736730" w:rsidRPr="008B19B9" w:rsidRDefault="00736730" w:rsidP="004565BE">
      <w:pPr>
        <w:spacing w:after="0"/>
        <w:rPr>
          <w:rFonts w:ascii="Arial" w:hAnsi="Arial" w:cs="Arial"/>
          <w:sz w:val="24"/>
          <w:szCs w:val="24"/>
        </w:rPr>
      </w:pPr>
    </w:p>
    <w:p w14:paraId="2C167786" w14:textId="3F87D288" w:rsidR="007559ED" w:rsidRPr="008B19B9" w:rsidRDefault="007559ED" w:rsidP="0041082C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>Dr. José Luis Olvera Gómez</w:t>
      </w:r>
    </w:p>
    <w:p w14:paraId="01887E2A" w14:textId="25FB6648" w:rsidR="00736730" w:rsidRPr="008B19B9" w:rsidRDefault="00736730" w:rsidP="0041082C">
      <w:pPr>
        <w:spacing w:after="0"/>
        <w:jc w:val="right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Coordinador de Oficina del Comité Normativo Nacional de Medicina General</w:t>
      </w:r>
      <w:r w:rsidR="00F9027C" w:rsidRPr="008B19B9">
        <w:rPr>
          <w:rFonts w:ascii="Arial" w:hAnsi="Arial" w:cs="Arial"/>
          <w:sz w:val="24"/>
          <w:szCs w:val="24"/>
        </w:rPr>
        <w:t>,</w:t>
      </w:r>
      <w:r w:rsidRPr="008B19B9">
        <w:rPr>
          <w:rFonts w:ascii="Arial" w:hAnsi="Arial" w:cs="Arial"/>
          <w:sz w:val="24"/>
          <w:szCs w:val="24"/>
        </w:rPr>
        <w:t xml:space="preserve"> A.C.</w:t>
      </w:r>
    </w:p>
    <w:p w14:paraId="7DD9415B" w14:textId="50A80807" w:rsidR="00736730" w:rsidRPr="008B19B9" w:rsidRDefault="00736730" w:rsidP="0041082C">
      <w:pPr>
        <w:spacing w:after="0"/>
        <w:jc w:val="right"/>
        <w:rPr>
          <w:rFonts w:ascii="Arial" w:hAnsi="Arial" w:cs="Arial"/>
          <w:sz w:val="24"/>
          <w:szCs w:val="24"/>
          <w:lang w:eastAsia="es-MX"/>
        </w:rPr>
      </w:pPr>
      <w:hyperlink r:id="rId8" w:history="1">
        <w:r w:rsidRPr="008B19B9">
          <w:rPr>
            <w:rStyle w:val="Hyperlink"/>
            <w:rFonts w:ascii="Arial" w:hAnsi="Arial" w:cs="Arial"/>
            <w:sz w:val="24"/>
            <w:szCs w:val="24"/>
            <w:lang w:eastAsia="es-MX"/>
          </w:rPr>
          <w:t>j.luis.olvera@conamege.com</w:t>
        </w:r>
      </w:hyperlink>
      <w:r w:rsidRPr="008B19B9">
        <w:rPr>
          <w:rFonts w:ascii="Arial" w:hAnsi="Arial" w:cs="Arial"/>
          <w:sz w:val="24"/>
          <w:szCs w:val="24"/>
          <w:lang w:eastAsia="es-MX"/>
        </w:rPr>
        <w:t xml:space="preserve"> </w:t>
      </w:r>
    </w:p>
    <w:p w14:paraId="7FF3F210" w14:textId="43DEA8C4" w:rsidR="00736730" w:rsidRPr="008B19B9" w:rsidRDefault="00736730">
      <w:pPr>
        <w:rPr>
          <w:rFonts w:ascii="Arial" w:hAnsi="Arial" w:cs="Arial"/>
          <w:sz w:val="24"/>
          <w:szCs w:val="24"/>
        </w:rPr>
      </w:pPr>
    </w:p>
    <w:p w14:paraId="2CE5047C" w14:textId="26633AAF" w:rsidR="00DA64B6" w:rsidRPr="008B19B9" w:rsidRDefault="00DF3EB1" w:rsidP="004565B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>Introducción</w:t>
      </w:r>
    </w:p>
    <w:p w14:paraId="47CF1C6C" w14:textId="77777777" w:rsidR="00DA64B6" w:rsidRPr="008B19B9" w:rsidRDefault="00DA64B6" w:rsidP="004565B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0EA799" w14:textId="02E8B8CF" w:rsidR="008E1038" w:rsidRPr="008B19B9" w:rsidRDefault="008E1038" w:rsidP="004565B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En seguimiento a la </w:t>
      </w:r>
      <w:r w:rsidR="00833DF5">
        <w:rPr>
          <w:rFonts w:ascii="Arial" w:hAnsi="Arial" w:cs="Arial"/>
          <w:sz w:val="24"/>
          <w:szCs w:val="24"/>
        </w:rPr>
        <w:t xml:space="preserve">siguiente </w:t>
      </w:r>
      <w:r w:rsidRPr="008B19B9">
        <w:rPr>
          <w:rFonts w:ascii="Arial" w:hAnsi="Arial" w:cs="Arial"/>
          <w:sz w:val="24"/>
          <w:szCs w:val="24"/>
        </w:rPr>
        <w:t>declaratoria de principio de la CONAMEGE A.C</w:t>
      </w:r>
      <w:r w:rsidR="00FC7D18" w:rsidRPr="008B19B9">
        <w:rPr>
          <w:rFonts w:ascii="Arial" w:hAnsi="Arial" w:cs="Arial"/>
          <w:sz w:val="24"/>
          <w:szCs w:val="24"/>
        </w:rPr>
        <w:t>:</w:t>
      </w:r>
    </w:p>
    <w:p w14:paraId="193CDC75" w14:textId="5479BEAB" w:rsidR="00FC7D18" w:rsidRPr="008B19B9" w:rsidRDefault="00FC7D18" w:rsidP="004565BE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“El Comité Normativo Nacional de Medicina General tiene carácter permanente, multidisciplinario y representativo, pero autónomo de los organismos que lo constituyen e integran. La intervención independiente de este </w:t>
      </w:r>
      <w:r w:rsidR="00DA64B6" w:rsidRPr="008B19B9">
        <w:rPr>
          <w:rFonts w:ascii="Arial" w:hAnsi="Arial" w:cs="Arial"/>
          <w:sz w:val="24"/>
          <w:szCs w:val="24"/>
        </w:rPr>
        <w:t xml:space="preserve">Comité </w:t>
      </w:r>
      <w:r w:rsidRPr="008B19B9">
        <w:rPr>
          <w:rFonts w:ascii="Arial" w:hAnsi="Arial" w:cs="Arial"/>
          <w:sz w:val="24"/>
          <w:szCs w:val="24"/>
        </w:rPr>
        <w:t>otorga a todas las partes interesadas la seguridad y confianza en la operación del sistema y contribuye a la protección de quien solicita los servicios del médico general, garantizando que con su certificación cuenta con la preparación y capacidad para calificarse como tal, dado que la Medicina General es una disciplina académica que por sus características y su situación actual requiere de un abordaje específico”.</w:t>
      </w:r>
      <w:r w:rsidRPr="008B19B9">
        <w:rPr>
          <w:rFonts w:ascii="Arial" w:hAnsi="Arial" w:cs="Arial"/>
          <w:sz w:val="24"/>
          <w:szCs w:val="24"/>
          <w:vertAlign w:val="superscript"/>
        </w:rPr>
        <w:t>1</w:t>
      </w:r>
    </w:p>
    <w:p w14:paraId="673F7DE7" w14:textId="77777777" w:rsidR="00AF2CF8" w:rsidRPr="008B19B9" w:rsidRDefault="00AF2CF8" w:rsidP="004565B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416198" w14:textId="3712A41B" w:rsidR="008E1038" w:rsidRPr="008B19B9" w:rsidRDefault="00D52FDB" w:rsidP="004565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FC7D18" w:rsidRPr="008B19B9">
        <w:rPr>
          <w:rFonts w:ascii="Arial" w:hAnsi="Arial" w:cs="Arial"/>
          <w:sz w:val="24"/>
          <w:szCs w:val="24"/>
        </w:rPr>
        <w:t xml:space="preserve">ste Comité atendió </w:t>
      </w:r>
      <w:r>
        <w:rPr>
          <w:rFonts w:ascii="Arial" w:hAnsi="Arial" w:cs="Arial"/>
          <w:sz w:val="24"/>
          <w:szCs w:val="24"/>
        </w:rPr>
        <w:t>durante el</w:t>
      </w:r>
      <w:r w:rsidR="00FC7D18" w:rsidRPr="008B19B9">
        <w:rPr>
          <w:rFonts w:ascii="Arial" w:hAnsi="Arial" w:cs="Arial"/>
          <w:sz w:val="24"/>
          <w:szCs w:val="24"/>
        </w:rPr>
        <w:t xml:space="preserve"> 2022 los siguientes rubros:</w:t>
      </w:r>
    </w:p>
    <w:p w14:paraId="2F17DE02" w14:textId="2E30C121" w:rsidR="00FC7D18" w:rsidRPr="008B19B9" w:rsidRDefault="00FC7D18" w:rsidP="004565B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Certificación y Renovación de la Certificación de los médicos generales.</w:t>
      </w:r>
    </w:p>
    <w:p w14:paraId="1F6DEBC0" w14:textId="06CA9D05" w:rsidR="00FC7D18" w:rsidRPr="008B19B9" w:rsidRDefault="00FC7D18" w:rsidP="004565B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Registro de Actividades de Educación Médica Continua</w:t>
      </w:r>
      <w:r w:rsidR="006956B0" w:rsidRPr="008B19B9">
        <w:rPr>
          <w:rFonts w:ascii="Arial" w:hAnsi="Arial" w:cs="Arial"/>
          <w:sz w:val="24"/>
          <w:szCs w:val="24"/>
        </w:rPr>
        <w:t>. Capacitación con valor curricular.</w:t>
      </w:r>
    </w:p>
    <w:p w14:paraId="5C481971" w14:textId="2B2E61B6" w:rsidR="00DF3EB1" w:rsidRPr="008B19B9" w:rsidRDefault="00D52FDB" w:rsidP="004565BE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</w:t>
      </w:r>
      <w:r w:rsidR="00735A10" w:rsidRPr="008B19B9">
        <w:rPr>
          <w:rFonts w:ascii="Arial" w:hAnsi="Arial" w:cs="Arial"/>
          <w:sz w:val="24"/>
          <w:szCs w:val="24"/>
        </w:rPr>
        <w:t xml:space="preserve"> Congreso Internacional del CONAMEGE, </w:t>
      </w:r>
      <w:r>
        <w:rPr>
          <w:rFonts w:ascii="Arial" w:hAnsi="Arial" w:cs="Arial"/>
          <w:sz w:val="24"/>
          <w:szCs w:val="24"/>
        </w:rPr>
        <w:t>C</w:t>
      </w:r>
      <w:r w:rsidR="00735A10" w:rsidRPr="008B19B9">
        <w:rPr>
          <w:rFonts w:ascii="Arial" w:hAnsi="Arial" w:cs="Arial"/>
          <w:sz w:val="24"/>
          <w:szCs w:val="24"/>
        </w:rPr>
        <w:t>onvenios de colaboración.</w:t>
      </w:r>
      <w:r w:rsidR="008E1038" w:rsidRPr="008B19B9">
        <w:rPr>
          <w:rFonts w:ascii="Arial" w:hAnsi="Arial" w:cs="Arial"/>
          <w:sz w:val="24"/>
          <w:szCs w:val="24"/>
        </w:rPr>
        <w:t xml:space="preserve"> </w:t>
      </w:r>
    </w:p>
    <w:p w14:paraId="7510261C" w14:textId="77777777" w:rsidR="00236636" w:rsidRPr="008B19B9" w:rsidRDefault="00236636" w:rsidP="004565B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99B3F7F" w14:textId="3EC41EAE" w:rsidR="0098648C" w:rsidRPr="008B19B9" w:rsidRDefault="00DF3EB1" w:rsidP="004565B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>Desarrollo</w:t>
      </w:r>
      <w:r w:rsidR="00D52FDB">
        <w:rPr>
          <w:rFonts w:ascii="Arial" w:hAnsi="Arial" w:cs="Arial"/>
          <w:b/>
          <w:bCs/>
          <w:sz w:val="24"/>
          <w:szCs w:val="24"/>
        </w:rPr>
        <w:t xml:space="preserve"> r</w:t>
      </w:r>
      <w:r w:rsidR="00236636" w:rsidRPr="008B19B9">
        <w:rPr>
          <w:rFonts w:ascii="Arial" w:hAnsi="Arial" w:cs="Arial"/>
          <w:b/>
          <w:bCs/>
          <w:sz w:val="24"/>
          <w:szCs w:val="24"/>
        </w:rPr>
        <w:t xml:space="preserve">especto a la </w:t>
      </w:r>
      <w:r w:rsidR="00D52FDB">
        <w:rPr>
          <w:rFonts w:ascii="Arial" w:hAnsi="Arial" w:cs="Arial"/>
          <w:b/>
          <w:bCs/>
          <w:sz w:val="24"/>
          <w:szCs w:val="24"/>
        </w:rPr>
        <w:t>R</w:t>
      </w:r>
      <w:r w:rsidR="0098648C" w:rsidRPr="008B19B9">
        <w:rPr>
          <w:rFonts w:ascii="Arial" w:hAnsi="Arial" w:cs="Arial"/>
          <w:b/>
          <w:bCs/>
          <w:sz w:val="24"/>
          <w:szCs w:val="24"/>
        </w:rPr>
        <w:t>enovación de Idoneidad del Consejo Nacional y Consejos Estatales</w:t>
      </w:r>
    </w:p>
    <w:p w14:paraId="494B13D4" w14:textId="52C416DC" w:rsidR="0098648C" w:rsidRPr="008B19B9" w:rsidRDefault="00D52FDB" w:rsidP="004565B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Pr="008B19B9">
        <w:rPr>
          <w:rFonts w:ascii="Arial" w:hAnsi="Arial" w:cs="Arial"/>
          <w:sz w:val="24"/>
          <w:szCs w:val="24"/>
        </w:rPr>
        <w:t xml:space="preserve"> </w:t>
      </w:r>
      <w:r w:rsidR="0098648C" w:rsidRPr="008B19B9">
        <w:rPr>
          <w:rFonts w:ascii="Arial" w:hAnsi="Arial" w:cs="Arial"/>
          <w:sz w:val="24"/>
          <w:szCs w:val="24"/>
        </w:rPr>
        <w:t xml:space="preserve">cumplimiento al </w:t>
      </w:r>
      <w:r>
        <w:rPr>
          <w:rFonts w:ascii="Arial" w:hAnsi="Arial" w:cs="Arial"/>
          <w:sz w:val="24"/>
          <w:szCs w:val="24"/>
        </w:rPr>
        <w:t>a</w:t>
      </w:r>
      <w:r w:rsidR="0098648C" w:rsidRPr="008B19B9">
        <w:rPr>
          <w:rFonts w:ascii="Arial" w:hAnsi="Arial" w:cs="Arial"/>
          <w:sz w:val="24"/>
          <w:szCs w:val="24"/>
        </w:rPr>
        <w:t xml:space="preserve">rtículo 9 de los </w:t>
      </w:r>
      <w:r>
        <w:rPr>
          <w:rFonts w:ascii="Arial" w:hAnsi="Arial" w:cs="Arial"/>
          <w:sz w:val="24"/>
          <w:szCs w:val="24"/>
        </w:rPr>
        <w:t>e</w:t>
      </w:r>
      <w:r w:rsidR="0098648C" w:rsidRPr="008B19B9">
        <w:rPr>
          <w:rFonts w:ascii="Arial" w:hAnsi="Arial" w:cs="Arial"/>
          <w:sz w:val="24"/>
          <w:szCs w:val="24"/>
        </w:rPr>
        <w:t>statutos vigentes de CONAMEGE, de regular y vigilar que los Consejos que forman parte del Consejo Nacional de Certificación en Medicina General sean órganos competentes para la evaluación y certificación del médico general en su actualización y ejercicio profesional</w:t>
      </w:r>
      <w:r>
        <w:rPr>
          <w:rFonts w:ascii="Arial" w:hAnsi="Arial" w:cs="Arial"/>
          <w:sz w:val="24"/>
          <w:szCs w:val="24"/>
        </w:rPr>
        <w:t>,</w:t>
      </w:r>
      <w:r w:rsidR="0098648C" w:rsidRPr="008B19B9">
        <w:rPr>
          <w:rFonts w:ascii="Arial" w:hAnsi="Arial" w:cs="Arial"/>
          <w:sz w:val="24"/>
          <w:szCs w:val="24"/>
        </w:rPr>
        <w:t xml:space="preserve"> los Consejos de las 32 entidades federativas</w:t>
      </w:r>
      <w:r w:rsidR="001A52FC" w:rsidRPr="008B19B9">
        <w:rPr>
          <w:rFonts w:ascii="Arial" w:hAnsi="Arial" w:cs="Arial"/>
          <w:sz w:val="24"/>
          <w:szCs w:val="24"/>
        </w:rPr>
        <w:t xml:space="preserve"> del país actualmente</w:t>
      </w:r>
      <w:r w:rsidR="0098648C" w:rsidRPr="008B19B9">
        <w:rPr>
          <w:rFonts w:ascii="Arial" w:hAnsi="Arial" w:cs="Arial"/>
          <w:sz w:val="24"/>
          <w:szCs w:val="24"/>
        </w:rPr>
        <w:t xml:space="preserve"> cuentan con </w:t>
      </w:r>
      <w:r>
        <w:rPr>
          <w:rFonts w:ascii="Arial" w:hAnsi="Arial" w:cs="Arial"/>
          <w:sz w:val="24"/>
          <w:szCs w:val="24"/>
        </w:rPr>
        <w:t>i</w:t>
      </w:r>
      <w:r w:rsidR="0098648C" w:rsidRPr="008B19B9">
        <w:rPr>
          <w:rFonts w:ascii="Arial" w:hAnsi="Arial" w:cs="Arial"/>
          <w:sz w:val="24"/>
          <w:szCs w:val="24"/>
        </w:rPr>
        <w:t>doneidad vigente</w:t>
      </w:r>
      <w:r w:rsidR="001A52FC" w:rsidRPr="008B19B9">
        <w:rPr>
          <w:rFonts w:ascii="Arial" w:hAnsi="Arial" w:cs="Arial"/>
          <w:sz w:val="24"/>
          <w:szCs w:val="24"/>
        </w:rPr>
        <w:t>.</w:t>
      </w:r>
      <w:r w:rsidR="00236636" w:rsidRPr="008B19B9">
        <w:rPr>
          <w:rFonts w:ascii="Arial" w:hAnsi="Arial" w:cs="Arial"/>
          <w:sz w:val="24"/>
          <w:szCs w:val="24"/>
          <w:vertAlign w:val="superscript"/>
        </w:rPr>
        <w:t>2</w:t>
      </w:r>
      <w:r w:rsidR="00236636" w:rsidRPr="008B19B9">
        <w:rPr>
          <w:rFonts w:ascii="Arial" w:hAnsi="Arial" w:cs="Arial"/>
          <w:sz w:val="24"/>
          <w:szCs w:val="24"/>
        </w:rPr>
        <w:t xml:space="preserve"> </w:t>
      </w:r>
    </w:p>
    <w:p w14:paraId="418200B4" w14:textId="30EB866F" w:rsidR="0098648C" w:rsidRPr="008B19B9" w:rsidRDefault="0098648C" w:rsidP="004565B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92636D" w14:textId="77777777" w:rsidR="006B701A" w:rsidRPr="008B19B9" w:rsidRDefault="006B701A" w:rsidP="004565BE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sz w:val="24"/>
          <w:szCs w:val="24"/>
        </w:rPr>
        <w:t xml:space="preserve">Certificación y Renovación de la Certificación de los médicos generales </w:t>
      </w:r>
    </w:p>
    <w:p w14:paraId="6FC74A3D" w14:textId="7AA359AD" w:rsidR="006B701A" w:rsidRPr="008B19B9" w:rsidRDefault="006B701A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eastAsia="Calibri" w:hAnsi="Arial" w:cs="Arial"/>
          <w:sz w:val="24"/>
          <w:szCs w:val="24"/>
        </w:rPr>
        <w:t>E</w:t>
      </w:r>
      <w:r w:rsidR="00236636" w:rsidRPr="008B19B9">
        <w:rPr>
          <w:rFonts w:ascii="Arial" w:eastAsia="Calibri" w:hAnsi="Arial" w:cs="Arial"/>
          <w:sz w:val="24"/>
          <w:szCs w:val="24"/>
        </w:rPr>
        <w:t xml:space="preserve">n el </w:t>
      </w:r>
      <w:r w:rsidRPr="008B19B9">
        <w:rPr>
          <w:rFonts w:ascii="Arial" w:eastAsia="Calibri" w:hAnsi="Arial" w:cs="Arial"/>
          <w:sz w:val="24"/>
          <w:szCs w:val="24"/>
        </w:rPr>
        <w:t xml:space="preserve">2022, el Consejo Nacional de Certificación en Medicina General convocó a los médicos generales que ejercen su profesión a presentar el Examen Nacional de </w:t>
      </w:r>
      <w:r w:rsidRPr="008B19B9">
        <w:rPr>
          <w:rFonts w:ascii="Arial" w:eastAsia="Calibri" w:hAnsi="Arial" w:cs="Arial"/>
          <w:sz w:val="24"/>
          <w:szCs w:val="24"/>
        </w:rPr>
        <w:lastRenderedPageBreak/>
        <w:t>Certificación en Medicina General</w:t>
      </w:r>
      <w:r w:rsidR="001A52FC" w:rsidRPr="008B19B9">
        <w:rPr>
          <w:rFonts w:ascii="Arial" w:eastAsia="Calibri" w:hAnsi="Arial" w:cs="Arial"/>
          <w:sz w:val="24"/>
          <w:szCs w:val="24"/>
        </w:rPr>
        <w:t>.</w:t>
      </w:r>
      <w:r w:rsidRPr="008B19B9">
        <w:rPr>
          <w:rFonts w:ascii="Arial" w:eastAsia="Calibri" w:hAnsi="Arial" w:cs="Arial"/>
          <w:sz w:val="24"/>
          <w:szCs w:val="24"/>
        </w:rPr>
        <w:t xml:space="preserve"> A la fecha los médicos generales certificados</w:t>
      </w:r>
      <w:r w:rsidR="00970900" w:rsidRPr="008B19B9">
        <w:rPr>
          <w:rFonts w:ascii="Arial" w:eastAsia="Calibri" w:hAnsi="Arial" w:cs="Arial"/>
          <w:sz w:val="24"/>
          <w:szCs w:val="24"/>
        </w:rPr>
        <w:t xml:space="preserve"> por los 32 </w:t>
      </w:r>
      <w:r w:rsidR="00D52FDB">
        <w:rPr>
          <w:rFonts w:ascii="Arial" w:eastAsia="Calibri" w:hAnsi="Arial" w:cs="Arial"/>
          <w:sz w:val="24"/>
          <w:szCs w:val="24"/>
        </w:rPr>
        <w:t>C</w:t>
      </w:r>
      <w:r w:rsidR="00970900" w:rsidRPr="008B19B9">
        <w:rPr>
          <w:rFonts w:ascii="Arial" w:eastAsia="Calibri" w:hAnsi="Arial" w:cs="Arial"/>
          <w:sz w:val="24"/>
          <w:szCs w:val="24"/>
        </w:rPr>
        <w:t>onsejos estatales</w:t>
      </w:r>
      <w:r w:rsidRPr="008B19B9">
        <w:rPr>
          <w:rFonts w:ascii="Arial" w:eastAsia="Calibri" w:hAnsi="Arial" w:cs="Arial"/>
          <w:sz w:val="24"/>
          <w:szCs w:val="24"/>
        </w:rPr>
        <w:t xml:space="preserve"> ascienden a </w:t>
      </w:r>
      <w:r w:rsidRPr="008B19B9">
        <w:rPr>
          <w:rFonts w:ascii="Arial" w:eastAsia="Calibri" w:hAnsi="Arial" w:cs="Arial"/>
          <w:b/>
          <w:bCs/>
          <w:sz w:val="24"/>
          <w:szCs w:val="24"/>
        </w:rPr>
        <w:t>21,</w:t>
      </w:r>
      <w:r w:rsidR="004565BE" w:rsidRPr="008B19B9">
        <w:rPr>
          <w:rFonts w:ascii="Arial" w:eastAsia="Calibri" w:hAnsi="Arial" w:cs="Arial"/>
          <w:b/>
          <w:bCs/>
          <w:sz w:val="24"/>
          <w:szCs w:val="24"/>
        </w:rPr>
        <w:t>497</w:t>
      </w:r>
      <w:r w:rsidRPr="008B19B9">
        <w:rPr>
          <w:rFonts w:ascii="Arial" w:eastAsia="Calibri" w:hAnsi="Arial" w:cs="Arial"/>
          <w:sz w:val="24"/>
          <w:szCs w:val="24"/>
        </w:rPr>
        <w:t xml:space="preserve"> y los médicos que han renovado su certificación son </w:t>
      </w:r>
      <w:r w:rsidRPr="008B19B9">
        <w:rPr>
          <w:rFonts w:ascii="Arial" w:eastAsia="Calibri" w:hAnsi="Arial" w:cs="Arial"/>
          <w:b/>
          <w:bCs/>
          <w:sz w:val="24"/>
          <w:szCs w:val="24"/>
        </w:rPr>
        <w:t>15,</w:t>
      </w:r>
      <w:r w:rsidR="004565BE" w:rsidRPr="008B19B9">
        <w:rPr>
          <w:rFonts w:ascii="Arial" w:eastAsia="Calibri" w:hAnsi="Arial" w:cs="Arial"/>
          <w:b/>
          <w:bCs/>
          <w:sz w:val="24"/>
          <w:szCs w:val="24"/>
        </w:rPr>
        <w:t>917</w:t>
      </w:r>
      <w:r w:rsidR="00D52FDB" w:rsidRPr="0041082C">
        <w:rPr>
          <w:rFonts w:ascii="Arial" w:eastAsia="Calibri" w:hAnsi="Arial" w:cs="Arial"/>
          <w:sz w:val="24"/>
          <w:szCs w:val="24"/>
        </w:rPr>
        <w:t>, dando</w:t>
      </w:r>
      <w:r w:rsidR="001A52FC" w:rsidRPr="0041082C">
        <w:rPr>
          <w:rFonts w:ascii="Arial" w:eastAsia="Calibri" w:hAnsi="Arial" w:cs="Arial"/>
          <w:sz w:val="24"/>
          <w:szCs w:val="24"/>
        </w:rPr>
        <w:t xml:space="preserve"> </w:t>
      </w:r>
      <w:r w:rsidR="001A52FC" w:rsidRPr="008B19B9">
        <w:rPr>
          <w:rFonts w:ascii="Arial" w:eastAsia="Calibri" w:hAnsi="Arial" w:cs="Arial"/>
          <w:sz w:val="24"/>
          <w:szCs w:val="24"/>
        </w:rPr>
        <w:t>en total</w:t>
      </w:r>
      <w:r w:rsidR="001A52FC" w:rsidRPr="008B19B9"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="001A52FC" w:rsidRPr="008B19B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3</w:t>
      </w:r>
      <w:r w:rsidR="004565BE" w:rsidRPr="008B19B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7414</w:t>
      </w:r>
      <w:r w:rsidR="00236636" w:rsidRPr="008B19B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.</w:t>
      </w:r>
    </w:p>
    <w:p w14:paraId="2F7E534F" w14:textId="77777777" w:rsidR="00C54701" w:rsidRPr="008B19B9" w:rsidRDefault="00C54701" w:rsidP="005241B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67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5"/>
        <w:gridCol w:w="2492"/>
        <w:gridCol w:w="2361"/>
        <w:gridCol w:w="1000"/>
      </w:tblGrid>
      <w:tr w:rsidR="00D52FDB" w:rsidRPr="008B19B9" w14:paraId="6715D4D6" w14:textId="77777777" w:rsidTr="002D3E83">
        <w:trPr>
          <w:trHeight w:val="251"/>
          <w:jc w:val="center"/>
        </w:trPr>
        <w:tc>
          <w:tcPr>
            <w:tcW w:w="6718" w:type="dxa"/>
            <w:gridSpan w:val="4"/>
            <w:tcBorders>
              <w:top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249EACC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Certificación y Renovación de la Certificación</w:t>
            </w:r>
          </w:p>
          <w:p w14:paraId="76564805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commentRangeStart w:id="0"/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CONAMEGE</w:t>
            </w:r>
            <w:commentRangeEnd w:id="0"/>
            <w:r>
              <w:rPr>
                <w:rStyle w:val="CommentReference"/>
              </w:rPr>
              <w:commentReference w:id="0"/>
            </w: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D52FDB" w:rsidRPr="008B19B9" w14:paraId="60A765A9" w14:textId="77777777" w:rsidTr="002D3E83">
        <w:trPr>
          <w:trHeight w:val="251"/>
          <w:jc w:val="center"/>
        </w:trPr>
        <w:tc>
          <w:tcPr>
            <w:tcW w:w="6718" w:type="dxa"/>
            <w:gridSpan w:val="4"/>
            <w:tcBorders>
              <w:top w:val="nil"/>
              <w:bottom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B92FAA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2003-2022</w:t>
            </w:r>
          </w:p>
        </w:tc>
      </w:tr>
      <w:tr w:rsidR="00D52FDB" w:rsidRPr="008B19B9" w14:paraId="4C40749A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0F3E1AF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Año</w:t>
            </w:r>
          </w:p>
        </w:tc>
        <w:tc>
          <w:tcPr>
            <w:tcW w:w="24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725AF8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Certificaciones </w:t>
            </w:r>
          </w:p>
        </w:tc>
        <w:tc>
          <w:tcPr>
            <w:tcW w:w="236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BCB5CF3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Renovaciones</w:t>
            </w:r>
          </w:p>
        </w:tc>
        <w:tc>
          <w:tcPr>
            <w:tcW w:w="99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3B9DC2D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Total </w:t>
            </w:r>
          </w:p>
        </w:tc>
      </w:tr>
      <w:tr w:rsidR="00D52FDB" w:rsidRPr="008B19B9" w14:paraId="0BB338E8" w14:textId="77777777" w:rsidTr="002D3E83">
        <w:trPr>
          <w:trHeight w:val="264"/>
          <w:jc w:val="center"/>
        </w:trPr>
        <w:tc>
          <w:tcPr>
            <w:tcW w:w="865" w:type="dxa"/>
            <w:shd w:val="clear" w:color="auto" w:fill="auto"/>
            <w:noWrap/>
            <w:vAlign w:val="bottom"/>
            <w:hideMark/>
          </w:tcPr>
          <w:p w14:paraId="5FC6120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2003</w:t>
            </w:r>
          </w:p>
        </w:tc>
        <w:tc>
          <w:tcPr>
            <w:tcW w:w="2492" w:type="dxa"/>
            <w:shd w:val="clear" w:color="auto" w:fill="auto"/>
            <w:noWrap/>
            <w:vAlign w:val="bottom"/>
            <w:hideMark/>
          </w:tcPr>
          <w:p w14:paraId="4CADBD4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1378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14:paraId="4044265D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366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11808D23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1744</w:t>
            </w:r>
          </w:p>
        </w:tc>
      </w:tr>
      <w:tr w:rsidR="00D52FDB" w:rsidRPr="008B19B9" w14:paraId="535AC13F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9AD0C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2004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49555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1613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5BB0AA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1081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953D3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2694</w:t>
            </w:r>
          </w:p>
        </w:tc>
      </w:tr>
      <w:tr w:rsidR="00D52FDB" w:rsidRPr="008B19B9" w14:paraId="6CEC250E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B46C4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2005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AB745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1232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39B8B3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1434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139AE9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2666</w:t>
            </w:r>
          </w:p>
        </w:tc>
      </w:tr>
      <w:tr w:rsidR="00D52FDB" w:rsidRPr="008B19B9" w14:paraId="4BF573B3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A56857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2006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44C12E9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1302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57E29D9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1624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4181BF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2926</w:t>
            </w:r>
          </w:p>
        </w:tc>
      </w:tr>
      <w:tr w:rsidR="00D52FDB" w:rsidRPr="008B19B9" w14:paraId="5093A92F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6470DF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2007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24AE27F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1326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DDFE08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551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0B666D3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1877</w:t>
            </w:r>
          </w:p>
        </w:tc>
      </w:tr>
      <w:tr w:rsidR="00D52FDB" w:rsidRPr="008B19B9" w14:paraId="254B0156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CE4591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2008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4FAF2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1602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0059F1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560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F87516A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2162</w:t>
            </w:r>
          </w:p>
        </w:tc>
      </w:tr>
      <w:tr w:rsidR="00D52FDB" w:rsidRPr="008B19B9" w14:paraId="447D085C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97F1210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2009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AE4D72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1460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81E4610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742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72A051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2202</w:t>
            </w:r>
          </w:p>
        </w:tc>
      </w:tr>
      <w:tr w:rsidR="00D52FDB" w:rsidRPr="008B19B9" w14:paraId="6775F1EE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BB68F7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2010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AA53C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550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5C855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838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74D75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1388</w:t>
            </w:r>
          </w:p>
        </w:tc>
      </w:tr>
      <w:tr w:rsidR="00D52FDB" w:rsidRPr="008B19B9" w14:paraId="753A972A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CF22AF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2011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F726AA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768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71F1F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1018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5C6925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1786</w:t>
            </w:r>
          </w:p>
        </w:tc>
      </w:tr>
      <w:tr w:rsidR="00D52FDB" w:rsidRPr="008B19B9" w14:paraId="55ACF524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3C627A8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2012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EC4C8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834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415BA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645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659909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1479</w:t>
            </w:r>
          </w:p>
        </w:tc>
      </w:tr>
      <w:tr w:rsidR="00D52FDB" w:rsidRPr="008B19B9" w14:paraId="2860D9B3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453E1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2013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66CEF25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1167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1F4E0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579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008E53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1746</w:t>
            </w:r>
          </w:p>
        </w:tc>
      </w:tr>
      <w:tr w:rsidR="00D52FDB" w:rsidRPr="008B19B9" w14:paraId="5E9FE703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68C6FCF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2014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AA327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1189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05FBA87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766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383B41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1955</w:t>
            </w:r>
          </w:p>
        </w:tc>
      </w:tr>
      <w:tr w:rsidR="00D52FDB" w:rsidRPr="008B19B9" w14:paraId="14F40F81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76E3B1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2015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DD31B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1649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2C88C2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824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B56BC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2473</w:t>
            </w:r>
          </w:p>
        </w:tc>
      </w:tr>
      <w:tr w:rsidR="00D52FDB" w:rsidRPr="008B19B9" w14:paraId="5834E9BE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037E69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2016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B1564FA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1323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CF94C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748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8B547D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2071</w:t>
            </w:r>
          </w:p>
        </w:tc>
      </w:tr>
      <w:tr w:rsidR="00D52FDB" w:rsidRPr="008B19B9" w14:paraId="23056EC9" w14:textId="77777777" w:rsidTr="002D3E83">
        <w:trPr>
          <w:trHeight w:val="24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F80FE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2017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7876171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885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B2194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477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E815778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1362</w:t>
            </w:r>
          </w:p>
        </w:tc>
      </w:tr>
      <w:tr w:rsidR="00D52FDB" w:rsidRPr="008B19B9" w14:paraId="29A48F91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77E6D8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2018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CDFAD6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756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C0D414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734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8F405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1490</w:t>
            </w:r>
          </w:p>
        </w:tc>
      </w:tr>
      <w:tr w:rsidR="00D52FDB" w:rsidRPr="008B19B9" w14:paraId="16427F69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9248378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2019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8D46B9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627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31116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785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76164D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1412</w:t>
            </w:r>
          </w:p>
        </w:tc>
      </w:tr>
      <w:tr w:rsidR="00D52FDB" w:rsidRPr="008B19B9" w14:paraId="39CE959D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01EA727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2020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2FF4C01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522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1364C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712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E0D2844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1234</w:t>
            </w:r>
          </w:p>
        </w:tc>
      </w:tr>
      <w:tr w:rsidR="00D52FDB" w:rsidRPr="008B19B9" w14:paraId="13154ABA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4E8ADE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2021</w:t>
            </w:r>
          </w:p>
        </w:tc>
        <w:tc>
          <w:tcPr>
            <w:tcW w:w="2492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23086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669</w:t>
            </w:r>
          </w:p>
        </w:tc>
        <w:tc>
          <w:tcPr>
            <w:tcW w:w="236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D7C88A1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700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D925D6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1369</w:t>
            </w:r>
          </w:p>
        </w:tc>
      </w:tr>
      <w:tr w:rsidR="00D52FDB" w:rsidRPr="008B19B9" w14:paraId="494D5841" w14:textId="77777777" w:rsidTr="002D3E83">
        <w:trPr>
          <w:trHeight w:val="264"/>
          <w:jc w:val="center"/>
        </w:trPr>
        <w:tc>
          <w:tcPr>
            <w:tcW w:w="8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780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2022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19DB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>645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DAEC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>733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6CF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8B19B9">
              <w:rPr>
                <w:rFonts w:ascii="Arial" w:hAnsi="Arial" w:cs="Arial"/>
                <w:color w:val="000000" w:themeColor="text1"/>
                <w:kern w:val="24"/>
                <w:sz w:val="24"/>
                <w:szCs w:val="24"/>
              </w:rPr>
              <w:t>1378</w:t>
            </w:r>
          </w:p>
        </w:tc>
      </w:tr>
      <w:tr w:rsidR="00D52FDB" w:rsidRPr="008B19B9" w14:paraId="62128EA0" w14:textId="77777777" w:rsidTr="002D3E83">
        <w:trPr>
          <w:trHeight w:val="264"/>
          <w:jc w:val="center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373F955F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 xml:space="preserve">Total </w:t>
            </w:r>
          </w:p>
        </w:tc>
        <w:tc>
          <w:tcPr>
            <w:tcW w:w="2492" w:type="dxa"/>
            <w:tcBorders>
              <w:top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1D523C99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21497</w:t>
            </w:r>
          </w:p>
        </w:tc>
        <w:tc>
          <w:tcPr>
            <w:tcW w:w="2361" w:type="dxa"/>
            <w:tcBorders>
              <w:top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76EB8050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15917</w:t>
            </w:r>
          </w:p>
        </w:tc>
        <w:tc>
          <w:tcPr>
            <w:tcW w:w="999" w:type="dxa"/>
            <w:tcBorders>
              <w:top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 w14:paraId="43A668E2" w14:textId="77777777" w:rsidR="00D52FDB" w:rsidRPr="008B19B9" w:rsidRDefault="00D52FDB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</w:pPr>
            <w:r w:rsidRPr="008B19B9">
              <w:rPr>
                <w:rFonts w:ascii="Arial" w:hAnsi="Arial" w:cs="Arial"/>
                <w:b/>
                <w:bCs/>
                <w:color w:val="000000" w:themeColor="text1"/>
                <w:kern w:val="24"/>
                <w:sz w:val="24"/>
                <w:szCs w:val="24"/>
              </w:rPr>
              <w:t>37414</w:t>
            </w:r>
          </w:p>
        </w:tc>
      </w:tr>
      <w:tr w:rsidR="00D52FDB" w:rsidRPr="008B19B9" w14:paraId="168800AB" w14:textId="77777777" w:rsidTr="002D3E83">
        <w:trPr>
          <w:trHeight w:val="264"/>
          <w:jc w:val="center"/>
        </w:trPr>
        <w:tc>
          <w:tcPr>
            <w:tcW w:w="6718" w:type="dxa"/>
            <w:gridSpan w:val="4"/>
            <w:shd w:val="clear" w:color="auto" w:fill="auto"/>
            <w:noWrap/>
            <w:vAlign w:val="bottom"/>
          </w:tcPr>
          <w:p w14:paraId="7CF678DF" w14:textId="77777777" w:rsidR="00D52FDB" w:rsidRPr="008B19B9" w:rsidRDefault="00D52FDB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66F37058" w14:textId="2429D05D" w:rsidR="005241B8" w:rsidRPr="008B19B9" w:rsidRDefault="005241B8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29C6CB1D" w14:textId="6252C545" w:rsidR="00732606" w:rsidRPr="008B19B9" w:rsidRDefault="00732606" w:rsidP="0093434C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sz w:val="24"/>
          <w:szCs w:val="24"/>
        </w:rPr>
        <w:t xml:space="preserve">Registro y Renovación de Actividades de Educación Médica Continua </w:t>
      </w:r>
    </w:p>
    <w:p w14:paraId="4A6ADE7E" w14:textId="0C3E64BE" w:rsidR="00732606" w:rsidRPr="008B19B9" w:rsidRDefault="00732606" w:rsidP="0093434C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sz w:val="24"/>
          <w:szCs w:val="24"/>
        </w:rPr>
        <w:t>En la función del Subcomité de Educación Médica Continua</w:t>
      </w:r>
      <w:r w:rsidR="007E42E5" w:rsidRPr="008B19B9">
        <w:rPr>
          <w:rFonts w:ascii="Arial" w:eastAsia="Calibri" w:hAnsi="Arial" w:cs="Arial"/>
          <w:sz w:val="24"/>
          <w:szCs w:val="24"/>
          <w:vertAlign w:val="superscript"/>
        </w:rPr>
        <w:t>2</w:t>
      </w:r>
      <w:r w:rsidR="00031318" w:rsidRPr="008B19B9">
        <w:rPr>
          <w:rFonts w:ascii="Arial" w:eastAsia="Calibri" w:hAnsi="Arial" w:cs="Arial"/>
          <w:sz w:val="24"/>
          <w:szCs w:val="24"/>
        </w:rPr>
        <w:t xml:space="preserve"> de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031318" w:rsidRPr="008B19B9">
        <w:rPr>
          <w:rFonts w:ascii="Arial" w:eastAsia="Calibri" w:hAnsi="Arial" w:cs="Arial"/>
          <w:sz w:val="24"/>
          <w:szCs w:val="24"/>
        </w:rPr>
        <w:t>e</w:t>
      </w:r>
      <w:r w:rsidR="00DE0322" w:rsidRPr="008B19B9">
        <w:rPr>
          <w:rFonts w:ascii="Arial" w:eastAsia="Calibri" w:hAnsi="Arial" w:cs="Arial"/>
          <w:sz w:val="24"/>
          <w:szCs w:val="24"/>
        </w:rPr>
        <w:t>valuar, calificar y, en su caso, otorgar los puntos correspondientes para médicos generales, alumnos y</w:t>
      </w:r>
      <w:r w:rsidR="00031318"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DE0322" w:rsidRPr="008B19B9">
        <w:rPr>
          <w:rFonts w:ascii="Arial" w:eastAsia="Calibri" w:hAnsi="Arial" w:cs="Arial"/>
          <w:sz w:val="24"/>
          <w:szCs w:val="24"/>
        </w:rPr>
        <w:t>profesores participantes en dichas actividades</w:t>
      </w:r>
      <w:r w:rsidRPr="008B19B9">
        <w:rPr>
          <w:rFonts w:ascii="Arial" w:eastAsia="Calibri" w:hAnsi="Arial" w:cs="Arial"/>
          <w:sz w:val="24"/>
          <w:szCs w:val="24"/>
        </w:rPr>
        <w:t xml:space="preserve">, </w:t>
      </w:r>
      <w:r w:rsidR="00031318" w:rsidRPr="008B19B9">
        <w:rPr>
          <w:rFonts w:ascii="Arial" w:eastAsia="Calibri" w:hAnsi="Arial" w:cs="Arial"/>
          <w:sz w:val="24"/>
          <w:szCs w:val="24"/>
        </w:rPr>
        <w:t>con la finalidad de actualizar</w:t>
      </w:r>
      <w:r w:rsidRPr="008B19B9">
        <w:rPr>
          <w:rFonts w:ascii="Arial" w:eastAsia="Calibri" w:hAnsi="Arial" w:cs="Arial"/>
          <w:sz w:val="24"/>
          <w:szCs w:val="24"/>
        </w:rPr>
        <w:t xml:space="preserve"> en el conocimiento médico, </w:t>
      </w:r>
      <w:r w:rsidR="00325385" w:rsidRPr="008B19B9">
        <w:rPr>
          <w:rFonts w:ascii="Arial" w:eastAsia="Calibri" w:hAnsi="Arial" w:cs="Arial"/>
          <w:sz w:val="24"/>
          <w:szCs w:val="24"/>
        </w:rPr>
        <w:t>se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325385" w:rsidRPr="008B19B9">
        <w:rPr>
          <w:rFonts w:ascii="Arial" w:eastAsia="Calibri" w:hAnsi="Arial" w:cs="Arial"/>
          <w:sz w:val="24"/>
          <w:szCs w:val="24"/>
        </w:rPr>
        <w:t>registr</w:t>
      </w:r>
      <w:r w:rsidR="00DF095F">
        <w:rPr>
          <w:rFonts w:ascii="Arial" w:eastAsia="Calibri" w:hAnsi="Arial" w:cs="Arial"/>
          <w:sz w:val="24"/>
          <w:szCs w:val="24"/>
        </w:rPr>
        <w:t>ó</w:t>
      </w:r>
      <w:r w:rsidR="00325385" w:rsidRPr="008B19B9">
        <w:rPr>
          <w:rFonts w:ascii="Arial" w:eastAsia="Calibri" w:hAnsi="Arial" w:cs="Arial"/>
          <w:sz w:val="24"/>
          <w:szCs w:val="24"/>
        </w:rPr>
        <w:t xml:space="preserve"> </w:t>
      </w:r>
      <w:r w:rsidRPr="008B19B9">
        <w:rPr>
          <w:rFonts w:ascii="Arial" w:eastAsia="Calibri" w:hAnsi="Arial" w:cs="Arial"/>
          <w:sz w:val="24"/>
          <w:szCs w:val="24"/>
        </w:rPr>
        <w:t xml:space="preserve">un total de 5,183 actividades, 276 </w:t>
      </w:r>
      <w:r w:rsidR="00DF095F">
        <w:rPr>
          <w:rFonts w:ascii="Arial" w:eastAsia="Calibri" w:hAnsi="Arial" w:cs="Arial"/>
          <w:sz w:val="24"/>
          <w:szCs w:val="24"/>
        </w:rPr>
        <w:t>r</w:t>
      </w:r>
      <w:r w:rsidRPr="008B19B9">
        <w:rPr>
          <w:rFonts w:ascii="Arial" w:eastAsia="Calibri" w:hAnsi="Arial" w:cs="Arial"/>
          <w:sz w:val="24"/>
          <w:szCs w:val="24"/>
        </w:rPr>
        <w:t xml:space="preserve">enovaciones, 3,420 modalidad presencial, 1620 en modalidad </w:t>
      </w:r>
      <w:r w:rsidR="00DF095F">
        <w:rPr>
          <w:rFonts w:ascii="Arial" w:eastAsia="Calibri" w:hAnsi="Arial" w:cs="Arial"/>
          <w:sz w:val="24"/>
          <w:szCs w:val="24"/>
        </w:rPr>
        <w:t>a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DF095F">
        <w:rPr>
          <w:rFonts w:ascii="Arial" w:eastAsia="Calibri" w:hAnsi="Arial" w:cs="Arial"/>
          <w:sz w:val="24"/>
          <w:szCs w:val="24"/>
        </w:rPr>
        <w:t>d</w:t>
      </w:r>
      <w:r w:rsidRPr="008B19B9">
        <w:rPr>
          <w:rFonts w:ascii="Arial" w:eastAsia="Calibri" w:hAnsi="Arial" w:cs="Arial"/>
          <w:sz w:val="24"/>
          <w:szCs w:val="24"/>
        </w:rPr>
        <w:t>istancia</w:t>
      </w:r>
      <w:r w:rsidR="00DF095F">
        <w:rPr>
          <w:rFonts w:ascii="Arial" w:eastAsia="Calibri" w:hAnsi="Arial" w:cs="Arial"/>
          <w:sz w:val="24"/>
          <w:szCs w:val="24"/>
        </w:rPr>
        <w:t xml:space="preserve"> y</w:t>
      </w:r>
      <w:r w:rsidRPr="008B19B9">
        <w:rPr>
          <w:rFonts w:ascii="Arial" w:eastAsia="Calibri" w:hAnsi="Arial" w:cs="Arial"/>
          <w:sz w:val="24"/>
          <w:szCs w:val="24"/>
        </w:rPr>
        <w:t xml:space="preserve"> 143 mixtas</w:t>
      </w:r>
      <w:r w:rsidR="00DF095F">
        <w:rPr>
          <w:rFonts w:ascii="Arial" w:eastAsia="Calibri" w:hAnsi="Arial" w:cs="Arial"/>
          <w:sz w:val="24"/>
          <w:szCs w:val="24"/>
        </w:rPr>
        <w:t>;</w:t>
      </w:r>
      <w:r w:rsidRPr="008B19B9">
        <w:rPr>
          <w:rFonts w:ascii="Arial" w:eastAsia="Calibri" w:hAnsi="Arial" w:cs="Arial"/>
          <w:sz w:val="24"/>
          <w:szCs w:val="24"/>
        </w:rPr>
        <w:t xml:space="preserve"> con un total de 11,996 actividades</w:t>
      </w:r>
      <w:r w:rsidR="002A4A30" w:rsidRPr="008B19B9">
        <w:rPr>
          <w:rFonts w:ascii="Arial" w:eastAsia="Calibri" w:hAnsi="Arial" w:cs="Arial"/>
          <w:sz w:val="24"/>
          <w:szCs w:val="24"/>
        </w:rPr>
        <w:t xml:space="preserve"> con y sin replicas</w:t>
      </w:r>
      <w:r w:rsidRPr="008B19B9">
        <w:rPr>
          <w:rFonts w:ascii="Arial" w:eastAsia="Calibri" w:hAnsi="Arial" w:cs="Arial"/>
          <w:sz w:val="24"/>
          <w:szCs w:val="24"/>
        </w:rPr>
        <w:t xml:space="preserve">. </w:t>
      </w:r>
    </w:p>
    <w:p w14:paraId="225A1FD6" w14:textId="2ADE3168" w:rsidR="00DF095F" w:rsidRDefault="00DF095F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291A1B0E" w14:textId="5096FE58" w:rsidR="00DF095F" w:rsidRDefault="00DF095F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4BA85580" w14:textId="613E2B7A" w:rsidR="00DF095F" w:rsidRDefault="00DF095F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2916E2A7" w14:textId="13D2F85E" w:rsidR="00DF095F" w:rsidRDefault="00DF095F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1F8EEC91" w14:textId="77777777" w:rsidR="00DF095F" w:rsidRPr="008B19B9" w:rsidRDefault="00DF095F" w:rsidP="004565BE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65499633" w14:textId="50AB915B" w:rsidR="00DF095F" w:rsidRPr="008B19B9" w:rsidRDefault="00DF095F" w:rsidP="005241B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</w:p>
    <w:tbl>
      <w:tblPr>
        <w:tblW w:w="7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1247"/>
        <w:gridCol w:w="1768"/>
        <w:gridCol w:w="1341"/>
        <w:gridCol w:w="1208"/>
        <w:gridCol w:w="754"/>
        <w:gridCol w:w="1488"/>
        <w:gridCol w:w="146"/>
      </w:tblGrid>
      <w:tr w:rsidR="00DF095F" w:rsidRPr="008B19B9" w14:paraId="4282FFC6" w14:textId="77777777" w:rsidTr="002D3E83">
        <w:trPr>
          <w:gridAfter w:val="1"/>
          <w:wAfter w:w="146" w:type="dxa"/>
          <w:trHeight w:val="484"/>
        </w:trPr>
        <w:tc>
          <w:tcPr>
            <w:tcW w:w="7199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531407FB" w14:textId="0F785515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Calibri" w:hAnsi="Arial" w:cs="Arial"/>
                <w:b/>
                <w:bCs/>
                <w:sz w:val="24"/>
                <w:szCs w:val="24"/>
              </w:rPr>
              <w:lastRenderedPageBreak/>
              <w:br w:type="page"/>
            </w:r>
            <w:r w:rsidRPr="008B19B9">
              <w:rPr>
                <w:rFonts w:ascii="Arial" w:eastAsia="Calibri" w:hAnsi="Arial" w:cs="Arial"/>
                <w:b/>
                <w:bCs/>
                <w:sz w:val="24"/>
                <w:szCs w:val="24"/>
              </w:rPr>
              <w:br w:type="page"/>
            </w: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 Actividades de Educación Médica Continua                                                                                                                       (Registro de actividades y Renovaciones 2004-</w:t>
            </w:r>
            <w:commentRangeStart w:id="1"/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2022</w:t>
            </w:r>
            <w:commentRangeEnd w:id="1"/>
            <w:r>
              <w:rPr>
                <w:rStyle w:val="CommentReference"/>
              </w:rPr>
              <w:commentReference w:id="1"/>
            </w: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)</w:t>
            </w:r>
          </w:p>
        </w:tc>
      </w:tr>
      <w:tr w:rsidR="00DF095F" w:rsidRPr="008B19B9" w14:paraId="0C518FA3" w14:textId="77777777" w:rsidTr="002D3E83">
        <w:trPr>
          <w:trHeight w:val="224"/>
        </w:trPr>
        <w:tc>
          <w:tcPr>
            <w:tcW w:w="7199" w:type="dxa"/>
            <w:gridSpan w:val="7"/>
            <w:vMerge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9B35BB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28D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</w:tr>
      <w:tr w:rsidR="00DF095F" w:rsidRPr="008B19B9" w14:paraId="7063C066" w14:textId="77777777" w:rsidTr="002D3E83">
        <w:trPr>
          <w:trHeight w:val="957"/>
        </w:trPr>
        <w:tc>
          <w:tcPr>
            <w:tcW w:w="62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300022A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Año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103F251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Registros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617F69F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Renovaciones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70118E9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Presencial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6C98DB0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Distancia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3F16713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Mixta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DEEAF6"/>
            <w:vAlign w:val="center"/>
            <w:hideMark/>
          </w:tcPr>
          <w:p w14:paraId="5B02C35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Actividades con y sin replica</w:t>
            </w:r>
          </w:p>
        </w:tc>
        <w:tc>
          <w:tcPr>
            <w:tcW w:w="146" w:type="dxa"/>
            <w:vAlign w:val="center"/>
            <w:hideMark/>
          </w:tcPr>
          <w:p w14:paraId="140DCC4F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1142966A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8F0C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2022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904F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F497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1879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B51F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5689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9871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517</w:t>
            </w:r>
          </w:p>
        </w:tc>
        <w:tc>
          <w:tcPr>
            <w:tcW w:w="146" w:type="dxa"/>
            <w:vAlign w:val="center"/>
            <w:hideMark/>
          </w:tcPr>
          <w:p w14:paraId="3BDFBC2B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1022EA62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11D5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FCC0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482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3FE1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6A8D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92C8F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F309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88F2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514</w:t>
            </w:r>
          </w:p>
        </w:tc>
        <w:tc>
          <w:tcPr>
            <w:tcW w:w="146" w:type="dxa"/>
            <w:vAlign w:val="center"/>
            <w:hideMark/>
          </w:tcPr>
          <w:p w14:paraId="15A9049E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1E8F827F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661EF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2020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7C75F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408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84E2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BAC7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D48A8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33E7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FA0B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531</w:t>
            </w:r>
          </w:p>
        </w:tc>
        <w:tc>
          <w:tcPr>
            <w:tcW w:w="146" w:type="dxa"/>
            <w:vAlign w:val="center"/>
            <w:hideMark/>
          </w:tcPr>
          <w:p w14:paraId="69954546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2834513E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E037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821C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382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4D3E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62BC2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A1A6F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4F98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19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567F45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845</w:t>
            </w:r>
          </w:p>
        </w:tc>
        <w:tc>
          <w:tcPr>
            <w:tcW w:w="146" w:type="dxa"/>
            <w:vAlign w:val="center"/>
            <w:hideMark/>
          </w:tcPr>
          <w:p w14:paraId="715D6D3A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5444F187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1D851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703A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81F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B18E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741E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797D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95FB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609</w:t>
            </w:r>
          </w:p>
        </w:tc>
        <w:tc>
          <w:tcPr>
            <w:tcW w:w="146" w:type="dxa"/>
            <w:vAlign w:val="center"/>
            <w:hideMark/>
          </w:tcPr>
          <w:p w14:paraId="0C7A8B76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1B6D9724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2A2B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8CB5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300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E0E3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3471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C112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AFB6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B908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855</w:t>
            </w:r>
          </w:p>
        </w:tc>
        <w:tc>
          <w:tcPr>
            <w:tcW w:w="146" w:type="dxa"/>
            <w:vAlign w:val="center"/>
            <w:hideMark/>
          </w:tcPr>
          <w:p w14:paraId="61E4A3D2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7100ED6D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C107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0EE5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4472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ADBA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240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9043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3591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DC08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674</w:t>
            </w:r>
          </w:p>
        </w:tc>
        <w:tc>
          <w:tcPr>
            <w:tcW w:w="146" w:type="dxa"/>
            <w:vAlign w:val="center"/>
            <w:hideMark/>
          </w:tcPr>
          <w:p w14:paraId="178F56C8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6171560A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16655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FAEE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274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5E6E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17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8FA7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245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DCEC5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23B1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21E9F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654</w:t>
            </w:r>
          </w:p>
        </w:tc>
        <w:tc>
          <w:tcPr>
            <w:tcW w:w="146" w:type="dxa"/>
            <w:vAlign w:val="center"/>
            <w:hideMark/>
          </w:tcPr>
          <w:p w14:paraId="6F1DB338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235AFE80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EB0A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BA32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FCB2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0FD2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194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DD335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7467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7A72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472</w:t>
            </w:r>
          </w:p>
        </w:tc>
        <w:tc>
          <w:tcPr>
            <w:tcW w:w="146" w:type="dxa"/>
            <w:vAlign w:val="center"/>
            <w:hideMark/>
          </w:tcPr>
          <w:p w14:paraId="7744BEDC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4543FFFB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242A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3C57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248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AC36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69B6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4DAF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03A8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2F56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928</w:t>
            </w:r>
          </w:p>
        </w:tc>
        <w:tc>
          <w:tcPr>
            <w:tcW w:w="146" w:type="dxa"/>
            <w:vAlign w:val="center"/>
            <w:hideMark/>
          </w:tcPr>
          <w:p w14:paraId="346C995B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21320937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0192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21B4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E37E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39E7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230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222C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C077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6AF9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754</w:t>
            </w:r>
          </w:p>
        </w:tc>
        <w:tc>
          <w:tcPr>
            <w:tcW w:w="146" w:type="dxa"/>
            <w:vAlign w:val="center"/>
            <w:hideMark/>
          </w:tcPr>
          <w:p w14:paraId="59FB8534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76EF0497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836F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21745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226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394F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6E54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211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7BAC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61FA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9AAC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534</w:t>
            </w:r>
          </w:p>
        </w:tc>
        <w:tc>
          <w:tcPr>
            <w:tcW w:w="146" w:type="dxa"/>
            <w:vAlign w:val="center"/>
            <w:hideMark/>
          </w:tcPr>
          <w:p w14:paraId="47287A77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6524C1BB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FFB2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2010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21EF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231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9EA5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060A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7C37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2E1A1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6D42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865</w:t>
            </w:r>
          </w:p>
        </w:tc>
        <w:tc>
          <w:tcPr>
            <w:tcW w:w="146" w:type="dxa"/>
            <w:vAlign w:val="center"/>
            <w:hideMark/>
          </w:tcPr>
          <w:p w14:paraId="64A69165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4AD8D9A4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90E4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6AB5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185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7FCC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82AE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164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332B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C886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A3BB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501</w:t>
            </w:r>
          </w:p>
        </w:tc>
        <w:tc>
          <w:tcPr>
            <w:tcW w:w="146" w:type="dxa"/>
            <w:vAlign w:val="center"/>
            <w:hideMark/>
          </w:tcPr>
          <w:p w14:paraId="1EA213A8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775EFA81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2389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2008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2457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207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0824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2F50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DC99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C198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BF7D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576</w:t>
            </w:r>
          </w:p>
        </w:tc>
        <w:tc>
          <w:tcPr>
            <w:tcW w:w="146" w:type="dxa"/>
            <w:vAlign w:val="center"/>
            <w:hideMark/>
          </w:tcPr>
          <w:p w14:paraId="531F6B2A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5AFE49E0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D155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2007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747A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280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47DE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DDAA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A488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59A8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54A1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691</w:t>
            </w:r>
          </w:p>
        </w:tc>
        <w:tc>
          <w:tcPr>
            <w:tcW w:w="146" w:type="dxa"/>
            <w:vAlign w:val="center"/>
            <w:hideMark/>
          </w:tcPr>
          <w:p w14:paraId="67A90A55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13732F64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4FEE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2006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3A64F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248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FD5A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34C6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168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E770E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3F59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14BE4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755</w:t>
            </w:r>
          </w:p>
        </w:tc>
        <w:tc>
          <w:tcPr>
            <w:tcW w:w="146" w:type="dxa"/>
            <w:vAlign w:val="center"/>
            <w:hideMark/>
          </w:tcPr>
          <w:p w14:paraId="72D93FD8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2F0BCA5E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DD4C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90B7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212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9DC60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82A5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130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E034E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78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1B92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8E3A2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589</w:t>
            </w:r>
          </w:p>
        </w:tc>
        <w:tc>
          <w:tcPr>
            <w:tcW w:w="146" w:type="dxa"/>
            <w:vAlign w:val="center"/>
            <w:hideMark/>
          </w:tcPr>
          <w:p w14:paraId="2AE1AF38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46A5E069" w14:textId="77777777" w:rsidTr="002D3E83">
        <w:trPr>
          <w:trHeight w:val="247"/>
        </w:trPr>
        <w:tc>
          <w:tcPr>
            <w:tcW w:w="6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5F3583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94D9B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89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71873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45D303C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102CF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99B7E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31E1C7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186</w:t>
            </w:r>
          </w:p>
        </w:tc>
        <w:tc>
          <w:tcPr>
            <w:tcW w:w="146" w:type="dxa"/>
            <w:vAlign w:val="center"/>
            <w:hideMark/>
          </w:tcPr>
          <w:p w14:paraId="55AF7199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DF095F" w:rsidRPr="008B19B9" w14:paraId="10DBD0D9" w14:textId="77777777" w:rsidTr="002D3E83">
        <w:trPr>
          <w:trHeight w:val="236"/>
        </w:trPr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649EF036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Total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4072402D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5183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7A14E226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276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0E34C9EA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3420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1A32BE19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1620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27B37F61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143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2C2A6BDB" w14:textId="77777777" w:rsidR="00DF095F" w:rsidRPr="008B19B9" w:rsidRDefault="00DF095F" w:rsidP="002D3E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8B1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11996</w:t>
            </w:r>
          </w:p>
        </w:tc>
        <w:tc>
          <w:tcPr>
            <w:tcW w:w="146" w:type="dxa"/>
            <w:vAlign w:val="center"/>
            <w:hideMark/>
          </w:tcPr>
          <w:p w14:paraId="72786C33" w14:textId="77777777" w:rsidR="00DF095F" w:rsidRPr="008B19B9" w:rsidRDefault="00DF095F" w:rsidP="002D3E8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5F352B4C" w14:textId="60F44312" w:rsidR="005241B8" w:rsidRDefault="005241B8" w:rsidP="005241B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eastAsia="Calibri" w:hAnsi="Arial" w:cs="Arial"/>
          <w:sz w:val="24"/>
          <w:szCs w:val="24"/>
        </w:rPr>
        <w:t xml:space="preserve"> </w:t>
      </w:r>
    </w:p>
    <w:p w14:paraId="7E56B6C3" w14:textId="77777777" w:rsidR="00DF095F" w:rsidRPr="008B19B9" w:rsidRDefault="00DF095F" w:rsidP="005241B8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</w:p>
    <w:p w14:paraId="29C83532" w14:textId="53667B6D" w:rsidR="00DF095F" w:rsidRDefault="00DF095F" w:rsidP="00DF095F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En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325385" w:rsidRPr="008B19B9">
        <w:rPr>
          <w:rFonts w:ascii="Arial" w:eastAsia="Calibri" w:hAnsi="Arial" w:cs="Arial"/>
          <w:sz w:val="24"/>
          <w:szCs w:val="24"/>
        </w:rPr>
        <w:t xml:space="preserve">relación </w:t>
      </w:r>
      <w:r>
        <w:rPr>
          <w:rFonts w:ascii="Arial" w:eastAsia="Calibri" w:hAnsi="Arial" w:cs="Arial"/>
          <w:sz w:val="24"/>
          <w:szCs w:val="24"/>
        </w:rPr>
        <w:t>con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325385" w:rsidRPr="008B19B9">
        <w:rPr>
          <w:rFonts w:ascii="Arial" w:eastAsia="Calibri" w:hAnsi="Arial" w:cs="Arial"/>
          <w:sz w:val="24"/>
          <w:szCs w:val="24"/>
        </w:rPr>
        <w:t>la modalidad de presentación de la educación médica continua, en la siguiente gráfica se identifica que en primer lugar</w:t>
      </w:r>
      <w:r w:rsidR="00442AC4" w:rsidRPr="008B19B9"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eastAsia="Calibri" w:hAnsi="Arial" w:cs="Arial"/>
          <w:sz w:val="24"/>
          <w:szCs w:val="24"/>
        </w:rPr>
        <w:t>se encuentran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325385" w:rsidRPr="008B19B9">
        <w:rPr>
          <w:rFonts w:ascii="Arial" w:eastAsia="Calibri" w:hAnsi="Arial" w:cs="Arial"/>
          <w:sz w:val="24"/>
          <w:szCs w:val="24"/>
        </w:rPr>
        <w:t>los cursos</w:t>
      </w:r>
      <w:r>
        <w:rPr>
          <w:rFonts w:ascii="Arial" w:eastAsia="Calibri" w:hAnsi="Arial" w:cs="Arial"/>
          <w:sz w:val="24"/>
          <w:szCs w:val="24"/>
        </w:rPr>
        <w:t xml:space="preserve"> (260), s</w:t>
      </w:r>
      <w:r w:rsidR="00325385" w:rsidRPr="008B19B9">
        <w:rPr>
          <w:rFonts w:ascii="Arial" w:eastAsia="Calibri" w:hAnsi="Arial" w:cs="Arial"/>
          <w:sz w:val="24"/>
          <w:szCs w:val="24"/>
        </w:rPr>
        <w:t>eguido de congresos (</w:t>
      </w:r>
      <w:r w:rsidR="00506D7C" w:rsidRPr="008B19B9">
        <w:rPr>
          <w:rFonts w:ascii="Arial" w:eastAsia="Calibri" w:hAnsi="Arial" w:cs="Arial"/>
          <w:sz w:val="24"/>
          <w:szCs w:val="24"/>
        </w:rPr>
        <w:t>55</w:t>
      </w:r>
      <w:r w:rsidR="00325385" w:rsidRPr="008B19B9">
        <w:rPr>
          <w:rFonts w:ascii="Arial" w:eastAsia="Calibri" w:hAnsi="Arial" w:cs="Arial"/>
          <w:sz w:val="24"/>
          <w:szCs w:val="24"/>
        </w:rPr>
        <w:t>), conferencias (</w:t>
      </w:r>
      <w:r w:rsidR="00506D7C" w:rsidRPr="008B19B9">
        <w:rPr>
          <w:rFonts w:ascii="Arial" w:eastAsia="Calibri" w:hAnsi="Arial" w:cs="Arial"/>
          <w:sz w:val="24"/>
          <w:szCs w:val="24"/>
        </w:rPr>
        <w:t>35</w:t>
      </w:r>
      <w:r w:rsidR="00325385" w:rsidRPr="008B19B9">
        <w:rPr>
          <w:rFonts w:ascii="Arial" w:eastAsia="Calibri" w:hAnsi="Arial" w:cs="Arial"/>
          <w:sz w:val="24"/>
          <w:szCs w:val="24"/>
        </w:rPr>
        <w:t>) y teleconferencias (</w:t>
      </w:r>
      <w:r w:rsidR="00506D7C" w:rsidRPr="008B19B9">
        <w:rPr>
          <w:rFonts w:ascii="Arial" w:eastAsia="Calibri" w:hAnsi="Arial" w:cs="Arial"/>
          <w:sz w:val="24"/>
          <w:szCs w:val="24"/>
        </w:rPr>
        <w:t>30</w:t>
      </w:r>
      <w:r w:rsidR="00325385" w:rsidRPr="008B19B9">
        <w:rPr>
          <w:rFonts w:ascii="Arial" w:eastAsia="Calibri" w:hAnsi="Arial" w:cs="Arial"/>
          <w:sz w:val="24"/>
          <w:szCs w:val="24"/>
        </w:rPr>
        <w:t>), así como libros y publicaciones (1</w:t>
      </w:r>
      <w:r w:rsidR="00506D7C" w:rsidRPr="008B19B9">
        <w:rPr>
          <w:rFonts w:ascii="Arial" w:eastAsia="Calibri" w:hAnsi="Arial" w:cs="Arial"/>
          <w:sz w:val="24"/>
          <w:szCs w:val="24"/>
        </w:rPr>
        <w:t>5</w:t>
      </w:r>
      <w:r w:rsidR="00325385" w:rsidRPr="008B19B9">
        <w:rPr>
          <w:rFonts w:ascii="Arial" w:eastAsia="Calibri" w:hAnsi="Arial" w:cs="Arial"/>
          <w:sz w:val="24"/>
          <w:szCs w:val="24"/>
        </w:rPr>
        <w:t>).</w:t>
      </w:r>
    </w:p>
    <w:p w14:paraId="2CD68956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4C697E3E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AA54932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746F3FF9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096A3DAE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51541C2F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67186671" w14:textId="77777777" w:rsidR="00DF095F" w:rsidRDefault="00DF095F" w:rsidP="00DF095F">
      <w:pPr>
        <w:jc w:val="center"/>
        <w:rPr>
          <w:rFonts w:ascii="Arial" w:eastAsia="Calibri" w:hAnsi="Arial" w:cs="Arial"/>
          <w:b/>
          <w:bCs/>
          <w:sz w:val="24"/>
          <w:szCs w:val="24"/>
        </w:rPr>
      </w:pPr>
    </w:p>
    <w:p w14:paraId="23F19EA9" w14:textId="77777777" w:rsidR="00DF095F" w:rsidRDefault="00DF095F" w:rsidP="00DF095F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2D5659F" w14:textId="02B2E46B" w:rsidR="00DF095F" w:rsidRPr="008B19B9" w:rsidRDefault="00DF095F" w:rsidP="0041082C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sz w:val="24"/>
          <w:szCs w:val="24"/>
        </w:rPr>
        <w:lastRenderedPageBreak/>
        <w:t>Modalidad de presentación de la actividad académica</w:t>
      </w:r>
    </w:p>
    <w:p w14:paraId="2AD69BD3" w14:textId="1D99DA2B" w:rsidR="005241B8" w:rsidRPr="0041082C" w:rsidRDefault="00DF095F" w:rsidP="0041082C">
      <w:pPr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noProof/>
          <w:sz w:val="24"/>
          <w:szCs w:val="24"/>
        </w:rPr>
        <w:drawing>
          <wp:inline distT="0" distB="0" distL="0" distR="0" wp14:anchorId="48679572" wp14:editId="5C38DFEC">
            <wp:extent cx="5181600" cy="41052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A78A69E0-EAA9-6C28-378D-0D423135B6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28AE64" w14:textId="79B722A4" w:rsidR="00694AD4" w:rsidRPr="008B19B9" w:rsidRDefault="00694AD4" w:rsidP="00732606">
      <w:pPr>
        <w:rPr>
          <w:rFonts w:ascii="Arial" w:eastAsia="Calibri" w:hAnsi="Arial" w:cs="Arial"/>
          <w:b/>
          <w:bCs/>
          <w:sz w:val="24"/>
          <w:szCs w:val="24"/>
        </w:rPr>
      </w:pPr>
    </w:p>
    <w:p w14:paraId="72316FA8" w14:textId="11434FC3" w:rsidR="00DF095F" w:rsidRDefault="00905CD6" w:rsidP="00DF095F">
      <w:pPr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Si bien la pandemia de </w:t>
      </w:r>
      <w:r w:rsidR="00DF095F">
        <w:rPr>
          <w:rFonts w:ascii="Arial" w:hAnsi="Arial" w:cs="Arial"/>
          <w:sz w:val="24"/>
          <w:szCs w:val="24"/>
        </w:rPr>
        <w:t>C</w:t>
      </w:r>
      <w:r w:rsidRPr="008B19B9">
        <w:rPr>
          <w:rFonts w:ascii="Arial" w:hAnsi="Arial" w:cs="Arial"/>
          <w:sz w:val="24"/>
          <w:szCs w:val="24"/>
        </w:rPr>
        <w:t>ovid-19 está en descenso, los cursos a distancia</w:t>
      </w:r>
      <w:r w:rsidR="00DF095F">
        <w:rPr>
          <w:rFonts w:ascii="Arial" w:hAnsi="Arial" w:cs="Arial"/>
          <w:sz w:val="24"/>
          <w:szCs w:val="24"/>
        </w:rPr>
        <w:t xml:space="preserve"> </w:t>
      </w:r>
      <w:r w:rsidRPr="008B19B9">
        <w:rPr>
          <w:rFonts w:ascii="Arial" w:hAnsi="Arial" w:cs="Arial"/>
          <w:sz w:val="24"/>
          <w:szCs w:val="24"/>
        </w:rPr>
        <w:t>fueron los elegidos en primer lugar en 2</w:t>
      </w:r>
      <w:r w:rsidR="00506D7C" w:rsidRPr="008B19B9">
        <w:rPr>
          <w:rFonts w:ascii="Arial" w:hAnsi="Arial" w:cs="Arial"/>
          <w:sz w:val="24"/>
          <w:szCs w:val="24"/>
        </w:rPr>
        <w:t>93</w:t>
      </w:r>
      <w:r w:rsidRPr="008B19B9">
        <w:rPr>
          <w:rFonts w:ascii="Arial" w:hAnsi="Arial" w:cs="Arial"/>
          <w:sz w:val="24"/>
          <w:szCs w:val="24"/>
        </w:rPr>
        <w:t xml:space="preserve"> ocasiones, seguido por </w:t>
      </w:r>
      <w:r w:rsidR="00506D7C" w:rsidRPr="008B19B9">
        <w:rPr>
          <w:rFonts w:ascii="Arial" w:hAnsi="Arial" w:cs="Arial"/>
          <w:sz w:val="24"/>
          <w:szCs w:val="24"/>
        </w:rPr>
        <w:t>82</w:t>
      </w:r>
      <w:r w:rsidRPr="008B19B9">
        <w:rPr>
          <w:rFonts w:ascii="Arial" w:hAnsi="Arial" w:cs="Arial"/>
          <w:sz w:val="24"/>
          <w:szCs w:val="24"/>
        </w:rPr>
        <w:t xml:space="preserve"> </w:t>
      </w:r>
      <w:r w:rsidR="000015D6" w:rsidRPr="008B19B9">
        <w:rPr>
          <w:rFonts w:ascii="Arial" w:hAnsi="Arial" w:cs="Arial"/>
          <w:sz w:val="24"/>
          <w:szCs w:val="24"/>
        </w:rPr>
        <w:t xml:space="preserve">en la variedad </w:t>
      </w:r>
      <w:r w:rsidRPr="008B19B9">
        <w:rPr>
          <w:rFonts w:ascii="Arial" w:hAnsi="Arial" w:cs="Arial"/>
          <w:sz w:val="24"/>
          <w:szCs w:val="24"/>
        </w:rPr>
        <w:t>presencial</w:t>
      </w:r>
      <w:r w:rsidR="000015D6" w:rsidRPr="008B19B9">
        <w:rPr>
          <w:rFonts w:ascii="Arial" w:hAnsi="Arial" w:cs="Arial"/>
          <w:sz w:val="24"/>
          <w:szCs w:val="24"/>
        </w:rPr>
        <w:t xml:space="preserve"> </w:t>
      </w:r>
      <w:r w:rsidRPr="008B19B9">
        <w:rPr>
          <w:rFonts w:ascii="Arial" w:hAnsi="Arial" w:cs="Arial"/>
          <w:sz w:val="24"/>
          <w:szCs w:val="24"/>
        </w:rPr>
        <w:t xml:space="preserve">y </w:t>
      </w:r>
      <w:r w:rsidR="00506D7C" w:rsidRPr="008B19B9">
        <w:rPr>
          <w:rFonts w:ascii="Arial" w:hAnsi="Arial" w:cs="Arial"/>
          <w:sz w:val="24"/>
          <w:szCs w:val="24"/>
        </w:rPr>
        <w:t>65</w:t>
      </w:r>
      <w:r w:rsidRPr="008B19B9">
        <w:rPr>
          <w:rFonts w:ascii="Arial" w:hAnsi="Arial" w:cs="Arial"/>
          <w:sz w:val="24"/>
          <w:szCs w:val="24"/>
        </w:rPr>
        <w:t xml:space="preserve"> mixtos.</w:t>
      </w:r>
    </w:p>
    <w:p w14:paraId="7BB2D3A3" w14:textId="7CAE0691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3B3EEB93" w14:textId="4A8D00C0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1E629819" w14:textId="310D7D97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6D97DF33" w14:textId="1A8FF354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1F769929" w14:textId="173D1293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1CFE4FF8" w14:textId="4C802ADD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6BF9468F" w14:textId="7A7BF356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003334DD" w14:textId="2558F998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616C0F9D" w14:textId="77777777" w:rsidR="00DF095F" w:rsidRDefault="00DF095F" w:rsidP="00DF095F">
      <w:pPr>
        <w:jc w:val="both"/>
        <w:rPr>
          <w:rFonts w:ascii="Arial" w:hAnsi="Arial" w:cs="Arial"/>
          <w:sz w:val="24"/>
          <w:szCs w:val="24"/>
        </w:rPr>
      </w:pPr>
    </w:p>
    <w:p w14:paraId="38BBCF05" w14:textId="77777777" w:rsidR="00DF095F" w:rsidRPr="008B19B9" w:rsidRDefault="00DF095F" w:rsidP="00DF095F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sz w:val="24"/>
          <w:szCs w:val="24"/>
        </w:rPr>
        <w:lastRenderedPageBreak/>
        <w:t xml:space="preserve">Tipo de asistencia a la actividad académica </w:t>
      </w:r>
    </w:p>
    <w:p w14:paraId="4A503205" w14:textId="3295443F" w:rsidR="00DF095F" w:rsidRPr="0041082C" w:rsidRDefault="00DF095F" w:rsidP="0041082C">
      <w:pPr>
        <w:keepNext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16C4C9D6" wp14:editId="3EDCA872">
            <wp:extent cx="6286500" cy="4486275"/>
            <wp:effectExtent l="0" t="0" r="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C951927-7FBF-8001-ECF2-CF67DADFC4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BAB75C8" w14:textId="2A53BEF8" w:rsidR="006A28FC" w:rsidRPr="008B19B9" w:rsidRDefault="006A28FC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En cuanto a los proveedores de las actividades de educación, están en primer lugar con 132 </w:t>
      </w:r>
      <w:r w:rsidR="007E42E5" w:rsidRPr="008B19B9">
        <w:rPr>
          <w:rFonts w:ascii="Arial" w:hAnsi="Arial" w:cs="Arial"/>
          <w:sz w:val="24"/>
          <w:szCs w:val="24"/>
        </w:rPr>
        <w:t>las</w:t>
      </w:r>
      <w:r w:rsidR="00483C56" w:rsidRPr="008B19B9">
        <w:rPr>
          <w:rFonts w:ascii="Arial" w:hAnsi="Arial" w:cs="Arial"/>
          <w:sz w:val="24"/>
          <w:szCs w:val="24"/>
        </w:rPr>
        <w:t xml:space="preserve"> </w:t>
      </w:r>
      <w:r w:rsidRPr="008B19B9">
        <w:rPr>
          <w:rFonts w:ascii="Arial" w:hAnsi="Arial" w:cs="Arial"/>
          <w:sz w:val="24"/>
          <w:szCs w:val="24"/>
        </w:rPr>
        <w:t>actividades</w:t>
      </w:r>
      <w:r w:rsidR="00483C56" w:rsidRPr="008B19B9">
        <w:rPr>
          <w:rFonts w:ascii="Arial" w:hAnsi="Arial" w:cs="Arial"/>
          <w:sz w:val="24"/>
          <w:szCs w:val="24"/>
        </w:rPr>
        <w:t xml:space="preserve"> programadas por</w:t>
      </w:r>
      <w:r w:rsidRPr="008B19B9">
        <w:rPr>
          <w:rFonts w:ascii="Arial" w:hAnsi="Arial" w:cs="Arial"/>
          <w:sz w:val="24"/>
          <w:szCs w:val="24"/>
        </w:rPr>
        <w:t xml:space="preserve"> las Sociedades Médicas, seguidas de</w:t>
      </w:r>
      <w:r w:rsidR="001E18E1" w:rsidRPr="008B19B9">
        <w:rPr>
          <w:rFonts w:ascii="Arial" w:hAnsi="Arial" w:cs="Arial"/>
          <w:sz w:val="24"/>
          <w:szCs w:val="24"/>
        </w:rPr>
        <w:t xml:space="preserve"> los</w:t>
      </w:r>
      <w:r w:rsidRPr="008B19B9">
        <w:rPr>
          <w:rFonts w:ascii="Arial" w:hAnsi="Arial" w:cs="Arial"/>
          <w:sz w:val="24"/>
          <w:szCs w:val="24"/>
        </w:rPr>
        <w:t xml:space="preserve"> Promotor</w:t>
      </w:r>
      <w:r w:rsidR="001E18E1" w:rsidRPr="008B19B9">
        <w:rPr>
          <w:rFonts w:ascii="Arial" w:hAnsi="Arial" w:cs="Arial"/>
          <w:sz w:val="24"/>
          <w:szCs w:val="24"/>
        </w:rPr>
        <w:t>es</w:t>
      </w:r>
      <w:r w:rsidRPr="008B19B9">
        <w:rPr>
          <w:rFonts w:ascii="Arial" w:hAnsi="Arial" w:cs="Arial"/>
          <w:sz w:val="24"/>
          <w:szCs w:val="24"/>
        </w:rPr>
        <w:t xml:space="preserve"> Comercial</w:t>
      </w:r>
      <w:r w:rsidR="001E18E1" w:rsidRPr="008B19B9">
        <w:rPr>
          <w:rFonts w:ascii="Arial" w:hAnsi="Arial" w:cs="Arial"/>
          <w:sz w:val="24"/>
          <w:szCs w:val="24"/>
        </w:rPr>
        <w:t>es</w:t>
      </w:r>
      <w:r w:rsidRPr="008B19B9">
        <w:rPr>
          <w:rFonts w:ascii="Arial" w:hAnsi="Arial" w:cs="Arial"/>
          <w:sz w:val="24"/>
          <w:szCs w:val="24"/>
        </w:rPr>
        <w:t xml:space="preserve"> con 79, otros con 60 y</w:t>
      </w:r>
      <w:r w:rsidR="001E18E1" w:rsidRPr="008B19B9">
        <w:rPr>
          <w:rFonts w:ascii="Arial" w:hAnsi="Arial" w:cs="Arial"/>
          <w:sz w:val="24"/>
          <w:szCs w:val="24"/>
        </w:rPr>
        <w:t xml:space="preserve"> por</w:t>
      </w:r>
      <w:r w:rsidRPr="008B19B9">
        <w:rPr>
          <w:rFonts w:ascii="Arial" w:hAnsi="Arial" w:cs="Arial"/>
          <w:sz w:val="24"/>
          <w:szCs w:val="24"/>
        </w:rPr>
        <w:t xml:space="preserve"> la Industria Químico-farmacéutica con 55,</w:t>
      </w:r>
      <w:r w:rsidR="00483C56" w:rsidRPr="008B19B9">
        <w:rPr>
          <w:rFonts w:ascii="Arial" w:hAnsi="Arial" w:cs="Arial"/>
          <w:sz w:val="24"/>
          <w:szCs w:val="24"/>
        </w:rPr>
        <w:t xml:space="preserve"> Instituciones de salud con 16 e Instituciones de Educación Superior con 13</w:t>
      </w:r>
      <w:r w:rsidR="00DF095F">
        <w:rPr>
          <w:rFonts w:ascii="Arial" w:hAnsi="Arial" w:cs="Arial"/>
          <w:sz w:val="24"/>
          <w:szCs w:val="24"/>
        </w:rPr>
        <w:t>.</w:t>
      </w:r>
      <w:r w:rsidRPr="008B19B9">
        <w:rPr>
          <w:rFonts w:ascii="Arial" w:hAnsi="Arial" w:cs="Arial"/>
          <w:sz w:val="24"/>
          <w:szCs w:val="24"/>
        </w:rPr>
        <w:t xml:space="preserve"> </w:t>
      </w:r>
      <w:r w:rsidR="00DF095F">
        <w:rPr>
          <w:rFonts w:ascii="Arial" w:hAnsi="Arial" w:cs="Arial"/>
          <w:sz w:val="24"/>
          <w:szCs w:val="24"/>
        </w:rPr>
        <w:t>D</w:t>
      </w:r>
      <w:r w:rsidR="001E18E1" w:rsidRPr="008B19B9">
        <w:rPr>
          <w:rFonts w:ascii="Arial" w:hAnsi="Arial" w:cs="Arial"/>
          <w:sz w:val="24"/>
          <w:szCs w:val="24"/>
        </w:rPr>
        <w:t>urante el</w:t>
      </w:r>
      <w:r w:rsidRPr="008B19B9">
        <w:rPr>
          <w:rFonts w:ascii="Arial" w:hAnsi="Arial" w:cs="Arial"/>
          <w:sz w:val="24"/>
          <w:szCs w:val="24"/>
        </w:rPr>
        <w:t xml:space="preserve"> 2022 las Instituciones de Educación Superior programaron mayor cantidad de actividades con respecto al año pasado. </w:t>
      </w:r>
    </w:p>
    <w:p w14:paraId="36F798AF" w14:textId="39FC27A1" w:rsidR="00732606" w:rsidRPr="008B19B9" w:rsidRDefault="00732606" w:rsidP="007E42E5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eastAsia="Calibri" w:hAnsi="Arial" w:cs="Arial"/>
          <w:sz w:val="24"/>
          <w:szCs w:val="24"/>
        </w:rPr>
        <w:t xml:space="preserve"> </w:t>
      </w:r>
    </w:p>
    <w:p w14:paraId="716203B5" w14:textId="0704D0EC" w:rsidR="00D800E9" w:rsidRPr="008B19B9" w:rsidRDefault="00675C33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 w:rsidRPr="008B19B9">
        <w:rPr>
          <w:rFonts w:ascii="Arial" w:hAnsi="Arial" w:cs="Arial"/>
          <w:sz w:val="24"/>
          <w:szCs w:val="24"/>
        </w:rPr>
        <w:t xml:space="preserve"> </w:t>
      </w:r>
      <w:r w:rsidR="00D800E9" w:rsidRPr="008B19B9">
        <w:rPr>
          <w:rFonts w:ascii="Arial" w:hAnsi="Arial" w:cs="Arial"/>
          <w:sz w:val="24"/>
          <w:szCs w:val="24"/>
        </w:rPr>
        <w:t xml:space="preserve">relación </w:t>
      </w:r>
      <w:r>
        <w:rPr>
          <w:rFonts w:ascii="Arial" w:hAnsi="Arial" w:cs="Arial"/>
          <w:sz w:val="24"/>
          <w:szCs w:val="24"/>
        </w:rPr>
        <w:t>con</w:t>
      </w:r>
      <w:r w:rsidR="00D800E9" w:rsidRPr="008B19B9">
        <w:rPr>
          <w:rFonts w:ascii="Arial" w:hAnsi="Arial" w:cs="Arial"/>
          <w:sz w:val="24"/>
          <w:szCs w:val="24"/>
        </w:rPr>
        <w:t xml:space="preserve"> la temática atendida, </w:t>
      </w:r>
      <w:r>
        <w:rPr>
          <w:rFonts w:ascii="Arial" w:hAnsi="Arial" w:cs="Arial"/>
          <w:sz w:val="24"/>
          <w:szCs w:val="24"/>
        </w:rPr>
        <w:t>se encuentra de la siguiente manera:</w:t>
      </w:r>
      <w:r w:rsidRPr="008B19B9">
        <w:rPr>
          <w:rFonts w:ascii="Arial" w:hAnsi="Arial" w:cs="Arial"/>
          <w:sz w:val="24"/>
          <w:szCs w:val="24"/>
        </w:rPr>
        <w:t xml:space="preserve"> </w:t>
      </w:r>
      <w:r w:rsidR="00FD341B" w:rsidRPr="008B19B9">
        <w:rPr>
          <w:rFonts w:ascii="Arial" w:hAnsi="Arial" w:cs="Arial"/>
          <w:sz w:val="24"/>
          <w:szCs w:val="24"/>
        </w:rPr>
        <w:t>107</w:t>
      </w:r>
      <w:r w:rsidR="00D800E9" w:rsidRPr="008B19B9">
        <w:rPr>
          <w:rFonts w:ascii="Arial" w:hAnsi="Arial" w:cs="Arial"/>
          <w:sz w:val="24"/>
          <w:szCs w:val="24"/>
        </w:rPr>
        <w:t xml:space="preserve"> casos fue la Medicina General, Medicina Interna (4</w:t>
      </w:r>
      <w:r w:rsidR="00FD341B" w:rsidRPr="008B19B9">
        <w:rPr>
          <w:rFonts w:ascii="Arial" w:hAnsi="Arial" w:cs="Arial"/>
          <w:sz w:val="24"/>
          <w:szCs w:val="24"/>
        </w:rPr>
        <w:t>6</w:t>
      </w:r>
      <w:r w:rsidR="00D800E9" w:rsidRPr="008B19B9">
        <w:rPr>
          <w:rFonts w:ascii="Arial" w:hAnsi="Arial" w:cs="Arial"/>
          <w:sz w:val="24"/>
          <w:szCs w:val="24"/>
        </w:rPr>
        <w:t>), Endocrinología (</w:t>
      </w:r>
      <w:r w:rsidR="00FD341B" w:rsidRPr="008B19B9">
        <w:rPr>
          <w:rFonts w:ascii="Arial" w:hAnsi="Arial" w:cs="Arial"/>
          <w:sz w:val="24"/>
          <w:szCs w:val="24"/>
        </w:rPr>
        <w:t>41</w:t>
      </w:r>
      <w:r w:rsidR="00D800E9" w:rsidRPr="008B19B9">
        <w:rPr>
          <w:rFonts w:ascii="Arial" w:hAnsi="Arial" w:cs="Arial"/>
          <w:sz w:val="24"/>
          <w:szCs w:val="24"/>
        </w:rPr>
        <w:t>), Ginecología y Obstetricia (3</w:t>
      </w:r>
      <w:r w:rsidR="00FD341B" w:rsidRPr="008B19B9">
        <w:rPr>
          <w:rFonts w:ascii="Arial" w:hAnsi="Arial" w:cs="Arial"/>
          <w:sz w:val="24"/>
          <w:szCs w:val="24"/>
        </w:rPr>
        <w:t>8</w:t>
      </w:r>
      <w:r w:rsidR="00D800E9" w:rsidRPr="008B19B9">
        <w:rPr>
          <w:rFonts w:ascii="Arial" w:hAnsi="Arial" w:cs="Arial"/>
          <w:sz w:val="24"/>
          <w:szCs w:val="24"/>
        </w:rPr>
        <w:t>), Gastroenterología (2</w:t>
      </w:r>
      <w:r w:rsidR="00FD341B" w:rsidRPr="008B19B9">
        <w:rPr>
          <w:rFonts w:ascii="Arial" w:hAnsi="Arial" w:cs="Arial"/>
          <w:sz w:val="24"/>
          <w:szCs w:val="24"/>
        </w:rPr>
        <w:t>7</w:t>
      </w:r>
      <w:r w:rsidR="00D800E9" w:rsidRPr="008B19B9">
        <w:rPr>
          <w:rFonts w:ascii="Arial" w:hAnsi="Arial" w:cs="Arial"/>
          <w:sz w:val="24"/>
          <w:szCs w:val="24"/>
        </w:rPr>
        <w:t>), Pediatría (</w:t>
      </w:r>
      <w:r w:rsidR="00FD341B" w:rsidRPr="008B19B9">
        <w:rPr>
          <w:rFonts w:ascii="Arial" w:hAnsi="Arial" w:cs="Arial"/>
          <w:sz w:val="24"/>
          <w:szCs w:val="24"/>
        </w:rPr>
        <w:t>23</w:t>
      </w:r>
      <w:r w:rsidR="00D800E9" w:rsidRPr="008B19B9">
        <w:rPr>
          <w:rFonts w:ascii="Arial" w:hAnsi="Arial" w:cs="Arial"/>
          <w:sz w:val="24"/>
          <w:szCs w:val="24"/>
        </w:rPr>
        <w:t>), Cardiología (</w:t>
      </w:r>
      <w:r w:rsidR="00FD341B" w:rsidRPr="008B19B9">
        <w:rPr>
          <w:rFonts w:ascii="Arial" w:hAnsi="Arial" w:cs="Arial"/>
          <w:sz w:val="24"/>
          <w:szCs w:val="24"/>
        </w:rPr>
        <w:t>22</w:t>
      </w:r>
      <w:r w:rsidR="00D800E9" w:rsidRPr="008B19B9">
        <w:rPr>
          <w:rFonts w:ascii="Arial" w:hAnsi="Arial" w:cs="Arial"/>
          <w:sz w:val="24"/>
          <w:szCs w:val="24"/>
        </w:rPr>
        <w:t>),</w:t>
      </w:r>
      <w:r w:rsidR="00FD341B" w:rsidRPr="008B19B9">
        <w:rPr>
          <w:rFonts w:ascii="Arial" w:hAnsi="Arial" w:cs="Arial"/>
          <w:sz w:val="24"/>
          <w:szCs w:val="24"/>
        </w:rPr>
        <w:t xml:space="preserve"> Infectología (16)</w:t>
      </w:r>
      <w:r w:rsidR="00D800E9" w:rsidRPr="008B19B9">
        <w:rPr>
          <w:rFonts w:ascii="Arial" w:hAnsi="Arial" w:cs="Arial"/>
          <w:sz w:val="24"/>
          <w:szCs w:val="24"/>
        </w:rPr>
        <w:t xml:space="preserve"> </w:t>
      </w:r>
      <w:r w:rsidR="00FD341B" w:rsidRPr="008B19B9">
        <w:rPr>
          <w:rFonts w:ascii="Arial" w:hAnsi="Arial" w:cs="Arial"/>
          <w:sz w:val="24"/>
          <w:szCs w:val="24"/>
        </w:rPr>
        <w:t>y Neumología</w:t>
      </w:r>
      <w:r w:rsidR="00D800E9" w:rsidRPr="008B19B9">
        <w:rPr>
          <w:rFonts w:ascii="Arial" w:hAnsi="Arial" w:cs="Arial"/>
          <w:sz w:val="24"/>
          <w:szCs w:val="24"/>
        </w:rPr>
        <w:t xml:space="preserve"> (1</w:t>
      </w:r>
      <w:r w:rsidR="00FD341B" w:rsidRPr="008B19B9">
        <w:rPr>
          <w:rFonts w:ascii="Arial" w:hAnsi="Arial" w:cs="Arial"/>
          <w:sz w:val="24"/>
          <w:szCs w:val="24"/>
        </w:rPr>
        <w:t>3</w:t>
      </w:r>
      <w:r w:rsidR="00D800E9" w:rsidRPr="008B19B9">
        <w:rPr>
          <w:rFonts w:ascii="Arial" w:hAnsi="Arial" w:cs="Arial"/>
          <w:sz w:val="24"/>
          <w:szCs w:val="24"/>
        </w:rPr>
        <w:t>), entre otros.</w:t>
      </w:r>
      <w:r w:rsidR="00483C56" w:rsidRPr="008B19B9">
        <w:rPr>
          <w:rFonts w:ascii="Arial" w:hAnsi="Arial" w:cs="Arial"/>
          <w:sz w:val="24"/>
          <w:szCs w:val="24"/>
        </w:rPr>
        <w:t xml:space="preserve"> (</w:t>
      </w:r>
      <w:r w:rsidR="00483C56" w:rsidRPr="008B19B9">
        <w:rPr>
          <w:rFonts w:ascii="Arial" w:hAnsi="Arial" w:cs="Arial"/>
          <w:b/>
          <w:bCs/>
          <w:sz w:val="24"/>
          <w:szCs w:val="24"/>
        </w:rPr>
        <w:t>Figura 3</w:t>
      </w:r>
      <w:r w:rsidR="00483C56" w:rsidRPr="008B19B9">
        <w:rPr>
          <w:rFonts w:ascii="Arial" w:hAnsi="Arial" w:cs="Arial"/>
          <w:sz w:val="24"/>
          <w:szCs w:val="24"/>
        </w:rPr>
        <w:t>)</w:t>
      </w:r>
    </w:p>
    <w:p w14:paraId="331B8B16" w14:textId="737B9D05" w:rsidR="00732606" w:rsidRPr="008B19B9" w:rsidRDefault="00732606" w:rsidP="007E42E5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AD34305" w14:textId="77777777" w:rsidR="00675C33" w:rsidRDefault="00675C33" w:rsidP="00675C33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0DA65926" w14:textId="77777777" w:rsidR="00675C33" w:rsidRDefault="00675C33" w:rsidP="00675C33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480F91F1" w14:textId="77777777" w:rsidR="00675C33" w:rsidRDefault="00675C33" w:rsidP="00675C33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50F2FCEB" w14:textId="77777777" w:rsidR="00675C33" w:rsidRDefault="00675C33" w:rsidP="00675C33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10AECCCB" w14:textId="08842654" w:rsidR="00675C33" w:rsidRPr="008B19B9" w:rsidRDefault="00675C33" w:rsidP="00675C33">
      <w:pPr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sz w:val="24"/>
          <w:szCs w:val="24"/>
        </w:rPr>
        <w:lastRenderedPageBreak/>
        <w:t>Actividades distribuidas por área de conocimiento</w:t>
      </w:r>
    </w:p>
    <w:p w14:paraId="1CF3462A" w14:textId="77777777" w:rsidR="00675C33" w:rsidRPr="008B19B9" w:rsidRDefault="00675C33" w:rsidP="00675C33">
      <w:pPr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noProof/>
          <w:sz w:val="24"/>
          <w:szCs w:val="24"/>
        </w:rPr>
        <w:drawing>
          <wp:inline distT="0" distB="0" distL="0" distR="0" wp14:anchorId="543685AA" wp14:editId="4AB2A951">
            <wp:extent cx="6541770" cy="4848225"/>
            <wp:effectExtent l="0" t="0" r="1143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7A1E70DB-3061-0B1E-1900-035F687B88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843C27F" w14:textId="77777777" w:rsidR="00924AE5" w:rsidRPr="008B19B9" w:rsidRDefault="00924AE5" w:rsidP="007E42E5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17082CCC" w14:textId="4758456A" w:rsidR="00332B2B" w:rsidRPr="008B19B9" w:rsidRDefault="00332B2B" w:rsidP="007E42E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 xml:space="preserve">Convenios de colaboración </w:t>
      </w:r>
    </w:p>
    <w:p w14:paraId="2FAB52E5" w14:textId="5D5FF22F" w:rsidR="00332B2B" w:rsidRDefault="00332B2B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Para CONAMEGE el establecimiento de Convenios de Colaboración con las diversas sociedades médicas, universidades y organizaciones que promueven la actualización, la educación médica continua y la certificación de los médicos generales, fortalece la sinergia que facilita nuestra misión; </w:t>
      </w:r>
      <w:r w:rsidR="00894845" w:rsidRPr="008B19B9">
        <w:rPr>
          <w:rFonts w:ascii="Arial" w:hAnsi="Arial" w:cs="Arial"/>
          <w:sz w:val="24"/>
          <w:szCs w:val="24"/>
        </w:rPr>
        <w:t>recientemente</w:t>
      </w:r>
      <w:r w:rsidRPr="008B19B9">
        <w:rPr>
          <w:rFonts w:ascii="Arial" w:hAnsi="Arial" w:cs="Arial"/>
          <w:sz w:val="24"/>
          <w:szCs w:val="24"/>
        </w:rPr>
        <w:t xml:space="preserve"> se ha</w:t>
      </w:r>
      <w:r w:rsidR="00894845" w:rsidRPr="008B19B9">
        <w:rPr>
          <w:rFonts w:ascii="Arial" w:hAnsi="Arial" w:cs="Arial"/>
          <w:sz w:val="24"/>
          <w:szCs w:val="24"/>
        </w:rPr>
        <w:t>n establecido</w:t>
      </w:r>
      <w:r w:rsidRPr="008B19B9">
        <w:rPr>
          <w:rFonts w:ascii="Arial" w:hAnsi="Arial" w:cs="Arial"/>
          <w:sz w:val="24"/>
          <w:szCs w:val="24"/>
        </w:rPr>
        <w:t xml:space="preserve"> los siguientes convenios:</w:t>
      </w:r>
    </w:p>
    <w:p w14:paraId="2595D05B" w14:textId="77777777" w:rsidR="00675C33" w:rsidRPr="008B19B9" w:rsidRDefault="00675C33" w:rsidP="007E42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97EB4A" w14:textId="44DAF055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Centro de Estudios Superiores Tepeaca</w:t>
      </w:r>
    </w:p>
    <w:p w14:paraId="7B6A8A65" w14:textId="1E42BF01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Universidad Anáhuac campus Cancún</w:t>
      </w:r>
    </w:p>
    <w:p w14:paraId="2861C1D2" w14:textId="01A63FD7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Colegio de Medicina Interna</w:t>
      </w:r>
    </w:p>
    <w:p w14:paraId="0A28BB27" w14:textId="61EBD09A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Novartis “Coalición por el Corazón de México”</w:t>
      </w:r>
    </w:p>
    <w:p w14:paraId="3240B640" w14:textId="77777777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Medscape </w:t>
      </w:r>
    </w:p>
    <w:p w14:paraId="1898CC06" w14:textId="77777777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Doc Red y Colegio Médico Colombiano </w:t>
      </w:r>
    </w:p>
    <w:p w14:paraId="60231C2D" w14:textId="60460B71" w:rsidR="00332B2B" w:rsidRPr="008B19B9" w:rsidRDefault="00332B2B" w:rsidP="007E42E5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Colegio Mexicano de Ortopedia y </w:t>
      </w:r>
      <w:r w:rsidR="00141F27" w:rsidRPr="008B19B9">
        <w:rPr>
          <w:rFonts w:ascii="Arial" w:hAnsi="Arial" w:cs="Arial"/>
          <w:sz w:val="24"/>
          <w:szCs w:val="24"/>
        </w:rPr>
        <w:t>T</w:t>
      </w:r>
      <w:r w:rsidRPr="008B19B9">
        <w:rPr>
          <w:rFonts w:ascii="Arial" w:hAnsi="Arial" w:cs="Arial"/>
          <w:sz w:val="24"/>
          <w:szCs w:val="24"/>
        </w:rPr>
        <w:t>raumatología</w:t>
      </w:r>
    </w:p>
    <w:p w14:paraId="4C25AEF3" w14:textId="77777777" w:rsidR="007E42E5" w:rsidRPr="008B19B9" w:rsidRDefault="007E42E5" w:rsidP="007E42E5">
      <w:pPr>
        <w:pStyle w:val="ListParagraph"/>
        <w:spacing w:after="0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B63BAA1" w14:textId="229E9594" w:rsidR="00732606" w:rsidRPr="008B19B9" w:rsidRDefault="007E6328" w:rsidP="007E42E5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eastAsia="Calibri" w:hAnsi="Arial" w:cs="Arial"/>
          <w:sz w:val="24"/>
          <w:szCs w:val="24"/>
        </w:rPr>
        <w:t xml:space="preserve">Es un honor para este Comité organizar </w:t>
      </w:r>
      <w:r w:rsidR="00732606" w:rsidRPr="008B19B9">
        <w:rPr>
          <w:rFonts w:ascii="Arial" w:eastAsia="Calibri" w:hAnsi="Arial" w:cs="Arial"/>
          <w:sz w:val="24"/>
          <w:szCs w:val="24"/>
        </w:rPr>
        <w:t xml:space="preserve">el </w:t>
      </w:r>
      <w:r w:rsidR="00732606" w:rsidRPr="0041082C">
        <w:rPr>
          <w:rFonts w:ascii="Arial" w:eastAsia="Calibri" w:hAnsi="Arial" w:cs="Arial"/>
          <w:b/>
          <w:bCs/>
          <w:sz w:val="24"/>
          <w:szCs w:val="24"/>
        </w:rPr>
        <w:t xml:space="preserve">1er Congreso Internacional del Comité Normativo </w:t>
      </w:r>
      <w:r w:rsidRPr="0041082C">
        <w:rPr>
          <w:rFonts w:ascii="Arial" w:eastAsia="Calibri" w:hAnsi="Arial" w:cs="Arial"/>
          <w:b/>
          <w:bCs/>
          <w:sz w:val="24"/>
          <w:szCs w:val="24"/>
        </w:rPr>
        <w:t>N</w:t>
      </w:r>
      <w:r w:rsidR="00732606" w:rsidRPr="0041082C">
        <w:rPr>
          <w:rFonts w:ascii="Arial" w:eastAsia="Calibri" w:hAnsi="Arial" w:cs="Arial"/>
          <w:b/>
          <w:bCs/>
          <w:sz w:val="24"/>
          <w:szCs w:val="24"/>
        </w:rPr>
        <w:t>acional de Medicina General,</w:t>
      </w:r>
      <w:r w:rsidR="00341504" w:rsidRPr="0041082C">
        <w:rPr>
          <w:rFonts w:ascii="Arial" w:eastAsia="Calibri" w:hAnsi="Arial" w:cs="Arial"/>
          <w:b/>
          <w:bCs/>
          <w:sz w:val="24"/>
          <w:szCs w:val="24"/>
        </w:rPr>
        <w:t xml:space="preserve"> A.C.</w:t>
      </w:r>
      <w:r w:rsidR="00341504" w:rsidRPr="008B19B9">
        <w:rPr>
          <w:rFonts w:ascii="Arial" w:eastAsia="Calibri" w:hAnsi="Arial" w:cs="Arial"/>
          <w:sz w:val="24"/>
          <w:szCs w:val="24"/>
          <w:vertAlign w:val="superscript"/>
        </w:rPr>
        <w:t xml:space="preserve"> </w:t>
      </w:r>
      <w:r w:rsidR="00DC6CE7" w:rsidRPr="008B19B9">
        <w:rPr>
          <w:rFonts w:ascii="Arial" w:eastAsia="Calibri" w:hAnsi="Arial" w:cs="Arial"/>
          <w:sz w:val="24"/>
          <w:szCs w:val="24"/>
          <w:vertAlign w:val="superscript"/>
        </w:rPr>
        <w:t>3</w:t>
      </w:r>
      <w:r w:rsidR="00732606" w:rsidRPr="008B19B9">
        <w:rPr>
          <w:rFonts w:ascii="Arial" w:eastAsia="Calibri" w:hAnsi="Arial" w:cs="Arial"/>
          <w:sz w:val="24"/>
          <w:szCs w:val="24"/>
        </w:rPr>
        <w:t xml:space="preserve"> </w:t>
      </w:r>
      <w:r w:rsidRPr="008B19B9">
        <w:rPr>
          <w:rFonts w:ascii="Arial" w:eastAsia="Calibri" w:hAnsi="Arial" w:cs="Arial"/>
          <w:sz w:val="24"/>
          <w:szCs w:val="24"/>
        </w:rPr>
        <w:t xml:space="preserve">del </w:t>
      </w:r>
      <w:r w:rsidR="00732606" w:rsidRPr="008B19B9">
        <w:rPr>
          <w:rFonts w:ascii="Arial" w:eastAsia="Calibri" w:hAnsi="Arial" w:cs="Arial"/>
          <w:sz w:val="24"/>
          <w:szCs w:val="24"/>
        </w:rPr>
        <w:t xml:space="preserve">25 al 27 de mayo del 2023 </w:t>
      </w:r>
      <w:r w:rsidR="002C0628" w:rsidRPr="008B19B9">
        <w:rPr>
          <w:rFonts w:ascii="Arial" w:eastAsia="Calibri" w:hAnsi="Arial" w:cs="Arial"/>
          <w:sz w:val="24"/>
          <w:szCs w:val="24"/>
        </w:rPr>
        <w:t xml:space="preserve">a desarrollarse </w:t>
      </w:r>
      <w:r w:rsidR="00732606" w:rsidRPr="008B19B9">
        <w:rPr>
          <w:rFonts w:ascii="Arial" w:eastAsia="Calibri" w:hAnsi="Arial" w:cs="Arial"/>
          <w:sz w:val="24"/>
          <w:szCs w:val="24"/>
        </w:rPr>
        <w:t xml:space="preserve">en la </w:t>
      </w:r>
      <w:r w:rsidR="00B10BDA">
        <w:rPr>
          <w:rFonts w:ascii="Arial" w:eastAsia="Calibri" w:hAnsi="Arial" w:cs="Arial"/>
          <w:sz w:val="24"/>
          <w:szCs w:val="24"/>
        </w:rPr>
        <w:t>c</w:t>
      </w:r>
      <w:r w:rsidR="00732606" w:rsidRPr="008B19B9">
        <w:rPr>
          <w:rFonts w:ascii="Arial" w:eastAsia="Calibri" w:hAnsi="Arial" w:cs="Arial"/>
          <w:sz w:val="24"/>
          <w:szCs w:val="24"/>
        </w:rPr>
        <w:t>iudad de Querétaro, Q</w:t>
      </w:r>
      <w:r w:rsidR="00675C33">
        <w:rPr>
          <w:rFonts w:ascii="Arial" w:eastAsia="Calibri" w:hAnsi="Arial" w:cs="Arial"/>
          <w:sz w:val="24"/>
          <w:szCs w:val="24"/>
        </w:rPr>
        <w:t>uerétar</w:t>
      </w:r>
      <w:r w:rsidR="00732606" w:rsidRPr="008B19B9">
        <w:rPr>
          <w:rFonts w:ascii="Arial" w:eastAsia="Calibri" w:hAnsi="Arial" w:cs="Arial"/>
          <w:sz w:val="24"/>
          <w:szCs w:val="24"/>
        </w:rPr>
        <w:t xml:space="preserve">o. </w:t>
      </w:r>
      <w:r w:rsidR="00675C33">
        <w:rPr>
          <w:rFonts w:ascii="Arial" w:eastAsia="Calibri" w:hAnsi="Arial" w:cs="Arial"/>
          <w:sz w:val="24"/>
          <w:szCs w:val="24"/>
        </w:rPr>
        <w:t>Al que</w:t>
      </w:r>
      <w:r w:rsidR="00675C33"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732606" w:rsidRPr="008B19B9">
        <w:rPr>
          <w:rFonts w:ascii="Arial" w:eastAsia="Calibri" w:hAnsi="Arial" w:cs="Arial"/>
          <w:sz w:val="24"/>
          <w:szCs w:val="24"/>
        </w:rPr>
        <w:t>podrán asistir y participar los médicos generales de</w:t>
      </w:r>
      <w:r w:rsidRPr="008B19B9">
        <w:rPr>
          <w:rFonts w:ascii="Arial" w:eastAsia="Calibri" w:hAnsi="Arial" w:cs="Arial"/>
          <w:sz w:val="24"/>
          <w:szCs w:val="24"/>
        </w:rPr>
        <w:t xml:space="preserve"> </w:t>
      </w:r>
      <w:r w:rsidR="00732606" w:rsidRPr="008B19B9">
        <w:rPr>
          <w:rFonts w:ascii="Arial" w:eastAsia="Calibri" w:hAnsi="Arial" w:cs="Arial"/>
          <w:sz w:val="24"/>
          <w:szCs w:val="24"/>
        </w:rPr>
        <w:t>l</w:t>
      </w:r>
      <w:r w:rsidRPr="008B19B9">
        <w:rPr>
          <w:rFonts w:ascii="Arial" w:eastAsia="Calibri" w:hAnsi="Arial" w:cs="Arial"/>
          <w:sz w:val="24"/>
          <w:szCs w:val="24"/>
        </w:rPr>
        <w:t>os diferentes estados del</w:t>
      </w:r>
      <w:r w:rsidR="00732606" w:rsidRPr="008B19B9">
        <w:rPr>
          <w:rFonts w:ascii="Arial" w:eastAsia="Calibri" w:hAnsi="Arial" w:cs="Arial"/>
          <w:sz w:val="24"/>
          <w:szCs w:val="24"/>
        </w:rPr>
        <w:t xml:space="preserve"> país</w:t>
      </w:r>
      <w:r w:rsidRPr="008B19B9">
        <w:rPr>
          <w:rFonts w:ascii="Arial" w:eastAsia="Calibri" w:hAnsi="Arial" w:cs="Arial"/>
          <w:sz w:val="24"/>
          <w:szCs w:val="24"/>
        </w:rPr>
        <w:t>.</w:t>
      </w:r>
    </w:p>
    <w:p w14:paraId="724A6753" w14:textId="2B6ABD16" w:rsidR="00DC6CE7" w:rsidRPr="008B19B9" w:rsidRDefault="00DC6CE7" w:rsidP="007E42E5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4B6FBF03" w14:textId="77777777" w:rsidR="00675C33" w:rsidRPr="008B19B9" w:rsidRDefault="00675C33" w:rsidP="00675C33">
      <w:pPr>
        <w:spacing w:after="0"/>
        <w:rPr>
          <w:rFonts w:ascii="Arial" w:eastAsia="Calibri" w:hAnsi="Arial" w:cs="Arial"/>
          <w:b/>
          <w:bCs/>
          <w:sz w:val="24"/>
          <w:szCs w:val="24"/>
        </w:rPr>
      </w:pPr>
      <w:r w:rsidRPr="008B19B9">
        <w:rPr>
          <w:rFonts w:ascii="Arial" w:eastAsia="Calibri" w:hAnsi="Arial" w:cs="Arial"/>
          <w:b/>
          <w:bCs/>
          <w:sz w:val="24"/>
          <w:szCs w:val="24"/>
        </w:rPr>
        <w:t>Invitación al 1er Congreso Internacional del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 </w:t>
      </w:r>
      <w:r w:rsidRPr="008B19B9">
        <w:rPr>
          <w:rFonts w:ascii="Arial" w:eastAsia="Calibri" w:hAnsi="Arial" w:cs="Arial"/>
          <w:b/>
          <w:bCs/>
          <w:sz w:val="24"/>
          <w:szCs w:val="24"/>
        </w:rPr>
        <w:t>Comité Normativo Nacional de Medicina General</w:t>
      </w:r>
    </w:p>
    <w:p w14:paraId="38E4B80E" w14:textId="139A3FF4" w:rsidR="00DC6CE7" w:rsidRPr="008B19B9" w:rsidRDefault="00675C33" w:rsidP="007E42E5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18980" wp14:editId="7E14C2EC">
            <wp:extent cx="5612130" cy="2076450"/>
            <wp:effectExtent l="0" t="0" r="7620" b="0"/>
            <wp:docPr id="8" name="Imagen 8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5D4C" w14:textId="77777777" w:rsidR="00DC6CE7" w:rsidRPr="008B19B9" w:rsidRDefault="00DC6CE7" w:rsidP="007E42E5">
      <w:pPr>
        <w:spacing w:after="0"/>
        <w:jc w:val="both"/>
        <w:rPr>
          <w:rFonts w:ascii="Arial" w:eastAsia="Calibri" w:hAnsi="Arial" w:cs="Arial"/>
          <w:b/>
          <w:bCs/>
          <w:sz w:val="24"/>
          <w:szCs w:val="24"/>
        </w:rPr>
      </w:pPr>
    </w:p>
    <w:p w14:paraId="6DAC3344" w14:textId="1F943AC0" w:rsidR="00DA64B6" w:rsidRPr="008B19B9" w:rsidRDefault="00C43C36" w:rsidP="007E42E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t>Conclusión</w:t>
      </w:r>
    </w:p>
    <w:p w14:paraId="3471A52B" w14:textId="0F61BADF" w:rsidR="00C43C36" w:rsidRDefault="00DC6E75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P</w:t>
      </w:r>
      <w:r w:rsidR="00C43C36" w:rsidRPr="008B19B9">
        <w:rPr>
          <w:rFonts w:ascii="Arial" w:hAnsi="Arial" w:cs="Arial"/>
          <w:sz w:val="24"/>
          <w:szCs w:val="24"/>
        </w:rPr>
        <w:t xml:space="preserve">ara </w:t>
      </w:r>
      <w:r w:rsidR="004638B4" w:rsidRPr="008B19B9">
        <w:rPr>
          <w:rFonts w:ascii="Arial" w:hAnsi="Arial" w:cs="Arial"/>
          <w:sz w:val="24"/>
          <w:szCs w:val="24"/>
        </w:rPr>
        <w:t>el</w:t>
      </w:r>
      <w:r w:rsidR="00C43C36" w:rsidRPr="008B19B9">
        <w:rPr>
          <w:rFonts w:ascii="Arial" w:hAnsi="Arial" w:cs="Arial"/>
          <w:sz w:val="24"/>
          <w:szCs w:val="24"/>
        </w:rPr>
        <w:t xml:space="preserve"> cierre</w:t>
      </w:r>
      <w:r w:rsidR="00F9027C" w:rsidRPr="008B19B9">
        <w:rPr>
          <w:rFonts w:ascii="Arial" w:hAnsi="Arial" w:cs="Arial"/>
          <w:sz w:val="24"/>
          <w:szCs w:val="24"/>
        </w:rPr>
        <w:t xml:space="preserve"> de actividades</w:t>
      </w:r>
      <w:r w:rsidR="00C43C36" w:rsidRPr="008B19B9">
        <w:rPr>
          <w:rFonts w:ascii="Arial" w:hAnsi="Arial" w:cs="Arial"/>
          <w:sz w:val="24"/>
          <w:szCs w:val="24"/>
        </w:rPr>
        <w:t xml:space="preserve"> del 2022,</w:t>
      </w:r>
      <w:r w:rsidRPr="008B19B9">
        <w:rPr>
          <w:rFonts w:ascii="Arial" w:hAnsi="Arial" w:cs="Arial"/>
          <w:sz w:val="24"/>
          <w:szCs w:val="24"/>
        </w:rPr>
        <w:t xml:space="preserve"> en conjunto con el Consejo Nacional de Certificación en Medicina General, A.C.,</w:t>
      </w:r>
      <w:r w:rsidR="00C43C36" w:rsidRPr="008B19B9">
        <w:rPr>
          <w:rFonts w:ascii="Arial" w:hAnsi="Arial" w:cs="Arial"/>
          <w:sz w:val="24"/>
          <w:szCs w:val="24"/>
        </w:rPr>
        <w:t xml:space="preserve"> se continuó avanzando en </w:t>
      </w:r>
      <w:r w:rsidRPr="008B19B9">
        <w:rPr>
          <w:rFonts w:ascii="Arial" w:hAnsi="Arial" w:cs="Arial"/>
          <w:sz w:val="24"/>
          <w:szCs w:val="24"/>
        </w:rPr>
        <w:t xml:space="preserve">la </w:t>
      </w:r>
      <w:r w:rsidR="00C43C36" w:rsidRPr="008B19B9">
        <w:rPr>
          <w:rFonts w:ascii="Arial" w:hAnsi="Arial" w:cs="Arial"/>
          <w:sz w:val="24"/>
          <w:szCs w:val="24"/>
        </w:rPr>
        <w:t xml:space="preserve">trascendental actividad de certificación, con miras </w:t>
      </w:r>
      <w:r w:rsidR="00675C33">
        <w:rPr>
          <w:rFonts w:ascii="Arial" w:hAnsi="Arial" w:cs="Arial"/>
          <w:sz w:val="24"/>
          <w:szCs w:val="24"/>
        </w:rPr>
        <w:t xml:space="preserve">a </w:t>
      </w:r>
      <w:r w:rsidR="00C43C36" w:rsidRPr="008B19B9">
        <w:rPr>
          <w:rFonts w:ascii="Arial" w:hAnsi="Arial" w:cs="Arial"/>
          <w:sz w:val="24"/>
          <w:szCs w:val="24"/>
        </w:rPr>
        <w:t>que todo médico general tenga no solo conocimientos, sino habilidades y destreza</w:t>
      </w:r>
      <w:r w:rsidR="00675C33">
        <w:rPr>
          <w:rFonts w:ascii="Arial" w:hAnsi="Arial" w:cs="Arial"/>
          <w:sz w:val="24"/>
          <w:szCs w:val="24"/>
        </w:rPr>
        <w:t>, es decir,</w:t>
      </w:r>
      <w:r w:rsidR="00C43C36" w:rsidRPr="008B19B9">
        <w:rPr>
          <w:rFonts w:ascii="Arial" w:hAnsi="Arial" w:cs="Arial"/>
          <w:sz w:val="24"/>
          <w:szCs w:val="24"/>
        </w:rPr>
        <w:t xml:space="preserve"> las competencias necesarias para atender a todo paciente que se acerque a consultarlo</w:t>
      </w:r>
      <w:r w:rsidRPr="008B19B9">
        <w:rPr>
          <w:rFonts w:ascii="Arial" w:hAnsi="Arial" w:cs="Arial"/>
          <w:sz w:val="24"/>
          <w:szCs w:val="24"/>
        </w:rPr>
        <w:t>.</w:t>
      </w:r>
    </w:p>
    <w:p w14:paraId="3AECE6EA" w14:textId="77777777" w:rsidR="00675C33" w:rsidRPr="008B19B9" w:rsidRDefault="00675C33" w:rsidP="007E42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5FCFF1D" w14:textId="75B9DD52" w:rsidR="00675C33" w:rsidRDefault="00C45B77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 xml:space="preserve">Para alcanzar esto es primordial </w:t>
      </w:r>
      <w:r w:rsidR="00C43C36" w:rsidRPr="008B19B9">
        <w:rPr>
          <w:rFonts w:ascii="Arial" w:hAnsi="Arial" w:cs="Arial"/>
          <w:sz w:val="24"/>
          <w:szCs w:val="24"/>
        </w:rPr>
        <w:t>que el médico en formación</w:t>
      </w:r>
      <w:r w:rsidR="00675C33">
        <w:rPr>
          <w:rFonts w:ascii="Arial" w:hAnsi="Arial" w:cs="Arial"/>
          <w:sz w:val="24"/>
          <w:szCs w:val="24"/>
        </w:rPr>
        <w:t>,</w:t>
      </w:r>
      <w:r w:rsidR="00C43C36" w:rsidRPr="008B19B9">
        <w:rPr>
          <w:rFonts w:ascii="Arial" w:hAnsi="Arial" w:cs="Arial"/>
          <w:sz w:val="24"/>
          <w:szCs w:val="24"/>
        </w:rPr>
        <w:t xml:space="preserve"> o bien </w:t>
      </w:r>
      <w:r w:rsidR="00DC6E75" w:rsidRPr="008B19B9">
        <w:rPr>
          <w:rFonts w:ascii="Arial" w:hAnsi="Arial" w:cs="Arial"/>
          <w:sz w:val="24"/>
          <w:szCs w:val="24"/>
        </w:rPr>
        <w:t xml:space="preserve">el </w:t>
      </w:r>
      <w:r w:rsidR="00C43C36" w:rsidRPr="008B19B9">
        <w:rPr>
          <w:rFonts w:ascii="Arial" w:hAnsi="Arial" w:cs="Arial"/>
          <w:sz w:val="24"/>
          <w:szCs w:val="24"/>
        </w:rPr>
        <w:t>que ya está ejerciendo su profesión</w:t>
      </w:r>
      <w:r w:rsidR="00705BA3" w:rsidRPr="008B19B9">
        <w:rPr>
          <w:rFonts w:ascii="Arial" w:hAnsi="Arial" w:cs="Arial"/>
          <w:sz w:val="24"/>
          <w:szCs w:val="24"/>
        </w:rPr>
        <w:t xml:space="preserve"> </w:t>
      </w:r>
      <w:r w:rsidR="00DC6E75" w:rsidRPr="008B19B9">
        <w:rPr>
          <w:rFonts w:ascii="Arial" w:hAnsi="Arial" w:cs="Arial"/>
          <w:sz w:val="24"/>
          <w:szCs w:val="24"/>
        </w:rPr>
        <w:t>en</w:t>
      </w:r>
      <w:r w:rsidR="00705BA3" w:rsidRPr="008B19B9">
        <w:rPr>
          <w:rFonts w:ascii="Arial" w:hAnsi="Arial" w:cs="Arial"/>
          <w:sz w:val="24"/>
          <w:szCs w:val="24"/>
        </w:rPr>
        <w:t xml:space="preserve"> m</w:t>
      </w:r>
      <w:r w:rsidR="00DC6E75" w:rsidRPr="008B19B9">
        <w:rPr>
          <w:rFonts w:ascii="Arial" w:hAnsi="Arial" w:cs="Arial"/>
          <w:sz w:val="24"/>
          <w:szCs w:val="24"/>
        </w:rPr>
        <w:t>edicina</w:t>
      </w:r>
      <w:r w:rsidR="00705BA3" w:rsidRPr="008B19B9">
        <w:rPr>
          <w:rFonts w:ascii="Arial" w:hAnsi="Arial" w:cs="Arial"/>
          <w:sz w:val="24"/>
          <w:szCs w:val="24"/>
        </w:rPr>
        <w:t xml:space="preserve"> general</w:t>
      </w:r>
      <w:r w:rsidR="00825593" w:rsidRPr="008B19B9">
        <w:rPr>
          <w:rFonts w:ascii="Arial" w:hAnsi="Arial" w:cs="Arial"/>
          <w:sz w:val="24"/>
          <w:szCs w:val="24"/>
        </w:rPr>
        <w:t>,</w:t>
      </w:r>
      <w:r w:rsidR="00C43C36" w:rsidRPr="008B19B9">
        <w:rPr>
          <w:rFonts w:ascii="Arial" w:hAnsi="Arial" w:cs="Arial"/>
          <w:sz w:val="24"/>
          <w:szCs w:val="24"/>
        </w:rPr>
        <w:t xml:space="preserve"> tenga a su alcance la capacitación continua, que le permita resolver situaciones de la práctica médica cotidiana, por ello</w:t>
      </w:r>
      <w:r w:rsidR="00675C33">
        <w:rPr>
          <w:rFonts w:ascii="Arial" w:hAnsi="Arial" w:cs="Arial"/>
          <w:sz w:val="24"/>
          <w:szCs w:val="24"/>
        </w:rPr>
        <w:t xml:space="preserve">, </w:t>
      </w:r>
      <w:r w:rsidR="00C43C36" w:rsidRPr="008B19B9">
        <w:rPr>
          <w:rFonts w:ascii="Arial" w:hAnsi="Arial" w:cs="Arial"/>
          <w:sz w:val="24"/>
          <w:szCs w:val="24"/>
        </w:rPr>
        <w:t>los cursos de Educación Médica Continua que ofrece el CONAMEGE</w:t>
      </w:r>
      <w:r w:rsidR="00675C33">
        <w:rPr>
          <w:rFonts w:ascii="Arial" w:hAnsi="Arial" w:cs="Arial"/>
          <w:sz w:val="24"/>
          <w:szCs w:val="24"/>
        </w:rPr>
        <w:t xml:space="preserve"> </w:t>
      </w:r>
      <w:r w:rsidR="00C43C36" w:rsidRPr="008B19B9">
        <w:rPr>
          <w:rFonts w:ascii="Arial" w:hAnsi="Arial" w:cs="Arial"/>
          <w:sz w:val="24"/>
          <w:szCs w:val="24"/>
        </w:rPr>
        <w:t xml:space="preserve">atienden las patologías más frecuentes </w:t>
      </w:r>
      <w:r w:rsidR="00AC1750" w:rsidRPr="008B19B9">
        <w:rPr>
          <w:rFonts w:ascii="Arial" w:hAnsi="Arial" w:cs="Arial"/>
          <w:sz w:val="24"/>
          <w:szCs w:val="24"/>
        </w:rPr>
        <w:t>que</w:t>
      </w:r>
      <w:r w:rsidR="00C43C36" w:rsidRPr="008B19B9">
        <w:rPr>
          <w:rFonts w:ascii="Arial" w:hAnsi="Arial" w:cs="Arial"/>
          <w:sz w:val="24"/>
          <w:szCs w:val="24"/>
        </w:rPr>
        <w:t xml:space="preserve"> identificará en su quehacer cotidiano</w:t>
      </w:r>
      <w:r w:rsidR="00675C33">
        <w:rPr>
          <w:rFonts w:ascii="Arial" w:hAnsi="Arial" w:cs="Arial"/>
          <w:sz w:val="24"/>
          <w:szCs w:val="24"/>
        </w:rPr>
        <w:t>.</w:t>
      </w:r>
    </w:p>
    <w:p w14:paraId="4037D6BE" w14:textId="77777777" w:rsidR="00675C33" w:rsidRDefault="00675C33" w:rsidP="007E42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DA42C2" w14:textId="7DF88DE2" w:rsidR="00C43C36" w:rsidRPr="008B19B9" w:rsidRDefault="00675C33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C1750" w:rsidRPr="008B19B9">
        <w:rPr>
          <w:rFonts w:ascii="Arial" w:hAnsi="Arial" w:cs="Arial"/>
          <w:sz w:val="24"/>
          <w:szCs w:val="24"/>
        </w:rPr>
        <w:t>ara este 2023</w:t>
      </w:r>
      <w:r>
        <w:rPr>
          <w:rFonts w:ascii="Arial" w:hAnsi="Arial" w:cs="Arial"/>
          <w:sz w:val="24"/>
          <w:szCs w:val="24"/>
        </w:rPr>
        <w:t>,</w:t>
      </w:r>
      <w:r w:rsidR="00AC1750" w:rsidRPr="008B19B9">
        <w:rPr>
          <w:rFonts w:ascii="Arial" w:hAnsi="Arial" w:cs="Arial"/>
          <w:sz w:val="24"/>
          <w:szCs w:val="24"/>
        </w:rPr>
        <w:t xml:space="preserve"> además de la oferta académica</w:t>
      </w:r>
      <w:r w:rsidR="00C45B77" w:rsidRPr="008B19B9">
        <w:rPr>
          <w:rFonts w:ascii="Arial" w:hAnsi="Arial" w:cs="Arial"/>
          <w:sz w:val="24"/>
          <w:szCs w:val="24"/>
        </w:rPr>
        <w:t xml:space="preserve"> diversificada</w:t>
      </w:r>
      <w:r w:rsidR="00AC1750" w:rsidRPr="008B19B9">
        <w:rPr>
          <w:rFonts w:ascii="Arial" w:hAnsi="Arial" w:cs="Arial"/>
          <w:sz w:val="24"/>
          <w:szCs w:val="24"/>
        </w:rPr>
        <w:t xml:space="preserve"> de nuestra plataforma, el médico se </w:t>
      </w:r>
      <w:r w:rsidR="00C45B77" w:rsidRPr="008B19B9">
        <w:rPr>
          <w:rFonts w:ascii="Arial" w:hAnsi="Arial" w:cs="Arial"/>
          <w:sz w:val="24"/>
          <w:szCs w:val="24"/>
        </w:rPr>
        <w:t>encontrará</w:t>
      </w:r>
      <w:r w:rsidR="00AC1750" w:rsidRPr="008B19B9">
        <w:rPr>
          <w:rFonts w:ascii="Arial" w:hAnsi="Arial" w:cs="Arial"/>
          <w:sz w:val="24"/>
          <w:szCs w:val="24"/>
        </w:rPr>
        <w:t xml:space="preserve"> personalmente e intercambiar</w:t>
      </w:r>
      <w:r w:rsidR="00835140" w:rsidRPr="008B19B9">
        <w:rPr>
          <w:rFonts w:ascii="Arial" w:hAnsi="Arial" w:cs="Arial"/>
          <w:sz w:val="24"/>
          <w:szCs w:val="24"/>
        </w:rPr>
        <w:t>á</w:t>
      </w:r>
      <w:r w:rsidR="00AC1750" w:rsidRPr="008B19B9">
        <w:rPr>
          <w:rFonts w:ascii="Arial" w:hAnsi="Arial" w:cs="Arial"/>
          <w:sz w:val="24"/>
          <w:szCs w:val="24"/>
        </w:rPr>
        <w:t xml:space="preserve"> experiencias con médicos de talla nacional e internacional que expondrán temas de actualidad en el </w:t>
      </w:r>
      <w:r w:rsidR="00825593" w:rsidRPr="008B19B9">
        <w:rPr>
          <w:rFonts w:ascii="Arial" w:hAnsi="Arial" w:cs="Arial"/>
          <w:b/>
          <w:bCs/>
          <w:i/>
          <w:iCs/>
          <w:sz w:val="24"/>
          <w:szCs w:val="24"/>
        </w:rPr>
        <w:t xml:space="preserve">1er </w:t>
      </w:r>
      <w:r w:rsidR="00AC1750" w:rsidRPr="008B19B9">
        <w:rPr>
          <w:rFonts w:ascii="Arial" w:hAnsi="Arial" w:cs="Arial"/>
          <w:b/>
          <w:bCs/>
          <w:i/>
          <w:iCs/>
          <w:sz w:val="24"/>
          <w:szCs w:val="24"/>
        </w:rPr>
        <w:t>Congreso</w:t>
      </w:r>
      <w:r w:rsidR="00825593" w:rsidRPr="008B19B9">
        <w:rPr>
          <w:rFonts w:ascii="Arial" w:hAnsi="Arial" w:cs="Arial"/>
          <w:b/>
          <w:bCs/>
          <w:i/>
          <w:iCs/>
          <w:sz w:val="24"/>
          <w:szCs w:val="24"/>
        </w:rPr>
        <w:t xml:space="preserve"> del Comité Normativo Nacional de Medicina General</w:t>
      </w:r>
      <w:r w:rsidR="00341504" w:rsidRPr="008B19B9">
        <w:rPr>
          <w:rFonts w:ascii="Arial" w:hAnsi="Arial" w:cs="Arial"/>
          <w:b/>
          <w:bCs/>
          <w:i/>
          <w:iCs/>
          <w:sz w:val="24"/>
          <w:szCs w:val="24"/>
        </w:rPr>
        <w:t>, A.C.,</w:t>
      </w:r>
      <w:r w:rsidR="00AC1750" w:rsidRPr="008B19B9">
        <w:rPr>
          <w:rFonts w:ascii="Arial" w:hAnsi="Arial" w:cs="Arial"/>
          <w:sz w:val="24"/>
          <w:szCs w:val="24"/>
        </w:rPr>
        <w:t xml:space="preserve"> </w:t>
      </w:r>
      <w:r w:rsidR="00341504" w:rsidRPr="008B19B9">
        <w:rPr>
          <w:rFonts w:ascii="Arial" w:hAnsi="Arial" w:cs="Arial"/>
          <w:sz w:val="24"/>
          <w:szCs w:val="24"/>
        </w:rPr>
        <w:t>que se realizará</w:t>
      </w:r>
      <w:r w:rsidR="00AC1750" w:rsidRPr="008B19B9">
        <w:rPr>
          <w:rFonts w:ascii="Arial" w:hAnsi="Arial" w:cs="Arial"/>
          <w:sz w:val="24"/>
          <w:szCs w:val="24"/>
        </w:rPr>
        <w:t xml:space="preserve"> en la </w:t>
      </w:r>
      <w:r w:rsidR="00B10BDA">
        <w:rPr>
          <w:rFonts w:ascii="Arial" w:hAnsi="Arial" w:cs="Arial"/>
          <w:sz w:val="24"/>
          <w:szCs w:val="24"/>
        </w:rPr>
        <w:t>c</w:t>
      </w:r>
      <w:r w:rsidR="00AC1750" w:rsidRPr="008B19B9">
        <w:rPr>
          <w:rFonts w:ascii="Arial" w:hAnsi="Arial" w:cs="Arial"/>
          <w:sz w:val="24"/>
          <w:szCs w:val="24"/>
        </w:rPr>
        <w:t>iudad de Querétaro.</w:t>
      </w:r>
    </w:p>
    <w:p w14:paraId="0E609C9D" w14:textId="77777777" w:rsidR="00B10BDA" w:rsidRDefault="00B10BDA" w:rsidP="007E42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231AD5" w14:textId="43680ED6" w:rsidR="00B10BDA" w:rsidRPr="008B19B9" w:rsidRDefault="008B6342" w:rsidP="007E42E5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En resumen, u</w:t>
      </w:r>
      <w:r w:rsidR="00AC1750" w:rsidRPr="008B19B9">
        <w:rPr>
          <w:rFonts w:ascii="Arial" w:hAnsi="Arial" w:cs="Arial"/>
          <w:sz w:val="24"/>
          <w:szCs w:val="24"/>
        </w:rPr>
        <w:t xml:space="preserve">n año de actividades no cierra un ciclo, al </w:t>
      </w:r>
      <w:r w:rsidR="00825593" w:rsidRPr="008B19B9">
        <w:rPr>
          <w:rFonts w:ascii="Arial" w:hAnsi="Arial" w:cs="Arial"/>
          <w:sz w:val="24"/>
          <w:szCs w:val="24"/>
        </w:rPr>
        <w:t>contrario,</w:t>
      </w:r>
      <w:r w:rsidR="00AC1750" w:rsidRPr="008B19B9">
        <w:rPr>
          <w:rFonts w:ascii="Arial" w:hAnsi="Arial" w:cs="Arial"/>
          <w:sz w:val="24"/>
          <w:szCs w:val="24"/>
        </w:rPr>
        <w:t xml:space="preserve"> invita a un análisis de lo alcanzado y proyecta estándares cada vez más altos en </w:t>
      </w:r>
      <w:r w:rsidR="008A2F14" w:rsidRPr="008B19B9">
        <w:rPr>
          <w:rFonts w:ascii="Arial" w:hAnsi="Arial" w:cs="Arial"/>
          <w:sz w:val="24"/>
          <w:szCs w:val="24"/>
        </w:rPr>
        <w:t xml:space="preserve">favor </w:t>
      </w:r>
      <w:r w:rsidR="00AC1750" w:rsidRPr="008B19B9">
        <w:rPr>
          <w:rFonts w:ascii="Arial" w:hAnsi="Arial" w:cs="Arial"/>
          <w:sz w:val="24"/>
          <w:szCs w:val="24"/>
        </w:rPr>
        <w:t>de la Medicina General</w:t>
      </w:r>
      <w:r w:rsidR="00C45B77" w:rsidRPr="008B19B9">
        <w:rPr>
          <w:rFonts w:ascii="Arial" w:hAnsi="Arial" w:cs="Arial"/>
          <w:sz w:val="24"/>
          <w:szCs w:val="24"/>
        </w:rPr>
        <w:t xml:space="preserve"> de nuestro país</w:t>
      </w:r>
      <w:r w:rsidR="00AC1750" w:rsidRPr="008B19B9">
        <w:rPr>
          <w:rFonts w:ascii="Arial" w:hAnsi="Arial" w:cs="Arial"/>
          <w:sz w:val="24"/>
          <w:szCs w:val="24"/>
        </w:rPr>
        <w:t>.</w:t>
      </w:r>
    </w:p>
    <w:p w14:paraId="75260E67" w14:textId="77777777" w:rsidR="007131FB" w:rsidRPr="008B19B9" w:rsidRDefault="007131FB" w:rsidP="007E42E5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07AA55" w14:textId="77777777" w:rsidR="00442AC4" w:rsidRPr="008B19B9" w:rsidRDefault="00442AC4" w:rsidP="00442AC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B19B9">
        <w:rPr>
          <w:rFonts w:ascii="Arial" w:hAnsi="Arial" w:cs="Arial"/>
          <w:b/>
          <w:bCs/>
          <w:sz w:val="24"/>
          <w:szCs w:val="24"/>
        </w:rPr>
        <w:lastRenderedPageBreak/>
        <w:t>Bibliografía</w:t>
      </w:r>
    </w:p>
    <w:p w14:paraId="541E4A2E" w14:textId="77777777" w:rsidR="00442AC4" w:rsidRPr="008B19B9" w:rsidRDefault="00442AC4" w:rsidP="00442A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10B59B" w14:textId="57E67136" w:rsidR="00442AC4" w:rsidRPr="008B19B9" w:rsidRDefault="00442AC4" w:rsidP="00442AC4">
      <w:pPr>
        <w:spacing w:after="0"/>
        <w:jc w:val="both"/>
        <w:rPr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1. Comité Normativo Nacional de Medicina General</w:t>
      </w:r>
      <w:r w:rsidR="00F9027C" w:rsidRPr="008B19B9">
        <w:rPr>
          <w:rFonts w:ascii="Arial" w:hAnsi="Arial" w:cs="Arial"/>
          <w:sz w:val="24"/>
          <w:szCs w:val="24"/>
        </w:rPr>
        <w:t>, A.C.</w:t>
      </w:r>
      <w:r w:rsidRPr="008B19B9">
        <w:rPr>
          <w:rFonts w:ascii="Arial" w:hAnsi="Arial" w:cs="Arial"/>
          <w:sz w:val="24"/>
          <w:szCs w:val="24"/>
        </w:rPr>
        <w:t xml:space="preserve"> (CONAMEGE). Declaratoria de principios [online]. </w:t>
      </w:r>
      <w:hyperlink r:id="rId17" w:history="1">
        <w:r w:rsidRPr="008B19B9">
          <w:rPr>
            <w:rStyle w:val="Hyperlink"/>
            <w:rFonts w:ascii="Arial" w:hAnsi="Arial" w:cs="Arial"/>
            <w:sz w:val="24"/>
            <w:szCs w:val="24"/>
          </w:rPr>
          <w:t>https://www.conamege.org.mx/index.php</w:t>
        </w:r>
      </w:hyperlink>
      <w:r w:rsidRPr="008B19B9">
        <w:rPr>
          <w:rFonts w:ascii="Arial" w:hAnsi="Arial" w:cs="Arial"/>
          <w:sz w:val="24"/>
          <w:szCs w:val="24"/>
        </w:rPr>
        <w:t xml:space="preserve"> </w:t>
      </w:r>
    </w:p>
    <w:p w14:paraId="0113CE8F" w14:textId="77777777" w:rsidR="00442AC4" w:rsidRPr="008B19B9" w:rsidRDefault="00442AC4" w:rsidP="00442A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FE7EFDB" w14:textId="72F8F686" w:rsidR="00442AC4" w:rsidRPr="008B19B9" w:rsidRDefault="00442AC4" w:rsidP="00442AC4">
      <w:pPr>
        <w:jc w:val="both"/>
        <w:rPr>
          <w:rStyle w:val="Hyperlink"/>
          <w:rFonts w:ascii="Arial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2. Comité Normativo Nacional de Medicina General</w:t>
      </w:r>
      <w:r w:rsidR="00F9027C" w:rsidRPr="008B19B9">
        <w:rPr>
          <w:rFonts w:ascii="Arial" w:hAnsi="Arial" w:cs="Arial"/>
          <w:sz w:val="24"/>
          <w:szCs w:val="24"/>
        </w:rPr>
        <w:t>, A.C.</w:t>
      </w:r>
      <w:r w:rsidRPr="008B19B9">
        <w:rPr>
          <w:rFonts w:ascii="Arial" w:hAnsi="Arial" w:cs="Arial"/>
          <w:sz w:val="24"/>
          <w:szCs w:val="24"/>
        </w:rPr>
        <w:t xml:space="preserve"> (CONAMEGE). Estatutos del Subcomité de Educación Médica Continua. </w:t>
      </w:r>
      <w:hyperlink r:id="rId18" w:history="1">
        <w:r w:rsidRPr="008B19B9">
          <w:rPr>
            <w:rStyle w:val="Hyperlink"/>
            <w:rFonts w:ascii="Arial" w:hAnsi="Arial" w:cs="Arial"/>
            <w:sz w:val="24"/>
            <w:szCs w:val="24"/>
          </w:rPr>
          <w:t>https://www.conamege.org.mx/estatutos.php</w:t>
        </w:r>
      </w:hyperlink>
      <w:r w:rsidRPr="008B19B9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42379F38" w14:textId="77E36390" w:rsidR="005241B8" w:rsidRPr="008B19B9" w:rsidRDefault="00442AC4" w:rsidP="005241B8">
      <w:pPr>
        <w:jc w:val="both"/>
        <w:rPr>
          <w:rFonts w:ascii="Arial" w:eastAsia="Calibri" w:hAnsi="Arial" w:cs="Arial"/>
          <w:sz w:val="24"/>
          <w:szCs w:val="24"/>
        </w:rPr>
      </w:pPr>
      <w:r w:rsidRPr="008B19B9">
        <w:rPr>
          <w:rFonts w:ascii="Arial" w:hAnsi="Arial" w:cs="Arial"/>
          <w:sz w:val="24"/>
          <w:szCs w:val="24"/>
        </w:rPr>
        <w:t>3. Comité Normativo Nacional de Medicina General</w:t>
      </w:r>
      <w:r w:rsidR="00F9027C" w:rsidRPr="008B19B9">
        <w:rPr>
          <w:rFonts w:ascii="Arial" w:hAnsi="Arial" w:cs="Arial"/>
          <w:sz w:val="24"/>
          <w:szCs w:val="24"/>
        </w:rPr>
        <w:t>, A.C.</w:t>
      </w:r>
      <w:r w:rsidRPr="008B19B9">
        <w:rPr>
          <w:rFonts w:ascii="Arial" w:hAnsi="Arial" w:cs="Arial"/>
          <w:sz w:val="24"/>
          <w:szCs w:val="24"/>
        </w:rPr>
        <w:t xml:space="preserve"> (CONAMEGE). Convocatoria del 1er Congreso Internacional del Comité Normativo Nacional de Medicina General [online]. Disponible en </w:t>
      </w:r>
      <w:hyperlink r:id="rId19" w:history="1">
        <w:r w:rsidRPr="008B19B9">
          <w:rPr>
            <w:rStyle w:val="Hyperlink"/>
            <w:rFonts w:ascii="Arial" w:eastAsia="Calibri" w:hAnsi="Arial" w:cs="Arial"/>
            <w:sz w:val="24"/>
            <w:szCs w:val="24"/>
          </w:rPr>
          <w:t>https://congresoconamege.com/</w:t>
        </w:r>
      </w:hyperlink>
      <w:r w:rsidRPr="008B19B9">
        <w:rPr>
          <w:rStyle w:val="Hyperlink"/>
          <w:rFonts w:ascii="Arial" w:eastAsia="Calibri" w:hAnsi="Arial" w:cs="Arial"/>
          <w:sz w:val="24"/>
          <w:szCs w:val="24"/>
        </w:rPr>
        <w:t xml:space="preserve"> </w:t>
      </w:r>
      <w:r w:rsidRPr="008B19B9">
        <w:rPr>
          <w:rFonts w:ascii="Arial" w:hAnsi="Arial" w:cs="Arial"/>
          <w:sz w:val="24"/>
          <w:szCs w:val="24"/>
        </w:rPr>
        <w:t>[15 febrero 2023]</w:t>
      </w:r>
    </w:p>
    <w:p w14:paraId="54789D77" w14:textId="77777777" w:rsidR="0093434C" w:rsidRPr="008B19B9" w:rsidRDefault="0093434C" w:rsidP="00675C33">
      <w:pPr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sectPr w:rsidR="0093434C" w:rsidRPr="008B19B9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a Ochoa" w:date="2023-03-04T18:31:00Z" w:initials="GO">
    <w:p w14:paraId="640676F6" w14:textId="77777777" w:rsidR="00D52FDB" w:rsidRDefault="00D52FDB" w:rsidP="00C77C69">
      <w:pPr>
        <w:pStyle w:val="CommentText"/>
      </w:pPr>
      <w:r>
        <w:rPr>
          <w:rStyle w:val="CommentReference"/>
        </w:rPr>
        <w:annotationRef/>
      </w:r>
      <w:r>
        <w:t>Dianita, había un comentario que decía que podía ir la tabla tal cual o un QR.</w:t>
      </w:r>
      <w:r>
        <w:br/>
      </w:r>
      <w:r>
        <w:br/>
        <w:t>Si ponemos un QR, podríamos agregar un texto:</w:t>
      </w:r>
      <w:r>
        <w:br/>
        <w:t>Escanea el QR para ver más información.</w:t>
      </w:r>
    </w:p>
  </w:comment>
  <w:comment w:id="1" w:author="Gera Ochoa" w:date="2023-03-04T18:34:00Z" w:initials="GO">
    <w:p w14:paraId="00C3A2B1" w14:textId="77777777" w:rsidR="00DF095F" w:rsidRDefault="00DF095F" w:rsidP="008C045D">
      <w:pPr>
        <w:pStyle w:val="CommentText"/>
      </w:pPr>
      <w:r>
        <w:rPr>
          <w:rStyle w:val="CommentReference"/>
        </w:rPr>
        <w:annotationRef/>
      </w:r>
      <w:r>
        <w:t>Lo mismo de la tabla anterior. Si ponemos el QR agregar el mismo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676F6" w15:done="0"/>
  <w15:commentEx w15:paraId="00C3A2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E0D00" w16cex:dateUtc="2023-03-05T00:31:00Z"/>
  <w16cex:commentExtensible w16cex:durableId="27AE0DB8" w16cex:dateUtc="2023-03-05T0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676F6" w16cid:durableId="27AE0D00"/>
  <w16cid:commentId w16cid:paraId="00C3A2B1" w16cid:durableId="27AE0D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93EE9" w14:textId="77777777" w:rsidR="0008250E" w:rsidRDefault="0008250E">
      <w:pPr>
        <w:spacing w:after="0" w:line="240" w:lineRule="auto"/>
      </w:pPr>
      <w:r>
        <w:separator/>
      </w:r>
    </w:p>
  </w:endnote>
  <w:endnote w:type="continuationSeparator" w:id="0">
    <w:p w14:paraId="08548611" w14:textId="77777777" w:rsidR="0008250E" w:rsidRDefault="0008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575924"/>
      <w:docPartObj>
        <w:docPartGallery w:val="Page Numbers (Bottom of Page)"/>
        <w:docPartUnique/>
      </w:docPartObj>
    </w:sdtPr>
    <w:sdtContent>
      <w:p w14:paraId="54EA00E6" w14:textId="64760406" w:rsidR="00E601B0" w:rsidRDefault="00E601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55A7BAC" w14:textId="77777777" w:rsidR="00D855A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8D89" w14:textId="77777777" w:rsidR="0008250E" w:rsidRDefault="0008250E">
      <w:pPr>
        <w:spacing w:after="0" w:line="240" w:lineRule="auto"/>
      </w:pPr>
      <w:r>
        <w:separator/>
      </w:r>
    </w:p>
  </w:footnote>
  <w:footnote w:type="continuationSeparator" w:id="0">
    <w:p w14:paraId="08D23B2A" w14:textId="77777777" w:rsidR="0008250E" w:rsidRDefault="0008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A1D2" w14:textId="77777777" w:rsidR="00A64262" w:rsidRDefault="00000000" w:rsidP="00A6426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7C8"/>
    <w:multiLevelType w:val="multilevel"/>
    <w:tmpl w:val="280497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8D2C03"/>
    <w:multiLevelType w:val="hybridMultilevel"/>
    <w:tmpl w:val="773EF94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F96B2A"/>
    <w:multiLevelType w:val="hybridMultilevel"/>
    <w:tmpl w:val="428439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079D5"/>
    <w:multiLevelType w:val="hybridMultilevel"/>
    <w:tmpl w:val="3EF22950"/>
    <w:lvl w:ilvl="0" w:tplc="8E583B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95588"/>
    <w:multiLevelType w:val="hybridMultilevel"/>
    <w:tmpl w:val="3EF2295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52C3A"/>
    <w:multiLevelType w:val="hybridMultilevel"/>
    <w:tmpl w:val="D3121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92014">
    <w:abstractNumId w:val="3"/>
  </w:num>
  <w:num w:numId="2" w16cid:durableId="2100783685">
    <w:abstractNumId w:val="2"/>
  </w:num>
  <w:num w:numId="3" w16cid:durableId="579679269">
    <w:abstractNumId w:val="5"/>
  </w:num>
  <w:num w:numId="4" w16cid:durableId="739181374">
    <w:abstractNumId w:val="0"/>
  </w:num>
  <w:num w:numId="5" w16cid:durableId="1350525555">
    <w:abstractNumId w:val="1"/>
  </w:num>
  <w:num w:numId="6" w16cid:durableId="6981257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 Ochoa">
    <w15:presenceInfo w15:providerId="Windows Live" w15:userId="bad01057dc9d0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99"/>
    <w:rsid w:val="000015D6"/>
    <w:rsid w:val="00031318"/>
    <w:rsid w:val="00077077"/>
    <w:rsid w:val="0008250E"/>
    <w:rsid w:val="000C7680"/>
    <w:rsid w:val="0010323A"/>
    <w:rsid w:val="00115FC7"/>
    <w:rsid w:val="00132AED"/>
    <w:rsid w:val="00141F27"/>
    <w:rsid w:val="00155C40"/>
    <w:rsid w:val="001A52FC"/>
    <w:rsid w:val="001B16D0"/>
    <w:rsid w:val="001D4976"/>
    <w:rsid w:val="001E18E1"/>
    <w:rsid w:val="001F53E8"/>
    <w:rsid w:val="0020317C"/>
    <w:rsid w:val="00212605"/>
    <w:rsid w:val="00223F35"/>
    <w:rsid w:val="00236636"/>
    <w:rsid w:val="002A4A30"/>
    <w:rsid w:val="002C0628"/>
    <w:rsid w:val="0031706F"/>
    <w:rsid w:val="00325385"/>
    <w:rsid w:val="00332B2B"/>
    <w:rsid w:val="0033766B"/>
    <w:rsid w:val="00341504"/>
    <w:rsid w:val="003C6D3F"/>
    <w:rsid w:val="0040480F"/>
    <w:rsid w:val="0041082C"/>
    <w:rsid w:val="00431ADE"/>
    <w:rsid w:val="00442AC4"/>
    <w:rsid w:val="004565BE"/>
    <w:rsid w:val="004638B4"/>
    <w:rsid w:val="00483C56"/>
    <w:rsid w:val="004D6E44"/>
    <w:rsid w:val="00506D7C"/>
    <w:rsid w:val="005241B8"/>
    <w:rsid w:val="005673B5"/>
    <w:rsid w:val="00571D0C"/>
    <w:rsid w:val="00581AB6"/>
    <w:rsid w:val="00675C33"/>
    <w:rsid w:val="00694AD4"/>
    <w:rsid w:val="006956B0"/>
    <w:rsid w:val="006A0622"/>
    <w:rsid w:val="006A28FC"/>
    <w:rsid w:val="006A4199"/>
    <w:rsid w:val="006B701A"/>
    <w:rsid w:val="006D692F"/>
    <w:rsid w:val="0070291E"/>
    <w:rsid w:val="00705BA3"/>
    <w:rsid w:val="007131FB"/>
    <w:rsid w:val="00732606"/>
    <w:rsid w:val="00735A10"/>
    <w:rsid w:val="00736730"/>
    <w:rsid w:val="00736FA6"/>
    <w:rsid w:val="007559ED"/>
    <w:rsid w:val="00767C28"/>
    <w:rsid w:val="007E42E5"/>
    <w:rsid w:val="007E6328"/>
    <w:rsid w:val="00825593"/>
    <w:rsid w:val="00833DF5"/>
    <w:rsid w:val="00835140"/>
    <w:rsid w:val="00894845"/>
    <w:rsid w:val="008A279E"/>
    <w:rsid w:val="008A2F14"/>
    <w:rsid w:val="008B19B9"/>
    <w:rsid w:val="008B44E8"/>
    <w:rsid w:val="008B6342"/>
    <w:rsid w:val="008C0EBF"/>
    <w:rsid w:val="008E1038"/>
    <w:rsid w:val="008F2BFC"/>
    <w:rsid w:val="00905CD6"/>
    <w:rsid w:val="00924AE5"/>
    <w:rsid w:val="0093434C"/>
    <w:rsid w:val="0096038C"/>
    <w:rsid w:val="00970900"/>
    <w:rsid w:val="0098648C"/>
    <w:rsid w:val="00997CC3"/>
    <w:rsid w:val="00A21015"/>
    <w:rsid w:val="00A91749"/>
    <w:rsid w:val="00AC1750"/>
    <w:rsid w:val="00AF2CF8"/>
    <w:rsid w:val="00B10BDA"/>
    <w:rsid w:val="00B23115"/>
    <w:rsid w:val="00B56A1C"/>
    <w:rsid w:val="00B62781"/>
    <w:rsid w:val="00BB30C3"/>
    <w:rsid w:val="00BC6A5C"/>
    <w:rsid w:val="00BE53E2"/>
    <w:rsid w:val="00C067D2"/>
    <w:rsid w:val="00C10AEF"/>
    <w:rsid w:val="00C25DDC"/>
    <w:rsid w:val="00C43C36"/>
    <w:rsid w:val="00C45B77"/>
    <w:rsid w:val="00C54701"/>
    <w:rsid w:val="00C95534"/>
    <w:rsid w:val="00CD1DE8"/>
    <w:rsid w:val="00D44A04"/>
    <w:rsid w:val="00D52FDB"/>
    <w:rsid w:val="00D625B2"/>
    <w:rsid w:val="00D800E9"/>
    <w:rsid w:val="00D85B43"/>
    <w:rsid w:val="00DA4C95"/>
    <w:rsid w:val="00DA64B6"/>
    <w:rsid w:val="00DB317F"/>
    <w:rsid w:val="00DC6CE7"/>
    <w:rsid w:val="00DC6E75"/>
    <w:rsid w:val="00DE0322"/>
    <w:rsid w:val="00DF095F"/>
    <w:rsid w:val="00DF3EB1"/>
    <w:rsid w:val="00E601B0"/>
    <w:rsid w:val="00EB0602"/>
    <w:rsid w:val="00EF3CA5"/>
    <w:rsid w:val="00F3528F"/>
    <w:rsid w:val="00F41304"/>
    <w:rsid w:val="00F9027C"/>
    <w:rsid w:val="00FC2041"/>
    <w:rsid w:val="00FC7D18"/>
    <w:rsid w:val="00FD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C593"/>
  <w15:chartTrackingRefBased/>
  <w15:docId w15:val="{EAB10A13-7E68-4C70-BADD-AB4A0B2F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D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6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8C"/>
  </w:style>
  <w:style w:type="paragraph" w:styleId="Footer">
    <w:name w:val="footer"/>
    <w:basedOn w:val="Normal"/>
    <w:link w:val="FooterChar"/>
    <w:uiPriority w:val="99"/>
    <w:unhideWhenUsed/>
    <w:rsid w:val="00986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8C"/>
  </w:style>
  <w:style w:type="paragraph" w:styleId="Revision">
    <w:name w:val="Revision"/>
    <w:hidden/>
    <w:uiPriority w:val="99"/>
    <w:semiHidden/>
    <w:rsid w:val="008B19B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52F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F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F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F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F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luis.olvera@conamege.com" TargetMode="External"/><Relationship Id="rId13" Type="http://schemas.openxmlformats.org/officeDocument/2006/relationships/chart" Target="charts/chart1.xml"/><Relationship Id="rId18" Type="http://schemas.openxmlformats.org/officeDocument/2006/relationships/hyperlink" Target="https://www.conamege.org.mx/estatutos.ph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conamege@yahoo.com.mx" TargetMode="External"/><Relationship Id="rId12" Type="http://schemas.microsoft.com/office/2018/08/relationships/commentsExtensible" Target="commentsExtensible.xml"/><Relationship Id="rId17" Type="http://schemas.openxmlformats.org/officeDocument/2006/relationships/hyperlink" Target="https://www.conamege.org.mx/index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congresoconamege.com/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chart" Target="charts/chart2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D2-4FE3-8B58-541E90C776A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D2-4FE3-8B58-541E90C776A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D2-4FE3-8B58-541E90C776A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D2-4FE3-8B58-541E90C776A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1CD2-4FE3-8B58-541E90C776A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1CD2-4FE3-8B58-541E90C776AF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1CD2-4FE3-8B58-541E90C776AF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1CD2-4FE3-8B58-541E90C776AF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1CD2-4FE3-8B58-541E90C776AF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1CD2-4FE3-8B58-541E90C776AF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1CD2-4FE3-8B58-541E90C776AF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1CD2-4FE3-8B58-541E90C776AF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1CD2-4FE3-8B58-541E90C776AF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1CD2-4FE3-8B58-541E90C776A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MX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Hoja1!$C$8:$C$21</c:f>
              <c:strCache>
                <c:ptCount val="14"/>
                <c:pt idx="0">
                  <c:v>Curso </c:v>
                </c:pt>
                <c:pt idx="1">
                  <c:v>Congreso </c:v>
                </c:pt>
                <c:pt idx="2">
                  <c:v>Conferencia</c:v>
                </c:pt>
                <c:pt idx="3">
                  <c:v>Telefonferencia</c:v>
                </c:pt>
                <c:pt idx="4">
                  <c:v>Libros y publicaciones </c:v>
                </c:pt>
                <c:pt idx="5">
                  <c:v>Taller </c:v>
                </c:pt>
                <c:pt idx="6">
                  <c:v>Diplomado </c:v>
                </c:pt>
                <c:pt idx="7">
                  <c:v>Jornada</c:v>
                </c:pt>
                <c:pt idx="8">
                  <c:v>Sesión </c:v>
                </c:pt>
                <c:pt idx="9">
                  <c:v>Foro </c:v>
                </c:pt>
                <c:pt idx="10">
                  <c:v>Encuentro</c:v>
                </c:pt>
                <c:pt idx="11">
                  <c:v>Simposio </c:v>
                </c:pt>
                <c:pt idx="12">
                  <c:v>Reuniones </c:v>
                </c:pt>
                <c:pt idx="13">
                  <c:v>Seminario </c:v>
                </c:pt>
              </c:strCache>
            </c:strRef>
          </c:cat>
          <c:val>
            <c:numRef>
              <c:f>Hoja1!$D$8:$D$21</c:f>
              <c:numCache>
                <c:formatCode>General</c:formatCode>
                <c:ptCount val="14"/>
                <c:pt idx="0">
                  <c:v>260</c:v>
                </c:pt>
                <c:pt idx="1">
                  <c:v>55</c:v>
                </c:pt>
                <c:pt idx="2">
                  <c:v>35</c:v>
                </c:pt>
                <c:pt idx="3">
                  <c:v>30</c:v>
                </c:pt>
                <c:pt idx="4">
                  <c:v>15</c:v>
                </c:pt>
                <c:pt idx="5">
                  <c:v>12</c:v>
                </c:pt>
                <c:pt idx="6">
                  <c:v>8</c:v>
                </c:pt>
                <c:pt idx="7">
                  <c:v>8</c:v>
                </c:pt>
                <c:pt idx="8">
                  <c:v>6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CD2-4FE3-8B58-541E90C776A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546666240455724"/>
          <c:y val="0.15147143014525724"/>
          <c:w val="0.83103363135031338"/>
          <c:h val="0.6089525146732748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Distancia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Hoja1!$A$2:$A$5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87</c:v>
                </c:pt>
                <c:pt idx="1">
                  <c:v>318</c:v>
                </c:pt>
                <c:pt idx="2">
                  <c:v>459</c:v>
                </c:pt>
                <c:pt idx="3">
                  <c:v>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64-43F0-9FA0-978F2E4F0C0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Presencial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Hoja1!$A$2:$A$5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Hoja1!$C$2:$C$5</c:f>
              <c:numCache>
                <c:formatCode>General</c:formatCode>
                <c:ptCount val="4"/>
                <c:pt idx="0">
                  <c:v>304</c:v>
                </c:pt>
                <c:pt idx="1">
                  <c:v>97</c:v>
                </c:pt>
                <c:pt idx="2">
                  <c:v>30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64-43F0-9FA0-978F2E4F0C0F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Mixta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Hoja1!$A$2:$A$5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Hoja1!$E$2:$E$5</c:f>
              <c:numCache>
                <c:formatCode>General</c:formatCode>
                <c:ptCount val="4"/>
                <c:pt idx="0">
                  <c:v>20</c:v>
                </c:pt>
                <c:pt idx="1">
                  <c:v>17</c:v>
                </c:pt>
                <c:pt idx="2">
                  <c:v>21</c:v>
                </c:pt>
                <c:pt idx="3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64-43F0-9FA0-978F2E4F0C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05953456"/>
        <c:axId val="1805944720"/>
        <c:axId val="0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Hoja1!$D$1</c15:sqref>
                        </c15:formulaRef>
                      </c:ext>
                    </c:extLst>
                    <c:strCache>
                      <c:ptCount val="1"/>
                      <c:pt idx="0">
                        <c:v>Mixta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Hoja1!$A$2:$A$5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2019</c:v>
                      </c:pt>
                      <c:pt idx="1">
                        <c:v>2020</c:v>
                      </c:pt>
                      <c:pt idx="2">
                        <c:v>2021</c:v>
                      </c:pt>
                      <c:pt idx="3">
                        <c:v>2022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Hoja1!$D$2:$D$5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20</c:v>
                      </c:pt>
                      <c:pt idx="1">
                        <c:v>17</c:v>
                      </c:pt>
                      <c:pt idx="2">
                        <c:v>21</c:v>
                      </c:pt>
                      <c:pt idx="3">
                        <c:v>65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7164-43F0-9FA0-978F2E4F0C0F}"/>
                  </c:ext>
                </c:extLst>
              </c15:ser>
            </c15:filteredBarSeries>
          </c:ext>
        </c:extLst>
      </c:bar3DChart>
      <c:catAx>
        <c:axId val="180595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MX"/>
          </a:p>
        </c:txPr>
        <c:crossAx val="1805944720"/>
        <c:crosses val="autoZero"/>
        <c:auto val="1"/>
        <c:lblAlgn val="ctr"/>
        <c:lblOffset val="100"/>
        <c:noMultiLvlLbl val="0"/>
      </c:catAx>
      <c:valAx>
        <c:axId val="18059447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805953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MX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MX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00808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Hoja1!$A$1:$A$33</c:f>
              <c:strCache>
                <c:ptCount val="33"/>
                <c:pt idx="0">
                  <c:v>Medicina general </c:v>
                </c:pt>
                <c:pt idx="1">
                  <c:v>Medicina Interna </c:v>
                </c:pt>
                <c:pt idx="2">
                  <c:v>Endocrinología </c:v>
                </c:pt>
                <c:pt idx="3">
                  <c:v>Ginecología</c:v>
                </c:pt>
                <c:pt idx="4">
                  <c:v>Gastroentoroligía</c:v>
                </c:pt>
                <c:pt idx="5">
                  <c:v>Pediatría</c:v>
                </c:pt>
                <c:pt idx="6">
                  <c:v>Cardiología </c:v>
                </c:pt>
                <c:pt idx="7">
                  <c:v>Infectología</c:v>
                </c:pt>
                <c:pt idx="8">
                  <c:v>Neumología</c:v>
                </c:pt>
                <c:pt idx="9">
                  <c:v>Neurología</c:v>
                </c:pt>
                <c:pt idx="10">
                  <c:v>Otorrinolaringología</c:v>
                </c:pt>
                <c:pt idx="11">
                  <c:v>Cuidados Paliativos</c:v>
                </c:pt>
                <c:pt idx="12">
                  <c:v>Urgencias Médico /Quirúrgicas</c:v>
                </c:pt>
                <c:pt idx="13">
                  <c:v>Psiquiatría y Salud Mental </c:v>
                </c:pt>
                <c:pt idx="14">
                  <c:v>Angiología</c:v>
                </c:pt>
                <c:pt idx="15">
                  <c:v>Alergia</c:v>
                </c:pt>
                <c:pt idx="16">
                  <c:v>Hematología</c:v>
                </c:pt>
                <c:pt idx="17">
                  <c:v>Reumatología</c:v>
                </c:pt>
                <c:pt idx="18">
                  <c:v>Geriatría</c:v>
                </c:pt>
                <c:pt idx="19">
                  <c:v>Nutrición </c:v>
                </c:pt>
                <c:pt idx="20">
                  <c:v>Medicina Familiar </c:v>
                </c:pt>
                <c:pt idx="21">
                  <c:v>Enfermeria </c:v>
                </c:pt>
                <c:pt idx="22">
                  <c:v>Urología</c:v>
                </c:pt>
                <c:pt idx="23">
                  <c:v>Oftamología </c:v>
                </c:pt>
                <c:pt idx="24">
                  <c:v>Ortopedia </c:v>
                </c:pt>
                <c:pt idx="25">
                  <c:v>laboratorio y Gabinete</c:v>
                </c:pt>
                <c:pt idx="26">
                  <c:v>Informática Médica</c:v>
                </c:pt>
                <c:pt idx="27">
                  <c:v>Dermatología </c:v>
                </c:pt>
                <c:pt idx="28">
                  <c:v>Cirugía General</c:v>
                </c:pt>
                <c:pt idx="29">
                  <c:v>Auxiliares Diagnósticos</c:v>
                </c:pt>
                <c:pt idx="30">
                  <c:v>Oncología </c:v>
                </c:pt>
                <c:pt idx="31">
                  <c:v>Odontología </c:v>
                </c:pt>
                <c:pt idx="32">
                  <c:v>Nefrología </c:v>
                </c:pt>
              </c:strCache>
            </c:strRef>
          </c:cat>
          <c:val>
            <c:numRef>
              <c:f>Hoja1!$B$1:$B$33</c:f>
              <c:numCache>
                <c:formatCode>General</c:formatCode>
                <c:ptCount val="33"/>
                <c:pt idx="0">
                  <c:v>107</c:v>
                </c:pt>
                <c:pt idx="1">
                  <c:v>46</c:v>
                </c:pt>
                <c:pt idx="2">
                  <c:v>41</c:v>
                </c:pt>
                <c:pt idx="3">
                  <c:v>38</c:v>
                </c:pt>
                <c:pt idx="4">
                  <c:v>27</c:v>
                </c:pt>
                <c:pt idx="5">
                  <c:v>23</c:v>
                </c:pt>
                <c:pt idx="6">
                  <c:v>22</c:v>
                </c:pt>
                <c:pt idx="7">
                  <c:v>16</c:v>
                </c:pt>
                <c:pt idx="8">
                  <c:v>13</c:v>
                </c:pt>
                <c:pt idx="9">
                  <c:v>12</c:v>
                </c:pt>
                <c:pt idx="10">
                  <c:v>11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8</c:v>
                </c:pt>
                <c:pt idx="15">
                  <c:v>6</c:v>
                </c:pt>
                <c:pt idx="16">
                  <c:v>5</c:v>
                </c:pt>
                <c:pt idx="17">
                  <c:v>5</c:v>
                </c:pt>
                <c:pt idx="18">
                  <c:v>4</c:v>
                </c:pt>
                <c:pt idx="19">
                  <c:v>4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Hoja1!$B$1:$B$0</c15:sqref>
                        </c15:formulaRef>
                      </c:ext>
                    </c:extLst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DE1-41FF-A3EE-E6132E7F8F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28376704"/>
        <c:axId val="1928376288"/>
        <c:axId val="0"/>
      </c:bar3DChart>
      <c:catAx>
        <c:axId val="192837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j-lt"/>
                <a:ea typeface="+mn-ea"/>
                <a:cs typeface="+mn-cs"/>
              </a:defRPr>
            </a:pPr>
            <a:endParaRPr lang="en-MX"/>
          </a:p>
        </c:txPr>
        <c:crossAx val="1928376288"/>
        <c:crosses val="autoZero"/>
        <c:auto val="1"/>
        <c:lblAlgn val="ctr"/>
        <c:lblOffset val="100"/>
        <c:noMultiLvlLbl val="0"/>
      </c:catAx>
      <c:valAx>
        <c:axId val="1928376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2837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presidente</dc:creator>
  <cp:keywords/>
  <dc:description/>
  <cp:lastModifiedBy>Ramirez, Diana (MEX-MEW)</cp:lastModifiedBy>
  <cp:revision>3</cp:revision>
  <cp:lastPrinted>2023-02-17T17:23:00Z</cp:lastPrinted>
  <dcterms:created xsi:type="dcterms:W3CDTF">2023-03-05T00:56:00Z</dcterms:created>
  <dcterms:modified xsi:type="dcterms:W3CDTF">2023-06-09T06:28:00Z</dcterms:modified>
</cp:coreProperties>
</file>