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F316" w14:textId="77777777" w:rsidR="00534E38" w:rsidRDefault="009F6BAD" w:rsidP="00534E38">
      <w:pPr>
        <w:pStyle w:val="Standard"/>
        <w:spacing w:line="276" w:lineRule="auto"/>
        <w:jc w:val="center"/>
        <w:rPr>
          <w:rFonts w:ascii="Calibri" w:hAnsi="Calibri" w:cstheme="minorHAnsi"/>
          <w:b/>
          <w:bCs/>
          <w:color w:val="000000"/>
          <w:sz w:val="22"/>
          <w:szCs w:val="22"/>
        </w:rPr>
      </w:pPr>
      <w:r>
        <w:rPr>
          <w:rFonts w:ascii="Calibri" w:hAnsi="Calibri" w:cstheme="minorHAnsi"/>
          <w:b/>
          <w:bCs/>
          <w:color w:val="000000"/>
          <w:sz w:val="22"/>
          <w:szCs w:val="22"/>
        </w:rPr>
        <w:t xml:space="preserve">La retroalimentación entre el Comité de Relaciones Interinstitucionales del </w:t>
      </w:r>
      <w:r w:rsidR="00831D0E">
        <w:rPr>
          <w:rFonts w:ascii="Calibri" w:hAnsi="Calibri" w:cstheme="minorHAnsi"/>
          <w:b/>
          <w:bCs/>
          <w:color w:val="000000"/>
          <w:sz w:val="22"/>
          <w:szCs w:val="22"/>
        </w:rPr>
        <w:t>Consejo Mexicano de Ginecología y Obstetricia</w:t>
      </w:r>
      <w:r>
        <w:rPr>
          <w:rFonts w:ascii="Calibri" w:hAnsi="Calibri" w:cstheme="minorHAnsi"/>
          <w:b/>
          <w:bCs/>
          <w:color w:val="000000"/>
          <w:sz w:val="22"/>
          <w:szCs w:val="22"/>
        </w:rPr>
        <w:t xml:space="preserve"> y los Centros Formadores</w:t>
      </w:r>
      <w:r w:rsidR="00534E38">
        <w:rPr>
          <w:rFonts w:ascii="Calibri" w:hAnsi="Calibri" w:cstheme="minorHAnsi"/>
          <w:b/>
          <w:bCs/>
          <w:color w:val="000000"/>
          <w:sz w:val="22"/>
          <w:szCs w:val="22"/>
        </w:rPr>
        <w:t>:</w:t>
      </w:r>
    </w:p>
    <w:p w14:paraId="21A551EF" w14:textId="52E90F0A" w:rsidR="00700442" w:rsidRDefault="009F6BAD" w:rsidP="00745E73">
      <w:pPr>
        <w:pStyle w:val="Standard"/>
        <w:spacing w:line="276" w:lineRule="auto"/>
        <w:jc w:val="center"/>
        <w:rPr>
          <w:rFonts w:asciiTheme="minorHAnsi" w:hAnsiTheme="minorHAnsi" w:cstheme="minorHAnsi"/>
          <w:b/>
          <w:bCs/>
          <w:color w:val="000000"/>
          <w:sz w:val="22"/>
          <w:szCs w:val="22"/>
        </w:rPr>
      </w:pPr>
      <w:r>
        <w:rPr>
          <w:rFonts w:ascii="Calibri" w:hAnsi="Calibri" w:cstheme="minorHAnsi"/>
          <w:b/>
          <w:bCs/>
          <w:color w:val="000000"/>
          <w:sz w:val="22"/>
          <w:szCs w:val="22"/>
        </w:rPr>
        <w:t>una oportunidad de mejora de la calidad formativa a los residentes</w:t>
      </w:r>
    </w:p>
    <w:p w14:paraId="5E45024F" w14:textId="396F5D06" w:rsidR="00700442" w:rsidRDefault="00700442">
      <w:pPr>
        <w:pStyle w:val="Standard"/>
        <w:spacing w:line="276" w:lineRule="auto"/>
        <w:rPr>
          <w:rFonts w:asciiTheme="minorHAnsi" w:hAnsiTheme="minorHAnsi" w:cstheme="minorHAnsi"/>
          <w:b/>
          <w:bCs/>
          <w:color w:val="000000"/>
          <w:sz w:val="22"/>
          <w:szCs w:val="22"/>
        </w:rPr>
      </w:pPr>
    </w:p>
    <w:p w14:paraId="0C2DCDA7" w14:textId="77777777" w:rsidR="00534E38" w:rsidRPr="00164020" w:rsidRDefault="00534E38" w:rsidP="00534E38">
      <w:pPr>
        <w:jc w:val="right"/>
        <w:rPr>
          <w:rFonts w:asciiTheme="minorHAnsi" w:hAnsiTheme="minorHAnsi" w:cstheme="minorHAnsi"/>
          <w:b/>
          <w:bCs/>
          <w:sz w:val="22"/>
          <w:szCs w:val="22"/>
          <w:lang w:val="es-AR"/>
        </w:rPr>
      </w:pPr>
      <w:r w:rsidRPr="00164020">
        <w:rPr>
          <w:rFonts w:asciiTheme="minorHAnsi" w:hAnsiTheme="minorHAnsi" w:cstheme="minorHAnsi"/>
          <w:b/>
          <w:bCs/>
          <w:sz w:val="22"/>
          <w:szCs w:val="22"/>
          <w:lang w:val="es-AR"/>
        </w:rPr>
        <w:t>Dra. Paola Iturralde Rosas Priego</w:t>
      </w:r>
    </w:p>
    <w:p w14:paraId="54372CC6" w14:textId="77777777" w:rsidR="00534E38" w:rsidRDefault="00534E38" w:rsidP="00534E38">
      <w:pPr>
        <w:jc w:val="right"/>
        <w:rPr>
          <w:rFonts w:asciiTheme="minorHAnsi" w:hAnsiTheme="minorHAnsi" w:cstheme="minorHAnsi"/>
          <w:sz w:val="22"/>
          <w:szCs w:val="22"/>
          <w:lang w:val="es-AR"/>
        </w:rPr>
      </w:pPr>
      <w:r>
        <w:rPr>
          <w:rFonts w:asciiTheme="minorHAnsi" w:hAnsiTheme="minorHAnsi" w:cstheme="minorHAnsi"/>
          <w:sz w:val="22"/>
          <w:szCs w:val="22"/>
          <w:lang w:val="es-AR"/>
        </w:rPr>
        <w:t>Coordinadora del Comité de Relaciones Interinstitucionales</w:t>
      </w:r>
    </w:p>
    <w:p w14:paraId="00508A26" w14:textId="77777777" w:rsidR="00534E38" w:rsidRDefault="00534E38">
      <w:pPr>
        <w:pStyle w:val="Standard"/>
        <w:spacing w:line="276" w:lineRule="auto"/>
        <w:rPr>
          <w:rFonts w:asciiTheme="minorHAnsi" w:hAnsiTheme="minorHAnsi" w:cstheme="minorHAnsi"/>
          <w:b/>
          <w:bCs/>
          <w:color w:val="000000"/>
          <w:sz w:val="22"/>
          <w:szCs w:val="22"/>
        </w:rPr>
      </w:pPr>
    </w:p>
    <w:p w14:paraId="18766B4A" w14:textId="5F87362D" w:rsidR="00700442" w:rsidRDefault="009F6BAD">
      <w:pPr>
        <w:pStyle w:val="Standard"/>
        <w:jc w:val="both"/>
        <w:rPr>
          <w:rFonts w:hint="eastAsia"/>
        </w:rPr>
      </w:pPr>
      <w:r>
        <w:rPr>
          <w:rFonts w:asciiTheme="minorHAnsi" w:hAnsiTheme="minorHAnsi" w:cstheme="minorHAnsi"/>
          <w:bCs/>
          <w:color w:val="000000"/>
          <w:sz w:val="22"/>
          <w:szCs w:val="22"/>
        </w:rPr>
        <w:t xml:space="preserve">La creación del Comité de Relaciones Interinstitucionales del Consejo Mexicano de Ginecología y Obstetricia, A.C. responde a la solicitud efectuada por el CONACEM </w:t>
      </w:r>
      <w:r w:rsidR="00A17511">
        <w:rPr>
          <w:rFonts w:asciiTheme="minorHAnsi" w:hAnsiTheme="minorHAnsi" w:cstheme="minorHAnsi"/>
          <w:bCs/>
          <w:color w:val="000000"/>
          <w:sz w:val="22"/>
          <w:szCs w:val="22"/>
        </w:rPr>
        <w:t xml:space="preserve">tanto </w:t>
      </w:r>
      <w:r>
        <w:rPr>
          <w:rFonts w:asciiTheme="minorHAnsi" w:hAnsiTheme="minorHAnsi" w:cstheme="minorHAnsi"/>
          <w:bCs/>
          <w:color w:val="000000"/>
          <w:sz w:val="22"/>
          <w:szCs w:val="22"/>
        </w:rPr>
        <w:t xml:space="preserve">de promover y afianzar las relaciones con las unidades médicas receptoras de residentes así como </w:t>
      </w:r>
      <w:r w:rsidR="00A17511">
        <w:rPr>
          <w:rFonts w:asciiTheme="minorHAnsi" w:hAnsiTheme="minorHAnsi" w:cstheme="minorHAnsi"/>
          <w:bCs/>
          <w:color w:val="000000"/>
          <w:sz w:val="22"/>
          <w:szCs w:val="22"/>
        </w:rPr>
        <w:t xml:space="preserve">de </w:t>
      </w:r>
      <w:r>
        <w:rPr>
          <w:rFonts w:asciiTheme="minorHAnsi" w:hAnsiTheme="minorHAnsi" w:cstheme="minorHAnsi"/>
          <w:bCs/>
          <w:color w:val="000000"/>
          <w:sz w:val="22"/>
          <w:szCs w:val="22"/>
        </w:rPr>
        <w:t xml:space="preserve">informarles los resultados obtenidos por dicha población al presentar el examen del </w:t>
      </w:r>
      <w:r w:rsidR="005A3418">
        <w:rPr>
          <w:rFonts w:asciiTheme="minorHAnsi" w:hAnsiTheme="minorHAnsi" w:cstheme="minorHAnsi"/>
          <w:bCs/>
          <w:color w:val="000000"/>
          <w:sz w:val="22"/>
          <w:szCs w:val="22"/>
        </w:rPr>
        <w:t>Consejo Mexicano de Ginecología y Obstetricia</w:t>
      </w:r>
      <w:r>
        <w:rPr>
          <w:rFonts w:asciiTheme="minorHAnsi" w:hAnsiTheme="minorHAnsi" w:cstheme="minorHAnsi"/>
          <w:bCs/>
          <w:color w:val="000000"/>
          <w:sz w:val="22"/>
          <w:szCs w:val="22"/>
        </w:rPr>
        <w:t>, junto con las áreas de oportunidad detectadas una vez analizados los resultados.</w:t>
      </w:r>
    </w:p>
    <w:p w14:paraId="11FEC084" w14:textId="77777777" w:rsidR="00700442" w:rsidRDefault="00700442">
      <w:pPr>
        <w:pStyle w:val="Standard"/>
        <w:spacing w:line="276" w:lineRule="auto"/>
        <w:jc w:val="both"/>
        <w:rPr>
          <w:rFonts w:asciiTheme="minorHAnsi" w:hAnsiTheme="minorHAnsi" w:cstheme="minorHAnsi"/>
          <w:bCs/>
          <w:color w:val="000000"/>
          <w:sz w:val="22"/>
          <w:szCs w:val="22"/>
        </w:rPr>
      </w:pPr>
    </w:p>
    <w:p w14:paraId="752C3821" w14:textId="65B75A00" w:rsidR="00700442" w:rsidRDefault="009F6BAD">
      <w:pPr>
        <w:jc w:val="both"/>
      </w:pPr>
      <w:r>
        <w:rPr>
          <w:rFonts w:asciiTheme="minorHAnsi" w:hAnsiTheme="minorHAnsi" w:cstheme="minorHAnsi"/>
          <w:bCs/>
          <w:color w:val="000000"/>
          <w:sz w:val="22"/>
          <w:szCs w:val="22"/>
        </w:rPr>
        <w:t xml:space="preserve">Basándose </w:t>
      </w:r>
      <w:r w:rsidR="005A3418">
        <w:rPr>
          <w:rFonts w:asciiTheme="minorHAnsi" w:hAnsiTheme="minorHAnsi" w:cstheme="minorHAnsi"/>
          <w:bCs/>
          <w:color w:val="000000"/>
          <w:sz w:val="22"/>
          <w:szCs w:val="22"/>
        </w:rPr>
        <w:t>en</w:t>
      </w:r>
      <w:r>
        <w:rPr>
          <w:rFonts w:asciiTheme="minorHAnsi" w:hAnsiTheme="minorHAnsi" w:cstheme="minorHAnsi"/>
          <w:bCs/>
          <w:color w:val="000000"/>
          <w:sz w:val="22"/>
          <w:szCs w:val="22"/>
        </w:rPr>
        <w:t xml:space="preserve"> que poco más de 50% de los planes académicos de los Centros Formadores de residentes gineco-obstetras están avalados por la UNAM, el Consejo Mexicano de Ginecología y Obstetricia clasificó los reactivos del examen en las mismas áreas y temas que utiliza el </w:t>
      </w:r>
      <w:r>
        <w:rPr>
          <w:rFonts w:asciiTheme="minorHAnsi" w:hAnsiTheme="minorHAnsi" w:cstheme="minorHAnsi"/>
          <w:color w:val="202124"/>
          <w:sz w:val="22"/>
          <w:szCs w:val="22"/>
          <w:shd w:val="clear" w:color="auto" w:fill="FFFFFF"/>
        </w:rPr>
        <w:t xml:space="preserve">Programa Único de Especializaciones Médicas </w:t>
      </w:r>
      <w:r>
        <w:rPr>
          <w:rFonts w:ascii="Arial" w:hAnsi="Arial" w:cs="Arial"/>
          <w:color w:val="202124"/>
          <w:shd w:val="clear" w:color="auto" w:fill="FFFFFF"/>
        </w:rPr>
        <w:t>(</w:t>
      </w:r>
      <w:r>
        <w:rPr>
          <w:rFonts w:asciiTheme="minorHAnsi" w:hAnsiTheme="minorHAnsi" w:cstheme="minorHAnsi"/>
          <w:bCs/>
          <w:color w:val="000000"/>
          <w:sz w:val="22"/>
          <w:szCs w:val="22"/>
        </w:rPr>
        <w:t xml:space="preserve">PUEM); de esta </w:t>
      </w:r>
      <w:r w:rsidR="00A17511">
        <w:rPr>
          <w:rFonts w:asciiTheme="minorHAnsi" w:hAnsiTheme="minorHAnsi" w:cstheme="minorHAnsi"/>
          <w:bCs/>
          <w:color w:val="000000"/>
          <w:sz w:val="22"/>
          <w:szCs w:val="22"/>
        </w:rPr>
        <w:t>manera</w:t>
      </w:r>
      <w:r>
        <w:rPr>
          <w:rFonts w:asciiTheme="minorHAnsi" w:hAnsiTheme="minorHAnsi" w:cstheme="minorHAnsi"/>
          <w:bCs/>
          <w:color w:val="000000"/>
          <w:sz w:val="22"/>
          <w:szCs w:val="22"/>
        </w:rPr>
        <w:t>, se asignó un número de reactivos a cada tema, el cual a su vez compone un porcentaje de participación de cada área en la estructura del examen, distribuidos de la siguiente manera:</w:t>
      </w:r>
    </w:p>
    <w:p w14:paraId="3C724253" w14:textId="77777777" w:rsidR="00700442" w:rsidRDefault="00700442">
      <w:pPr>
        <w:pStyle w:val="Standard"/>
        <w:spacing w:line="276" w:lineRule="auto"/>
        <w:jc w:val="both"/>
        <w:rPr>
          <w:rFonts w:asciiTheme="minorHAnsi" w:hAnsiTheme="minorHAnsi" w:cstheme="minorHAnsi"/>
          <w:bCs/>
          <w:color w:val="000000"/>
          <w:sz w:val="22"/>
          <w:szCs w:val="22"/>
        </w:rPr>
      </w:pPr>
    </w:p>
    <w:p w14:paraId="410A4B92" w14:textId="391935E5" w:rsidR="00700442" w:rsidRDefault="009F6BAD">
      <w:pPr>
        <w:pStyle w:val="Standard"/>
        <w:spacing w:line="276" w:lineRule="auto"/>
        <w:jc w:val="both"/>
        <w:rPr>
          <w:rFonts w:asciiTheme="minorHAnsi" w:hAnsiTheme="minorHAnsi" w:cstheme="minorHAnsi"/>
          <w:bCs/>
          <w:color w:val="000000"/>
          <w:sz w:val="22"/>
          <w:szCs w:val="22"/>
        </w:rPr>
      </w:pPr>
      <w:r>
        <w:rPr>
          <w:rFonts w:ascii="Calibri" w:hAnsi="Calibri" w:cstheme="minorHAnsi"/>
          <w:bCs/>
          <w:i/>
          <w:iCs/>
          <w:color w:val="000000"/>
          <w:sz w:val="22"/>
          <w:szCs w:val="22"/>
        </w:rPr>
        <w:t>Distribución de áreas en el contenido del examen de Ginecología y Obstetricia</w:t>
      </w:r>
    </w:p>
    <w:p w14:paraId="3ABCE25D" w14:textId="173577B9" w:rsidR="00700442" w:rsidRDefault="009F6BAD" w:rsidP="00745E73">
      <w:pPr>
        <w:pStyle w:val="Standard"/>
        <w:spacing w:line="276" w:lineRule="auto"/>
        <w:rPr>
          <w:rFonts w:asciiTheme="minorHAnsi" w:hAnsiTheme="minorHAnsi" w:cstheme="minorHAnsi"/>
          <w:bCs/>
          <w:color w:val="000000"/>
          <w:sz w:val="11"/>
          <w:szCs w:val="11"/>
        </w:rPr>
      </w:pPr>
      <w:r>
        <w:rPr>
          <w:noProof/>
        </w:rPr>
        <w:drawing>
          <wp:inline distT="0" distB="0" distL="0" distR="0" wp14:anchorId="0C62F1BE" wp14:editId="26F112C5">
            <wp:extent cx="4594498" cy="2707200"/>
            <wp:effectExtent l="0" t="0" r="317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4"/>
                    <a:stretch>
                      <a:fillRect/>
                    </a:stretch>
                  </pic:blipFill>
                  <pic:spPr bwMode="auto">
                    <a:xfrm>
                      <a:off x="0" y="0"/>
                      <a:ext cx="4594498" cy="2707200"/>
                    </a:xfrm>
                    <a:prstGeom prst="rect">
                      <a:avLst/>
                    </a:prstGeom>
                  </pic:spPr>
                </pic:pic>
              </a:graphicData>
            </a:graphic>
          </wp:inline>
        </w:drawing>
      </w:r>
    </w:p>
    <w:p w14:paraId="7B44DDED" w14:textId="77777777" w:rsidR="00700442" w:rsidRDefault="009F6BAD">
      <w:pPr>
        <w:pStyle w:val="Standard"/>
        <w:spacing w:line="276" w:lineRule="auto"/>
        <w:jc w:val="both"/>
        <w:rPr>
          <w:rFonts w:hint="eastAsia"/>
          <w:sz w:val="18"/>
          <w:szCs w:val="18"/>
        </w:rPr>
      </w:pPr>
      <w:r>
        <w:rPr>
          <w:rFonts w:asciiTheme="minorHAnsi" w:hAnsiTheme="minorHAnsi" w:cstheme="minorHAnsi"/>
          <w:bCs/>
          <w:i/>
          <w:iCs/>
          <w:color w:val="000000"/>
          <w:sz w:val="18"/>
          <w:szCs w:val="18"/>
        </w:rPr>
        <w:t xml:space="preserve">Fuente: CMGO 2022 </w:t>
      </w:r>
    </w:p>
    <w:p w14:paraId="1C02CCA1" w14:textId="77777777" w:rsidR="00700442" w:rsidRDefault="00700442">
      <w:pPr>
        <w:pStyle w:val="Standard"/>
        <w:spacing w:line="276" w:lineRule="auto"/>
        <w:jc w:val="center"/>
        <w:rPr>
          <w:rFonts w:asciiTheme="minorHAnsi" w:hAnsiTheme="minorHAnsi" w:cstheme="minorHAnsi"/>
          <w:bCs/>
          <w:color w:val="000000"/>
          <w:sz w:val="22"/>
          <w:szCs w:val="22"/>
        </w:rPr>
      </w:pPr>
    </w:p>
    <w:p w14:paraId="32989E0F" w14:textId="51BD492D" w:rsidR="00700442" w:rsidRDefault="009F6BAD">
      <w:pPr>
        <w:pStyle w:val="Standard"/>
        <w:jc w:val="both"/>
        <w:rPr>
          <w:rFonts w:hint="eastAsia"/>
        </w:rPr>
      </w:pPr>
      <w:r>
        <w:rPr>
          <w:rFonts w:asciiTheme="minorHAnsi" w:hAnsiTheme="minorHAnsi" w:cstheme="minorHAnsi"/>
          <w:bCs/>
          <w:color w:val="000000"/>
          <w:sz w:val="22"/>
          <w:szCs w:val="22"/>
        </w:rPr>
        <w:t>Una vez finalizado el examen, el especialista recibe, además del resultado, un resumen con las áreas de oportunidad de mejora detectadas. La información de los resultados de todos los exámenes se clasific</w:t>
      </w:r>
      <w:r w:rsidR="005A3418">
        <w:rPr>
          <w:rFonts w:asciiTheme="minorHAnsi" w:hAnsiTheme="minorHAnsi" w:cstheme="minorHAnsi"/>
          <w:bCs/>
          <w:color w:val="000000"/>
          <w:sz w:val="22"/>
          <w:szCs w:val="22"/>
        </w:rPr>
        <w:t>a</w:t>
      </w:r>
      <w:r>
        <w:rPr>
          <w:rFonts w:asciiTheme="minorHAnsi" w:hAnsiTheme="minorHAnsi" w:cstheme="minorHAnsi"/>
          <w:bCs/>
          <w:color w:val="000000"/>
          <w:sz w:val="22"/>
          <w:szCs w:val="22"/>
        </w:rPr>
        <w:t xml:space="preserve"> por institución hospitalaria y plan académico y, al final de cada ciclo </w:t>
      </w:r>
      <w:r w:rsidR="00A17511">
        <w:rPr>
          <w:rFonts w:asciiTheme="minorHAnsi" w:hAnsiTheme="minorHAnsi" w:cstheme="minorHAnsi"/>
          <w:bCs/>
          <w:color w:val="000000"/>
          <w:sz w:val="22"/>
          <w:szCs w:val="22"/>
        </w:rPr>
        <w:t>(</w:t>
      </w:r>
      <w:r>
        <w:rPr>
          <w:rFonts w:asciiTheme="minorHAnsi" w:hAnsiTheme="minorHAnsi" w:cstheme="minorHAnsi"/>
          <w:bCs/>
          <w:color w:val="000000"/>
          <w:sz w:val="22"/>
          <w:szCs w:val="22"/>
        </w:rPr>
        <w:t>de julio a junio del siguiente año</w:t>
      </w:r>
      <w:r w:rsidR="00A17511">
        <w:rPr>
          <w:rFonts w:asciiTheme="minorHAnsi" w:hAnsiTheme="minorHAnsi" w:cstheme="minorHAnsi"/>
          <w:bCs/>
          <w:color w:val="000000"/>
          <w:sz w:val="22"/>
          <w:szCs w:val="22"/>
        </w:rPr>
        <w:t>)</w:t>
      </w:r>
      <w:r>
        <w:rPr>
          <w:rFonts w:asciiTheme="minorHAnsi" w:hAnsiTheme="minorHAnsi" w:cstheme="minorHAnsi"/>
          <w:bCs/>
          <w:color w:val="000000"/>
          <w:sz w:val="22"/>
          <w:szCs w:val="22"/>
        </w:rPr>
        <w:t xml:space="preserve"> se recopilan y agrupan los datos en siete categorías, a fin de facilitar la presentación de lo acontecido a: </w:t>
      </w:r>
      <w:r w:rsidR="00A17511">
        <w:rPr>
          <w:rFonts w:asciiTheme="minorHAnsi" w:hAnsiTheme="minorHAnsi" w:cstheme="minorHAnsi"/>
          <w:bCs/>
          <w:color w:val="000000"/>
          <w:sz w:val="22"/>
          <w:szCs w:val="22"/>
        </w:rPr>
        <w:t>h</w:t>
      </w:r>
      <w:r>
        <w:rPr>
          <w:rFonts w:asciiTheme="minorHAnsi" w:hAnsiTheme="minorHAnsi" w:cstheme="minorHAnsi"/>
          <w:bCs/>
          <w:color w:val="000000"/>
          <w:sz w:val="22"/>
          <w:szCs w:val="22"/>
        </w:rPr>
        <w:t xml:space="preserve">ospitales </w:t>
      </w:r>
      <w:r w:rsidR="00A17511">
        <w:rPr>
          <w:rFonts w:asciiTheme="minorHAnsi" w:hAnsiTheme="minorHAnsi" w:cstheme="minorHAnsi"/>
          <w:bCs/>
          <w:color w:val="000000"/>
          <w:sz w:val="22"/>
          <w:szCs w:val="22"/>
        </w:rPr>
        <w:t>p</w:t>
      </w:r>
      <w:r>
        <w:rPr>
          <w:rFonts w:asciiTheme="minorHAnsi" w:hAnsiTheme="minorHAnsi" w:cstheme="minorHAnsi"/>
          <w:bCs/>
          <w:color w:val="000000"/>
          <w:sz w:val="22"/>
          <w:szCs w:val="22"/>
        </w:rPr>
        <w:t xml:space="preserve">rivados, IMSS, ISSSTE, ISSEMYM, </w:t>
      </w:r>
      <w:r w:rsidR="00A17511">
        <w:rPr>
          <w:rFonts w:asciiTheme="minorHAnsi" w:hAnsiTheme="minorHAnsi" w:cstheme="minorHAnsi"/>
          <w:bCs/>
          <w:color w:val="000000"/>
          <w:sz w:val="22"/>
          <w:szCs w:val="22"/>
        </w:rPr>
        <w:t>h</w:t>
      </w:r>
      <w:r>
        <w:rPr>
          <w:rFonts w:asciiTheme="minorHAnsi" w:hAnsiTheme="minorHAnsi" w:cstheme="minorHAnsi"/>
          <w:bCs/>
          <w:color w:val="000000"/>
          <w:sz w:val="22"/>
          <w:szCs w:val="22"/>
        </w:rPr>
        <w:t xml:space="preserve">ospitales de PEMEX, la Secretaría de Salud, la Secretaría de la Defensa, </w:t>
      </w:r>
      <w:r w:rsidR="00A17511">
        <w:rPr>
          <w:rFonts w:asciiTheme="minorHAnsi" w:hAnsiTheme="minorHAnsi" w:cstheme="minorHAnsi"/>
          <w:bCs/>
          <w:color w:val="000000"/>
          <w:sz w:val="22"/>
          <w:szCs w:val="22"/>
        </w:rPr>
        <w:t>h</w:t>
      </w:r>
      <w:r>
        <w:rPr>
          <w:rFonts w:asciiTheme="minorHAnsi" w:hAnsiTheme="minorHAnsi" w:cstheme="minorHAnsi"/>
          <w:bCs/>
          <w:color w:val="000000"/>
          <w:sz w:val="22"/>
          <w:szCs w:val="22"/>
        </w:rPr>
        <w:t xml:space="preserve">ospitales </w:t>
      </w:r>
      <w:r w:rsidR="00A17511">
        <w:rPr>
          <w:rFonts w:asciiTheme="minorHAnsi" w:hAnsiTheme="minorHAnsi" w:cstheme="minorHAnsi"/>
          <w:bCs/>
          <w:color w:val="000000"/>
          <w:sz w:val="22"/>
          <w:szCs w:val="22"/>
        </w:rPr>
        <w:t>u</w:t>
      </w:r>
      <w:r>
        <w:rPr>
          <w:rFonts w:asciiTheme="minorHAnsi" w:hAnsiTheme="minorHAnsi" w:cstheme="minorHAnsi"/>
          <w:bCs/>
          <w:color w:val="000000"/>
          <w:sz w:val="22"/>
          <w:szCs w:val="22"/>
        </w:rPr>
        <w:t>niversitarios y la Secretaría de Marina.</w:t>
      </w:r>
    </w:p>
    <w:p w14:paraId="23F46810" w14:textId="77777777" w:rsidR="00700442" w:rsidRDefault="00700442">
      <w:pPr>
        <w:pStyle w:val="Standard"/>
        <w:jc w:val="both"/>
        <w:rPr>
          <w:rFonts w:asciiTheme="minorHAnsi" w:hAnsiTheme="minorHAnsi" w:cstheme="minorHAnsi"/>
          <w:bCs/>
          <w:color w:val="000000"/>
          <w:sz w:val="22"/>
          <w:szCs w:val="22"/>
        </w:rPr>
      </w:pPr>
    </w:p>
    <w:p w14:paraId="73B7E5DE" w14:textId="542B4448" w:rsidR="00700442" w:rsidRPr="005A3418" w:rsidRDefault="009F6BAD">
      <w:pPr>
        <w:pStyle w:val="Standard"/>
        <w:jc w:val="both"/>
        <w:rPr>
          <w:rFonts w:hint="eastAsia"/>
        </w:rPr>
      </w:pPr>
      <w:r>
        <w:rPr>
          <w:rFonts w:asciiTheme="minorHAnsi" w:hAnsiTheme="minorHAnsi" w:cstheme="minorHAnsi"/>
          <w:bCs/>
          <w:color w:val="000000"/>
          <w:sz w:val="22"/>
          <w:szCs w:val="22"/>
        </w:rPr>
        <w:t>Desde 2018, el Comité de Relaciones Interinstitucionales ha convocado a los profesores Titulares del Curso de Gineco-</w:t>
      </w:r>
      <w:r w:rsidR="00A17511">
        <w:rPr>
          <w:rFonts w:asciiTheme="minorHAnsi" w:hAnsiTheme="minorHAnsi" w:cstheme="minorHAnsi"/>
          <w:bCs/>
          <w:color w:val="000000"/>
          <w:sz w:val="22"/>
          <w:szCs w:val="22"/>
        </w:rPr>
        <w:t>O</w:t>
      </w:r>
      <w:r>
        <w:rPr>
          <w:rFonts w:asciiTheme="minorHAnsi" w:hAnsiTheme="minorHAnsi" w:cstheme="minorHAnsi"/>
          <w:bCs/>
          <w:color w:val="000000"/>
          <w:sz w:val="22"/>
          <w:szCs w:val="22"/>
        </w:rPr>
        <w:t xml:space="preserve">bstetricia de los Centros Formadores registrados, con el objetivo principal de mostrar los resultados por área y tema. Cabe aclarar que en los años 2018 y 2019, dicha presentación se realizó de manera presencial y para el 2021 y 2022 de manera virtual. El porcentaje de asistencia al evento se ha ido incrementando </w:t>
      </w:r>
      <w:r w:rsidR="00A17511">
        <w:rPr>
          <w:rFonts w:asciiTheme="minorHAnsi" w:hAnsiTheme="minorHAnsi" w:cstheme="minorHAnsi"/>
          <w:bCs/>
          <w:color w:val="000000"/>
          <w:sz w:val="22"/>
          <w:szCs w:val="22"/>
        </w:rPr>
        <w:t xml:space="preserve">poco </w:t>
      </w:r>
      <w:r>
        <w:rPr>
          <w:rFonts w:asciiTheme="minorHAnsi" w:hAnsiTheme="minorHAnsi" w:cstheme="minorHAnsi"/>
          <w:bCs/>
          <w:color w:val="000000"/>
          <w:sz w:val="22"/>
          <w:szCs w:val="22"/>
        </w:rPr>
        <w:t>a poco a través de los años</w:t>
      </w:r>
      <w:r w:rsidR="00A17511">
        <w:rPr>
          <w:rFonts w:asciiTheme="minorHAnsi" w:hAnsiTheme="minorHAnsi" w:cstheme="minorHAnsi"/>
          <w:bCs/>
          <w:color w:val="000000"/>
          <w:sz w:val="22"/>
          <w:szCs w:val="22"/>
        </w:rPr>
        <w:t>,</w:t>
      </w:r>
      <w:r>
        <w:rPr>
          <w:rFonts w:asciiTheme="minorHAnsi" w:hAnsiTheme="minorHAnsi" w:cstheme="minorHAnsi"/>
          <w:bCs/>
          <w:color w:val="000000"/>
          <w:sz w:val="22"/>
          <w:szCs w:val="22"/>
        </w:rPr>
        <w:t xml:space="preserve"> sin embargo, no se ha logrado superar </w:t>
      </w:r>
      <w:r w:rsidR="005A3418">
        <w:rPr>
          <w:rFonts w:asciiTheme="minorHAnsi" w:hAnsiTheme="minorHAnsi" w:cstheme="minorHAnsi"/>
          <w:bCs/>
          <w:color w:val="000000"/>
          <w:sz w:val="22"/>
          <w:szCs w:val="22"/>
        </w:rPr>
        <w:t>una</w:t>
      </w:r>
      <w:r>
        <w:rPr>
          <w:rFonts w:asciiTheme="minorHAnsi" w:hAnsiTheme="minorHAnsi" w:cstheme="minorHAnsi"/>
          <w:bCs/>
          <w:color w:val="000000"/>
          <w:sz w:val="22"/>
          <w:szCs w:val="22"/>
        </w:rPr>
        <w:t xml:space="preserve"> participación </w:t>
      </w:r>
      <w:r w:rsidR="005A3418">
        <w:rPr>
          <w:rFonts w:asciiTheme="minorHAnsi" w:hAnsiTheme="minorHAnsi" w:cstheme="minorHAnsi"/>
          <w:bCs/>
          <w:color w:val="000000"/>
          <w:sz w:val="22"/>
          <w:szCs w:val="22"/>
        </w:rPr>
        <w:t>mayor a</w:t>
      </w:r>
      <w:r>
        <w:rPr>
          <w:rFonts w:asciiTheme="minorHAnsi" w:hAnsiTheme="minorHAnsi" w:cstheme="minorHAnsi"/>
          <w:bCs/>
          <w:color w:val="000000"/>
          <w:sz w:val="22"/>
          <w:szCs w:val="22"/>
        </w:rPr>
        <w:t xml:space="preserve"> 52% de los Centros Formadores convocados. </w:t>
      </w:r>
    </w:p>
    <w:p w14:paraId="70FA6943" w14:textId="77777777" w:rsidR="00700442" w:rsidRDefault="00700442">
      <w:pPr>
        <w:pStyle w:val="Standard"/>
        <w:jc w:val="both"/>
        <w:rPr>
          <w:rFonts w:asciiTheme="minorHAnsi" w:hAnsiTheme="minorHAnsi" w:cstheme="minorHAnsi"/>
          <w:bCs/>
          <w:color w:val="000000"/>
          <w:sz w:val="22"/>
          <w:szCs w:val="22"/>
        </w:rPr>
      </w:pPr>
    </w:p>
    <w:p w14:paraId="51A513AB" w14:textId="2D1C7B30" w:rsidR="00700442" w:rsidRDefault="009F6BAD">
      <w:pPr>
        <w:pStyle w:val="Standard"/>
        <w:jc w:val="both"/>
        <w:rPr>
          <w:rFonts w:hint="eastAsia"/>
        </w:rPr>
      </w:pPr>
      <w:r>
        <w:rPr>
          <w:rFonts w:asciiTheme="minorHAnsi" w:hAnsiTheme="minorHAnsi" w:cstheme="minorHAnsi"/>
          <w:bCs/>
          <w:color w:val="000000"/>
          <w:sz w:val="22"/>
          <w:szCs w:val="22"/>
        </w:rPr>
        <w:lastRenderedPageBreak/>
        <w:t>El 27 de julio de 2022 se efectuó la presentación a 4</w:t>
      </w:r>
      <w:r w:rsidR="005A3418">
        <w:rPr>
          <w:rFonts w:asciiTheme="minorHAnsi" w:hAnsiTheme="minorHAnsi" w:cstheme="minorHAnsi"/>
          <w:bCs/>
          <w:color w:val="000000"/>
          <w:sz w:val="22"/>
          <w:szCs w:val="22"/>
        </w:rPr>
        <w:t>4</w:t>
      </w:r>
      <w:r>
        <w:rPr>
          <w:rFonts w:asciiTheme="minorHAnsi" w:hAnsiTheme="minorHAnsi" w:cstheme="minorHAnsi"/>
          <w:bCs/>
          <w:color w:val="000000"/>
          <w:sz w:val="22"/>
          <w:szCs w:val="22"/>
        </w:rPr>
        <w:t xml:space="preserve"> </w:t>
      </w:r>
      <w:r w:rsidR="00A17511">
        <w:rPr>
          <w:rFonts w:asciiTheme="minorHAnsi" w:hAnsiTheme="minorHAnsi" w:cstheme="minorHAnsi"/>
          <w:bCs/>
          <w:color w:val="000000"/>
          <w:sz w:val="22"/>
          <w:szCs w:val="22"/>
        </w:rPr>
        <w:t>t</w:t>
      </w:r>
      <w:r>
        <w:rPr>
          <w:rFonts w:asciiTheme="minorHAnsi" w:hAnsiTheme="minorHAnsi" w:cstheme="minorHAnsi"/>
          <w:bCs/>
          <w:color w:val="000000"/>
          <w:sz w:val="22"/>
          <w:szCs w:val="22"/>
        </w:rPr>
        <w:t xml:space="preserve">itulares del </w:t>
      </w:r>
      <w:r w:rsidR="00A17511">
        <w:rPr>
          <w:rFonts w:asciiTheme="minorHAnsi" w:hAnsiTheme="minorHAnsi" w:cstheme="minorHAnsi"/>
          <w:bCs/>
          <w:color w:val="000000"/>
          <w:sz w:val="22"/>
          <w:szCs w:val="22"/>
        </w:rPr>
        <w:t>c</w:t>
      </w:r>
      <w:r>
        <w:rPr>
          <w:rFonts w:asciiTheme="minorHAnsi" w:hAnsiTheme="minorHAnsi" w:cstheme="minorHAnsi"/>
          <w:bCs/>
          <w:color w:val="000000"/>
          <w:sz w:val="22"/>
          <w:szCs w:val="22"/>
        </w:rPr>
        <w:t>urso, sumado a una comparación de los resultados obtenidos en 2018 contra los de 2022 por área y tema, con la finalidad de analizar si se había logrado una mejora en cada una de las temáticas por parte de los residentes evaluados.</w:t>
      </w:r>
    </w:p>
    <w:p w14:paraId="44F0695A" w14:textId="77777777" w:rsidR="00700442" w:rsidRDefault="00700442">
      <w:pPr>
        <w:pStyle w:val="Standard"/>
        <w:spacing w:line="276" w:lineRule="auto"/>
        <w:jc w:val="both"/>
        <w:rPr>
          <w:rFonts w:asciiTheme="minorHAnsi" w:hAnsiTheme="minorHAnsi" w:cstheme="minorHAnsi"/>
          <w:bCs/>
          <w:color w:val="000000"/>
          <w:sz w:val="22"/>
          <w:szCs w:val="22"/>
        </w:rPr>
      </w:pPr>
    </w:p>
    <w:p w14:paraId="527E9FC7" w14:textId="1EAF0FB0" w:rsidR="00700442" w:rsidRDefault="009F6BAD" w:rsidP="00745E73">
      <w:pPr>
        <w:pStyle w:val="Standard"/>
        <w:jc w:val="both"/>
        <w:rPr>
          <w:rFonts w:asciiTheme="minorHAnsi" w:hAnsiTheme="minorHAnsi" w:cstheme="minorHAnsi"/>
          <w:bCs/>
          <w:color w:val="000000"/>
          <w:sz w:val="22"/>
          <w:szCs w:val="22"/>
        </w:rPr>
      </w:pPr>
      <w:r>
        <w:rPr>
          <w:rFonts w:ascii="Calibri" w:hAnsi="Calibri" w:cstheme="minorHAnsi"/>
          <w:bCs/>
          <w:i/>
          <w:iCs/>
          <w:color w:val="000000"/>
          <w:sz w:val="22"/>
          <w:szCs w:val="22"/>
        </w:rPr>
        <w:t xml:space="preserve">Ejemplo de lámina de presentación de resultados por tipo de </w:t>
      </w:r>
      <w:r w:rsidRPr="00E46BEC">
        <w:rPr>
          <w:rFonts w:ascii="Calibri" w:hAnsi="Calibri" w:cstheme="minorHAnsi"/>
          <w:bCs/>
          <w:i/>
          <w:iCs/>
          <w:color w:val="000000"/>
          <w:sz w:val="22"/>
          <w:szCs w:val="22"/>
        </w:rPr>
        <w:t>institución</w:t>
      </w:r>
      <w:r w:rsidRPr="00745E73">
        <w:rPr>
          <w:rFonts w:ascii="Calibri" w:hAnsi="Calibri" w:cstheme="minorHAnsi"/>
          <w:bCs/>
          <w:i/>
          <w:iCs/>
          <w:color w:val="000000"/>
          <w:sz w:val="18"/>
          <w:szCs w:val="18"/>
        </w:rPr>
        <w:t xml:space="preserve"> (se ha preservado la identificación de las instituciones)</w:t>
      </w:r>
      <w:r>
        <w:rPr>
          <w:rFonts w:ascii="Calibri" w:hAnsi="Calibri" w:cstheme="minorHAnsi"/>
          <w:bCs/>
          <w:i/>
          <w:iCs/>
          <w:color w:val="000000"/>
          <w:sz w:val="22"/>
          <w:szCs w:val="22"/>
        </w:rPr>
        <w:t>.</w:t>
      </w:r>
    </w:p>
    <w:p w14:paraId="2FB4AADD" w14:textId="3CF995A0" w:rsidR="00700442" w:rsidRDefault="009F6BAD">
      <w:pPr>
        <w:pStyle w:val="Standard"/>
        <w:spacing w:line="276" w:lineRule="auto"/>
        <w:jc w:val="both"/>
        <w:rPr>
          <w:rFonts w:asciiTheme="minorHAnsi" w:hAnsiTheme="minorHAnsi" w:cstheme="minorHAnsi"/>
          <w:bCs/>
          <w:i/>
          <w:iCs/>
          <w:color w:val="000000"/>
          <w:sz w:val="13"/>
          <w:szCs w:val="13"/>
        </w:rPr>
      </w:pPr>
      <w:r>
        <w:rPr>
          <w:noProof/>
        </w:rPr>
        <w:drawing>
          <wp:inline distT="0" distB="0" distL="0" distR="0" wp14:anchorId="2B0DF9FB" wp14:editId="523BD971">
            <wp:extent cx="4794250" cy="265684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pic:cNvPicPr>
                      <a:picLocks noChangeAspect="1" noChangeArrowheads="1"/>
                    </pic:cNvPicPr>
                  </pic:nvPicPr>
                  <pic:blipFill>
                    <a:blip r:embed="rId5"/>
                    <a:stretch>
                      <a:fillRect/>
                    </a:stretch>
                  </pic:blipFill>
                  <pic:spPr bwMode="auto">
                    <a:xfrm>
                      <a:off x="0" y="0"/>
                      <a:ext cx="4794250" cy="2656840"/>
                    </a:xfrm>
                    <a:prstGeom prst="rect">
                      <a:avLst/>
                    </a:prstGeom>
                  </pic:spPr>
                </pic:pic>
              </a:graphicData>
            </a:graphic>
          </wp:inline>
        </w:drawing>
      </w:r>
    </w:p>
    <w:p w14:paraId="410BA645" w14:textId="77777777" w:rsidR="00700442" w:rsidRDefault="009F6BAD">
      <w:pPr>
        <w:pStyle w:val="Standard"/>
        <w:spacing w:line="276" w:lineRule="auto"/>
        <w:jc w:val="both"/>
        <w:rPr>
          <w:rFonts w:hint="eastAsia"/>
          <w:sz w:val="18"/>
          <w:szCs w:val="18"/>
        </w:rPr>
      </w:pPr>
      <w:r>
        <w:rPr>
          <w:rFonts w:asciiTheme="minorHAnsi" w:hAnsiTheme="minorHAnsi" w:cstheme="minorHAnsi"/>
          <w:bCs/>
          <w:i/>
          <w:iCs/>
          <w:color w:val="000000"/>
          <w:sz w:val="18"/>
          <w:szCs w:val="18"/>
        </w:rPr>
        <w:t xml:space="preserve">Fuente: CMGO 2022 </w:t>
      </w:r>
    </w:p>
    <w:p w14:paraId="76F67191" w14:textId="77777777" w:rsidR="00700442" w:rsidRDefault="00700442">
      <w:pPr>
        <w:pStyle w:val="Standard"/>
        <w:spacing w:line="276" w:lineRule="auto"/>
        <w:jc w:val="both"/>
        <w:rPr>
          <w:rFonts w:asciiTheme="minorHAnsi" w:hAnsiTheme="minorHAnsi" w:cstheme="minorHAnsi"/>
          <w:bCs/>
          <w:i/>
          <w:iCs/>
          <w:color w:val="000000"/>
          <w:sz w:val="13"/>
          <w:szCs w:val="13"/>
        </w:rPr>
      </w:pPr>
    </w:p>
    <w:p w14:paraId="676FB2F9" w14:textId="77777777" w:rsidR="00700442" w:rsidRDefault="00700442">
      <w:pPr>
        <w:pStyle w:val="Standard"/>
        <w:spacing w:line="276" w:lineRule="auto"/>
        <w:jc w:val="both"/>
        <w:rPr>
          <w:rFonts w:asciiTheme="minorHAnsi" w:hAnsiTheme="minorHAnsi" w:cstheme="minorHAnsi"/>
          <w:bCs/>
          <w:i/>
          <w:iCs/>
          <w:color w:val="000000"/>
          <w:sz w:val="13"/>
          <w:szCs w:val="13"/>
        </w:rPr>
      </w:pPr>
    </w:p>
    <w:p w14:paraId="4331D87E" w14:textId="3CDF11C0" w:rsidR="00700442" w:rsidRDefault="009F6BAD">
      <w:pPr>
        <w:pStyle w:val="Standard"/>
        <w:jc w:val="both"/>
        <w:rPr>
          <w:rFonts w:hint="eastAsia"/>
        </w:rPr>
      </w:pPr>
      <w:r>
        <w:rPr>
          <w:rFonts w:asciiTheme="minorHAnsi" w:hAnsiTheme="minorHAnsi" w:cstheme="minorHAnsi"/>
          <w:bCs/>
          <w:color w:val="000000"/>
          <w:sz w:val="22"/>
          <w:szCs w:val="22"/>
        </w:rPr>
        <w:t xml:space="preserve">En la última parte de la presentación se </w:t>
      </w:r>
      <w:r w:rsidR="005A3418">
        <w:rPr>
          <w:rFonts w:asciiTheme="minorHAnsi" w:hAnsiTheme="minorHAnsi" w:cstheme="minorHAnsi"/>
          <w:bCs/>
          <w:color w:val="000000"/>
          <w:sz w:val="22"/>
          <w:szCs w:val="22"/>
        </w:rPr>
        <w:t>expuso</w:t>
      </w:r>
      <w:r>
        <w:rPr>
          <w:rFonts w:asciiTheme="minorHAnsi" w:hAnsiTheme="minorHAnsi" w:cstheme="minorHAnsi"/>
          <w:bCs/>
          <w:color w:val="000000"/>
          <w:sz w:val="22"/>
          <w:szCs w:val="22"/>
        </w:rPr>
        <w:t xml:space="preserve"> un resumen de las áreas de oportunidad por institución, como se muestra a continuación:</w:t>
      </w:r>
    </w:p>
    <w:p w14:paraId="6A4B3209" w14:textId="77777777" w:rsidR="00700442" w:rsidRDefault="00700442">
      <w:pPr>
        <w:pStyle w:val="Standard"/>
        <w:spacing w:line="276" w:lineRule="auto"/>
        <w:jc w:val="both"/>
        <w:rPr>
          <w:rFonts w:asciiTheme="minorHAnsi" w:hAnsiTheme="minorHAnsi" w:cstheme="minorHAnsi"/>
          <w:bCs/>
          <w:i/>
          <w:iCs/>
          <w:color w:val="000000"/>
          <w:sz w:val="13"/>
          <w:szCs w:val="13"/>
        </w:rPr>
      </w:pPr>
    </w:p>
    <w:p w14:paraId="4B1C5168" w14:textId="56F144D5" w:rsidR="00700442" w:rsidRDefault="009F6BAD">
      <w:pPr>
        <w:pStyle w:val="Standard"/>
        <w:spacing w:line="276" w:lineRule="auto"/>
        <w:jc w:val="both"/>
        <w:rPr>
          <w:rFonts w:asciiTheme="minorHAnsi" w:hAnsiTheme="minorHAnsi" w:cstheme="minorHAnsi"/>
          <w:bCs/>
          <w:i/>
          <w:iCs/>
          <w:color w:val="000000"/>
          <w:sz w:val="13"/>
          <w:szCs w:val="13"/>
        </w:rPr>
      </w:pPr>
      <w:r>
        <w:rPr>
          <w:rFonts w:asciiTheme="minorHAnsi" w:hAnsiTheme="minorHAnsi" w:cstheme="minorHAnsi"/>
          <w:bCs/>
          <w:i/>
          <w:iCs/>
          <w:color w:val="000000"/>
          <w:sz w:val="22"/>
          <w:szCs w:val="22"/>
        </w:rPr>
        <w:t xml:space="preserve">Ejemplo de lámina de resumen de áreas de oportunidad por tipo de institución </w:t>
      </w:r>
      <w:r w:rsidRPr="00745E73">
        <w:rPr>
          <w:rFonts w:asciiTheme="minorHAnsi" w:hAnsiTheme="minorHAnsi" w:cstheme="minorHAnsi"/>
          <w:bCs/>
          <w:i/>
          <w:iCs/>
          <w:color w:val="000000"/>
          <w:sz w:val="18"/>
          <w:szCs w:val="18"/>
        </w:rPr>
        <w:t>(se ha preservado la identificación de las instituciones)</w:t>
      </w:r>
      <w:r>
        <w:rPr>
          <w:rFonts w:asciiTheme="minorHAnsi" w:hAnsiTheme="minorHAnsi" w:cstheme="minorHAnsi"/>
          <w:bCs/>
          <w:i/>
          <w:iCs/>
          <w:color w:val="000000"/>
          <w:sz w:val="22"/>
          <w:szCs w:val="22"/>
        </w:rPr>
        <w:t>.</w:t>
      </w:r>
    </w:p>
    <w:p w14:paraId="00348C52" w14:textId="00EA7926" w:rsidR="00700442" w:rsidRDefault="009F6BAD">
      <w:pPr>
        <w:pStyle w:val="Standard"/>
        <w:spacing w:line="276" w:lineRule="auto"/>
        <w:jc w:val="both"/>
        <w:rPr>
          <w:rFonts w:asciiTheme="minorHAnsi" w:hAnsiTheme="minorHAnsi" w:cstheme="minorHAnsi"/>
          <w:bCs/>
          <w:i/>
          <w:iCs/>
          <w:color w:val="000000"/>
          <w:sz w:val="13"/>
          <w:szCs w:val="13"/>
        </w:rPr>
      </w:pPr>
      <w:r>
        <w:rPr>
          <w:noProof/>
        </w:rPr>
        <w:drawing>
          <wp:inline distT="0" distB="0" distL="0" distR="0" wp14:anchorId="5D1193EC" wp14:editId="0664B6B4">
            <wp:extent cx="4787900" cy="2672080"/>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6"/>
                    <a:stretch>
                      <a:fillRect/>
                    </a:stretch>
                  </pic:blipFill>
                  <pic:spPr bwMode="auto">
                    <a:xfrm>
                      <a:off x="0" y="0"/>
                      <a:ext cx="4787900" cy="2672080"/>
                    </a:xfrm>
                    <a:prstGeom prst="rect">
                      <a:avLst/>
                    </a:prstGeom>
                  </pic:spPr>
                </pic:pic>
              </a:graphicData>
            </a:graphic>
          </wp:inline>
        </w:drawing>
      </w:r>
    </w:p>
    <w:p w14:paraId="7AF7DF55" w14:textId="77777777" w:rsidR="00700442" w:rsidRDefault="009F6BAD">
      <w:pPr>
        <w:pStyle w:val="Standard"/>
        <w:spacing w:line="276" w:lineRule="auto"/>
        <w:jc w:val="both"/>
        <w:rPr>
          <w:rFonts w:hint="eastAsia"/>
          <w:sz w:val="18"/>
          <w:szCs w:val="18"/>
        </w:rPr>
      </w:pPr>
      <w:r>
        <w:rPr>
          <w:rFonts w:asciiTheme="minorHAnsi" w:hAnsiTheme="minorHAnsi" w:cstheme="minorHAnsi"/>
          <w:bCs/>
          <w:i/>
          <w:iCs/>
          <w:color w:val="000000"/>
          <w:sz w:val="18"/>
          <w:szCs w:val="18"/>
        </w:rPr>
        <w:t xml:space="preserve">Fuente: CMGO 2022 </w:t>
      </w:r>
    </w:p>
    <w:p w14:paraId="123FACE7" w14:textId="77777777" w:rsidR="00700442" w:rsidRDefault="00700442">
      <w:pPr>
        <w:pStyle w:val="Standard"/>
        <w:spacing w:line="276" w:lineRule="auto"/>
        <w:jc w:val="both"/>
        <w:rPr>
          <w:rFonts w:asciiTheme="minorHAnsi" w:hAnsiTheme="minorHAnsi" w:cstheme="minorHAnsi"/>
          <w:bCs/>
          <w:color w:val="000000"/>
          <w:sz w:val="22"/>
          <w:szCs w:val="22"/>
        </w:rPr>
      </w:pPr>
    </w:p>
    <w:p w14:paraId="2FD8E6DF" w14:textId="3E364B25" w:rsidR="00700442" w:rsidRDefault="009F6BAD">
      <w:pPr>
        <w:pStyle w:val="Standard"/>
        <w:jc w:val="both"/>
        <w:rPr>
          <w:rFonts w:hint="eastAsia"/>
        </w:rPr>
      </w:pPr>
      <w:r>
        <w:rPr>
          <w:rFonts w:asciiTheme="minorHAnsi" w:hAnsiTheme="minorHAnsi" w:cstheme="minorHAnsi"/>
          <w:bCs/>
          <w:color w:val="000000"/>
          <w:sz w:val="22"/>
          <w:szCs w:val="22"/>
        </w:rPr>
        <w:t xml:space="preserve">Al término de la reunión, se envió a cada institución una presentación con los resultados obtenidos de forma individual, con el propósito de que cada </w:t>
      </w:r>
      <w:r w:rsidR="00E46BEC">
        <w:rPr>
          <w:rFonts w:asciiTheme="minorHAnsi" w:hAnsiTheme="minorHAnsi" w:cstheme="minorHAnsi"/>
          <w:bCs/>
          <w:color w:val="000000"/>
          <w:sz w:val="22"/>
          <w:szCs w:val="22"/>
        </w:rPr>
        <w:t>t</w:t>
      </w:r>
      <w:r>
        <w:rPr>
          <w:rFonts w:asciiTheme="minorHAnsi" w:hAnsiTheme="minorHAnsi" w:cstheme="minorHAnsi"/>
          <w:bCs/>
          <w:color w:val="000000"/>
          <w:sz w:val="22"/>
          <w:szCs w:val="22"/>
        </w:rPr>
        <w:t>itular de curso conociera las áreas de oportunidad de los residentes egresados y comunicara esta información a su cuerpo docente para que se pondere la realización de modificaciones al plan académico.</w:t>
      </w:r>
    </w:p>
    <w:p w14:paraId="2F1DC165" w14:textId="4E69C85B" w:rsidR="00700442" w:rsidRDefault="00700442">
      <w:pPr>
        <w:spacing w:line="276" w:lineRule="auto"/>
        <w:rPr>
          <w:rFonts w:asciiTheme="minorHAnsi" w:hAnsiTheme="minorHAnsi" w:cstheme="minorHAnsi"/>
          <w:lang w:val="es-AR"/>
        </w:rPr>
      </w:pPr>
    </w:p>
    <w:p w14:paraId="4B3821D3" w14:textId="77777777" w:rsidR="00E46BEC" w:rsidRDefault="00E46BEC">
      <w:pPr>
        <w:spacing w:line="276" w:lineRule="auto"/>
        <w:rPr>
          <w:rFonts w:asciiTheme="minorHAnsi" w:hAnsiTheme="minorHAnsi" w:cstheme="minorHAnsi"/>
          <w:lang w:val="es-AR"/>
        </w:rPr>
      </w:pPr>
    </w:p>
    <w:p w14:paraId="23910501" w14:textId="70E9639F" w:rsidR="00700442" w:rsidRDefault="00E46BEC">
      <w:pPr>
        <w:spacing w:line="276" w:lineRule="auto"/>
        <w:jc w:val="both"/>
        <w:rPr>
          <w:rFonts w:asciiTheme="minorHAnsi" w:hAnsiTheme="minorHAnsi" w:cstheme="minorHAnsi"/>
          <w:b/>
          <w:bCs/>
          <w:sz w:val="22"/>
          <w:szCs w:val="22"/>
          <w:lang w:val="es-AR"/>
        </w:rPr>
      </w:pPr>
      <w:r>
        <w:rPr>
          <w:rFonts w:asciiTheme="minorHAnsi" w:hAnsiTheme="minorHAnsi" w:cstheme="minorHAnsi"/>
          <w:b/>
          <w:bCs/>
          <w:sz w:val="22"/>
          <w:szCs w:val="22"/>
          <w:lang w:val="es-AR"/>
        </w:rPr>
        <w:lastRenderedPageBreak/>
        <w:t>Entrega de información de valor</w:t>
      </w:r>
    </w:p>
    <w:p w14:paraId="0D79AB84" w14:textId="77777777" w:rsidR="00700442" w:rsidRDefault="00700442">
      <w:pPr>
        <w:spacing w:line="276" w:lineRule="auto"/>
        <w:jc w:val="both"/>
        <w:rPr>
          <w:rFonts w:asciiTheme="minorHAnsi" w:hAnsiTheme="minorHAnsi" w:cstheme="minorHAnsi"/>
          <w:sz w:val="22"/>
          <w:szCs w:val="22"/>
          <w:lang w:val="es-AR"/>
        </w:rPr>
      </w:pPr>
    </w:p>
    <w:p w14:paraId="0FB5AA9E" w14:textId="23325437" w:rsidR="00700442" w:rsidRDefault="009F6BAD">
      <w:pPr>
        <w:jc w:val="both"/>
      </w:pPr>
      <w:r>
        <w:rPr>
          <w:rFonts w:asciiTheme="minorHAnsi" w:hAnsiTheme="minorHAnsi" w:cstheme="minorHAnsi"/>
          <w:sz w:val="22"/>
          <w:szCs w:val="22"/>
          <w:lang w:val="es-AR"/>
        </w:rPr>
        <w:t xml:space="preserve">Para el </w:t>
      </w:r>
      <w:r>
        <w:rPr>
          <w:rFonts w:asciiTheme="minorHAnsi" w:hAnsiTheme="minorHAnsi" w:cstheme="minorHAnsi"/>
          <w:bCs/>
          <w:color w:val="000000"/>
          <w:sz w:val="22"/>
          <w:szCs w:val="22"/>
        </w:rPr>
        <w:t>Consejo Mexicano de Ginecología y Obstetricia</w:t>
      </w:r>
      <w:r>
        <w:rPr>
          <w:rFonts w:asciiTheme="minorHAnsi" w:hAnsiTheme="minorHAnsi" w:cstheme="minorHAnsi"/>
          <w:sz w:val="22"/>
          <w:szCs w:val="22"/>
          <w:lang w:val="es-AR"/>
        </w:rPr>
        <w:t xml:space="preserve"> resulta de vital importancia la recopilación y clasificación de los resultados obtenidos por los especialistas que presentan el examen ya que, </w:t>
      </w:r>
      <w:r w:rsidR="00E46BEC">
        <w:rPr>
          <w:rFonts w:asciiTheme="minorHAnsi" w:hAnsiTheme="minorHAnsi" w:cstheme="minorHAnsi"/>
          <w:sz w:val="22"/>
          <w:szCs w:val="22"/>
          <w:lang w:val="es-AR"/>
        </w:rPr>
        <w:t>para</w:t>
      </w:r>
      <w:r>
        <w:rPr>
          <w:rFonts w:asciiTheme="minorHAnsi" w:hAnsiTheme="minorHAnsi" w:cstheme="minorHAnsi"/>
          <w:sz w:val="22"/>
          <w:szCs w:val="22"/>
          <w:lang w:val="es-AR"/>
        </w:rPr>
        <w:t xml:space="preserve"> facilitar información de valor a los Centros Formadores, se ha</w:t>
      </w:r>
      <w:r w:rsidR="005A3418">
        <w:rPr>
          <w:rFonts w:asciiTheme="minorHAnsi" w:hAnsiTheme="minorHAnsi" w:cstheme="minorHAnsi"/>
          <w:sz w:val="22"/>
          <w:szCs w:val="22"/>
          <w:lang w:val="es-AR"/>
        </w:rPr>
        <w:t>n</w:t>
      </w:r>
      <w:r>
        <w:rPr>
          <w:rFonts w:asciiTheme="minorHAnsi" w:hAnsiTheme="minorHAnsi" w:cstheme="minorHAnsi"/>
          <w:sz w:val="22"/>
          <w:szCs w:val="22"/>
          <w:lang w:val="es-AR"/>
        </w:rPr>
        <w:t xml:space="preserve"> podido establecer otro tipo de interacciones, como por ejemplo, clasificar los datos en las siete regiones en las que la FEMECOG </w:t>
      </w:r>
      <w:r w:rsidR="00E46BEC">
        <w:rPr>
          <w:rFonts w:asciiTheme="minorHAnsi" w:hAnsiTheme="minorHAnsi" w:cstheme="minorHAnsi"/>
          <w:sz w:val="22"/>
          <w:szCs w:val="22"/>
          <w:lang w:val="es-AR"/>
        </w:rPr>
        <w:t>(</w:t>
      </w:r>
      <w:r>
        <w:rPr>
          <w:rFonts w:asciiTheme="minorHAnsi" w:hAnsiTheme="minorHAnsi" w:cstheme="minorHAnsi"/>
          <w:sz w:val="22"/>
          <w:szCs w:val="22"/>
          <w:lang w:val="es-AR"/>
        </w:rPr>
        <w:t>Federación Mexicana de Colegios de Obstetricia y Ginecología</w:t>
      </w:r>
      <w:r w:rsidR="00E46BEC">
        <w:rPr>
          <w:rFonts w:asciiTheme="minorHAnsi" w:hAnsiTheme="minorHAnsi" w:cstheme="minorHAnsi"/>
          <w:sz w:val="22"/>
          <w:szCs w:val="22"/>
          <w:lang w:val="es-AR"/>
        </w:rPr>
        <w:t>)</w:t>
      </w:r>
      <w:r>
        <w:rPr>
          <w:rFonts w:asciiTheme="minorHAnsi" w:hAnsiTheme="minorHAnsi" w:cstheme="minorHAnsi"/>
          <w:sz w:val="22"/>
          <w:szCs w:val="22"/>
          <w:lang w:val="es-AR"/>
        </w:rPr>
        <w:t xml:space="preserve"> ha dividido al país, se pudo informar a los Directores Regionales  cuáles fueron las áreas de oportunidad detectadas y, gracias a ello, se logró incorporar al plan académico de los Colegios temas específicos para la actualización de los especialistas a nivel local.</w:t>
      </w:r>
    </w:p>
    <w:p w14:paraId="475F23B3" w14:textId="77777777" w:rsidR="00700442" w:rsidRDefault="00700442">
      <w:pPr>
        <w:spacing w:line="276" w:lineRule="auto"/>
        <w:jc w:val="both"/>
        <w:rPr>
          <w:rFonts w:asciiTheme="minorHAnsi" w:hAnsiTheme="minorHAnsi" w:cstheme="minorHAnsi"/>
          <w:sz w:val="22"/>
          <w:szCs w:val="22"/>
          <w:lang w:val="es-AR"/>
        </w:rPr>
      </w:pPr>
    </w:p>
    <w:p w14:paraId="3E6CDB8C" w14:textId="07A57189" w:rsidR="00700442" w:rsidRDefault="009F6BAD">
      <w:pPr>
        <w:spacing w:line="276" w:lineRule="auto"/>
        <w:jc w:val="both"/>
        <w:rPr>
          <w:rFonts w:asciiTheme="minorHAnsi" w:hAnsiTheme="minorHAnsi" w:cstheme="minorHAnsi"/>
          <w:sz w:val="22"/>
          <w:szCs w:val="22"/>
          <w:lang w:val="es-AR"/>
        </w:rPr>
      </w:pPr>
      <w:r>
        <w:rPr>
          <w:rFonts w:asciiTheme="minorHAnsi" w:hAnsiTheme="minorHAnsi" w:cstheme="minorHAnsi"/>
          <w:bCs/>
          <w:i/>
          <w:iCs/>
          <w:color w:val="000000"/>
          <w:sz w:val="22"/>
          <w:szCs w:val="22"/>
          <w:lang w:val="es-AR"/>
        </w:rPr>
        <w:t>Mapa de México por Regiones FEMECOG con el porcentaje de aprobados en 2022</w:t>
      </w:r>
    </w:p>
    <w:p w14:paraId="40F128A2" w14:textId="71015787" w:rsidR="00700442" w:rsidRDefault="009F6BAD" w:rsidP="00745E73">
      <w:pPr>
        <w:spacing w:line="276" w:lineRule="auto"/>
        <w:jc w:val="both"/>
      </w:pPr>
      <w:r>
        <w:rPr>
          <w:noProof/>
        </w:rPr>
        <w:drawing>
          <wp:inline distT="0" distB="0" distL="0" distR="0" wp14:anchorId="60C1D56E" wp14:editId="0725C617">
            <wp:extent cx="4041775" cy="251079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7"/>
                    <a:stretch>
                      <a:fillRect/>
                    </a:stretch>
                  </pic:blipFill>
                  <pic:spPr bwMode="auto">
                    <a:xfrm>
                      <a:off x="0" y="0"/>
                      <a:ext cx="4041775" cy="2510790"/>
                    </a:xfrm>
                    <a:prstGeom prst="rect">
                      <a:avLst/>
                    </a:prstGeom>
                  </pic:spPr>
                </pic:pic>
              </a:graphicData>
            </a:graphic>
          </wp:inline>
        </w:drawing>
      </w:r>
    </w:p>
    <w:p w14:paraId="7EB09E7F" w14:textId="77777777" w:rsidR="00700442" w:rsidRDefault="009F6BAD">
      <w:pPr>
        <w:pStyle w:val="Standard"/>
        <w:spacing w:line="276" w:lineRule="auto"/>
        <w:jc w:val="both"/>
        <w:rPr>
          <w:rFonts w:hint="eastAsia"/>
          <w:sz w:val="18"/>
          <w:szCs w:val="18"/>
        </w:rPr>
      </w:pPr>
      <w:r>
        <w:rPr>
          <w:rFonts w:asciiTheme="minorHAnsi" w:hAnsiTheme="minorHAnsi" w:cstheme="minorHAnsi"/>
          <w:bCs/>
          <w:i/>
          <w:iCs/>
          <w:color w:val="000000"/>
          <w:sz w:val="18"/>
          <w:szCs w:val="18"/>
        </w:rPr>
        <w:t xml:space="preserve">Fuente: CMGO 2022 </w:t>
      </w:r>
    </w:p>
    <w:p w14:paraId="58BD718F" w14:textId="77777777" w:rsidR="00700442" w:rsidRDefault="00700442">
      <w:pPr>
        <w:spacing w:line="276" w:lineRule="auto"/>
        <w:jc w:val="both"/>
        <w:rPr>
          <w:rFonts w:asciiTheme="minorHAnsi" w:hAnsiTheme="minorHAnsi" w:cstheme="minorHAnsi"/>
          <w:sz w:val="22"/>
          <w:szCs w:val="22"/>
          <w:lang w:val="es-AR"/>
        </w:rPr>
      </w:pPr>
    </w:p>
    <w:p w14:paraId="76BA6BDD" w14:textId="2C00C3A7" w:rsidR="00700442" w:rsidRDefault="005A3418">
      <w:pPr>
        <w:jc w:val="both"/>
        <w:rPr>
          <w:rFonts w:asciiTheme="minorHAnsi" w:hAnsiTheme="minorHAnsi" w:cstheme="minorHAnsi"/>
          <w:sz w:val="22"/>
          <w:szCs w:val="22"/>
          <w:lang w:val="es-AR"/>
        </w:rPr>
      </w:pPr>
      <w:r>
        <w:rPr>
          <w:rFonts w:asciiTheme="minorHAnsi" w:hAnsiTheme="minorHAnsi" w:cstheme="minorHAnsi"/>
          <w:sz w:val="22"/>
          <w:szCs w:val="22"/>
          <w:lang w:val="es-AR"/>
        </w:rPr>
        <w:t xml:space="preserve">Con estas acciones, en el Consejo Mexicano de Ginecología y Obstetricia, </w:t>
      </w:r>
      <w:r w:rsidR="009F6BAD">
        <w:rPr>
          <w:rFonts w:asciiTheme="minorHAnsi" w:hAnsiTheme="minorHAnsi" w:cstheme="minorHAnsi"/>
          <w:sz w:val="22"/>
          <w:szCs w:val="22"/>
          <w:lang w:val="es-AR"/>
        </w:rPr>
        <w:t>se cumple</w:t>
      </w:r>
      <w:r>
        <w:rPr>
          <w:rFonts w:asciiTheme="minorHAnsi" w:hAnsiTheme="minorHAnsi" w:cstheme="minorHAnsi"/>
          <w:sz w:val="22"/>
          <w:szCs w:val="22"/>
          <w:lang w:val="es-AR"/>
        </w:rPr>
        <w:t xml:space="preserve"> con el compromiso que declara nuestra Política de Calidad, en la que, mediante la interacción, retroalimentación y fomento de la mejora conjunta, se busca impactar positivamente en el reconocimiento de las competencias de los especialistas en Ginecología y Obstetricia, y en el desarrollo y fortalecimiento de las mismas por parte de los Centros Formadores y las Agrupaciones Médicas, lo que resultará en el incremento del nivel de calidad de la atención y confianza de la mujer mexicana.</w:t>
      </w:r>
    </w:p>
    <w:p w14:paraId="1C8FACE6" w14:textId="4EE8AF0C" w:rsidR="0004095B" w:rsidRDefault="0004095B">
      <w:pPr>
        <w:jc w:val="both"/>
        <w:rPr>
          <w:rFonts w:asciiTheme="minorHAnsi" w:hAnsiTheme="minorHAnsi" w:cstheme="minorHAnsi"/>
          <w:sz w:val="22"/>
          <w:szCs w:val="22"/>
          <w:lang w:val="es-AR"/>
        </w:rPr>
      </w:pPr>
    </w:p>
    <w:p w14:paraId="78EB2F7C" w14:textId="71899EE1" w:rsidR="0004095B" w:rsidRDefault="0004095B">
      <w:pPr>
        <w:jc w:val="both"/>
        <w:rPr>
          <w:rFonts w:asciiTheme="minorHAnsi" w:hAnsiTheme="minorHAnsi" w:cstheme="minorHAnsi"/>
          <w:sz w:val="22"/>
          <w:szCs w:val="22"/>
          <w:lang w:val="es-AR"/>
        </w:rPr>
      </w:pPr>
    </w:p>
    <w:p w14:paraId="47A1213D" w14:textId="77777777" w:rsidR="0004095B" w:rsidRDefault="0004095B">
      <w:pPr>
        <w:jc w:val="both"/>
      </w:pPr>
    </w:p>
    <w:p w14:paraId="68C8F338" w14:textId="77777777" w:rsidR="00700442" w:rsidRDefault="00700442">
      <w:pPr>
        <w:spacing w:line="276" w:lineRule="auto"/>
        <w:jc w:val="both"/>
        <w:rPr>
          <w:rFonts w:asciiTheme="minorHAnsi" w:hAnsiTheme="minorHAnsi" w:cstheme="minorHAnsi"/>
          <w:sz w:val="22"/>
          <w:szCs w:val="22"/>
          <w:lang w:val="es-AR"/>
        </w:rPr>
      </w:pPr>
    </w:p>
    <w:p w14:paraId="0027A7F4" w14:textId="77777777" w:rsidR="00700442" w:rsidRDefault="00700442">
      <w:pPr>
        <w:spacing w:line="276" w:lineRule="auto"/>
        <w:jc w:val="both"/>
        <w:rPr>
          <w:rFonts w:asciiTheme="minorHAnsi" w:hAnsiTheme="minorHAnsi" w:cstheme="minorHAnsi"/>
          <w:sz w:val="22"/>
          <w:szCs w:val="22"/>
          <w:lang w:val="es-AR"/>
        </w:rPr>
      </w:pPr>
    </w:p>
    <w:sectPr w:rsidR="00700442">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42"/>
    <w:rsid w:val="0004095B"/>
    <w:rsid w:val="00534E38"/>
    <w:rsid w:val="005A3418"/>
    <w:rsid w:val="00700442"/>
    <w:rsid w:val="00745E73"/>
    <w:rsid w:val="00831D0E"/>
    <w:rsid w:val="008A27B2"/>
    <w:rsid w:val="009F6BAD"/>
    <w:rsid w:val="00A17511"/>
    <w:rsid w:val="00B477F1"/>
    <w:rsid w:val="00E46BEC"/>
    <w:rsid w:val="00FD1DF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CE88"/>
  <w15:docId w15:val="{D7CCB729-BBE3-E94A-B7A4-A283A44A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EFE"/>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3C456B"/>
    <w:rPr>
      <w:color w:val="0000FF"/>
      <w:u w:val="single"/>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Standard">
    <w:name w:val="Standard"/>
    <w:qFormat/>
    <w:rsid w:val="00CD1C27"/>
    <w:pPr>
      <w:textAlignment w:val="baseline"/>
    </w:pPr>
    <w:rPr>
      <w:rFonts w:ascii="Liberation Serif" w:eastAsia="NSimSun" w:hAnsi="Liberation Serif" w:cs="Lucida Sans"/>
      <w:kern w:val="2"/>
      <w:lang w:val="es-AR" w:eastAsia="zh-CN" w:bidi="hi-IN"/>
    </w:rPr>
  </w:style>
  <w:style w:type="paragraph" w:customStyle="1" w:styleId="Textbody">
    <w:name w:val="Text body"/>
    <w:basedOn w:val="Standard"/>
    <w:qFormat/>
    <w:rsid w:val="00CD1C27"/>
    <w:pPr>
      <w:spacing w:after="140" w:line="276" w:lineRule="auto"/>
    </w:pPr>
  </w:style>
  <w:style w:type="paragraph" w:styleId="Revisin">
    <w:name w:val="Revision"/>
    <w:hidden/>
    <w:uiPriority w:val="99"/>
    <w:semiHidden/>
    <w:rsid w:val="00534E38"/>
    <w:pPr>
      <w:suppressAutoHyphens w:val="0"/>
    </w:pPr>
    <w:rPr>
      <w:rFonts w:ascii="Times New Roman" w:eastAsia="Times New Roman" w:hAnsi="Times New Roman" w:cs="Times New Roman"/>
      <w:lang w:eastAsia="es-MX"/>
    </w:rPr>
  </w:style>
  <w:style w:type="character" w:styleId="Refdecomentario">
    <w:name w:val="annotation reference"/>
    <w:basedOn w:val="Fuentedeprrafopredeter"/>
    <w:uiPriority w:val="99"/>
    <w:semiHidden/>
    <w:unhideWhenUsed/>
    <w:rsid w:val="009F6BAD"/>
    <w:rPr>
      <w:sz w:val="16"/>
      <w:szCs w:val="16"/>
    </w:rPr>
  </w:style>
  <w:style w:type="paragraph" w:styleId="Textocomentario">
    <w:name w:val="annotation text"/>
    <w:basedOn w:val="Normal"/>
    <w:link w:val="TextocomentarioCar"/>
    <w:uiPriority w:val="99"/>
    <w:semiHidden/>
    <w:unhideWhenUsed/>
    <w:rsid w:val="009F6BAD"/>
    <w:rPr>
      <w:sz w:val="20"/>
      <w:szCs w:val="20"/>
    </w:rPr>
  </w:style>
  <w:style w:type="character" w:customStyle="1" w:styleId="TextocomentarioCar">
    <w:name w:val="Texto comentario Car"/>
    <w:basedOn w:val="Fuentedeprrafopredeter"/>
    <w:link w:val="Textocomentario"/>
    <w:uiPriority w:val="99"/>
    <w:semiHidden/>
    <w:rsid w:val="009F6BAD"/>
    <w:rPr>
      <w:rFonts w:ascii="Times New Roman" w:eastAsia="Times New Roman" w:hAnsi="Times New Roman" w:cs="Times New Roman"/>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9F6BAD"/>
    <w:rPr>
      <w:b/>
      <w:bCs/>
    </w:rPr>
  </w:style>
  <w:style w:type="character" w:customStyle="1" w:styleId="AsuntodelcomentarioCar">
    <w:name w:val="Asunto del comentario Car"/>
    <w:basedOn w:val="TextocomentarioCar"/>
    <w:link w:val="Asuntodelcomentario"/>
    <w:uiPriority w:val="99"/>
    <w:semiHidden/>
    <w:rsid w:val="009F6BAD"/>
    <w:rPr>
      <w:rFonts w:ascii="Times New Roman" w:eastAsia="Times New Roman" w:hAnsi="Times New Roman" w:cs="Times New Roman"/>
      <w:b/>
      <w:bCs/>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787</Words>
  <Characters>4333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Hidalgo</dc:creator>
  <dc:description/>
  <cp:lastModifiedBy>apoyo1 CONACEM</cp:lastModifiedBy>
  <cp:revision>4</cp:revision>
  <dcterms:created xsi:type="dcterms:W3CDTF">2022-10-03T02:21:00Z</dcterms:created>
  <dcterms:modified xsi:type="dcterms:W3CDTF">2022-10-03T16:04:00Z</dcterms:modified>
  <dc:language>es-AR</dc:language>
</cp:coreProperties>
</file>