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69F32" w14:textId="77777777" w:rsidR="006A4CA8" w:rsidRPr="007B0366" w:rsidRDefault="006A4CA8" w:rsidP="006A4CA8">
      <w:pPr>
        <w:rPr>
          <w:rStyle w:val="Heading1Char"/>
        </w:rPr>
      </w:pPr>
      <w:r w:rsidRPr="007B0366">
        <w:rPr>
          <w:rStyle w:val="Heading1Char"/>
        </w:rPr>
        <w:t>Title</w:t>
      </w:r>
    </w:p>
    <w:p w14:paraId="74FEA829" w14:textId="6BBA1937" w:rsidR="00A54054" w:rsidRPr="007B0366" w:rsidRDefault="006A4CA8" w:rsidP="006A4CA8">
      <w:r w:rsidRPr="007B0366">
        <w:t xml:space="preserve">Effects of Covid-19 on contraceptive prescribing in Scottish General Practices. </w:t>
      </w:r>
    </w:p>
    <w:p w14:paraId="34705F00" w14:textId="69EC0F07" w:rsidR="006A4CA8" w:rsidRPr="007B0366" w:rsidRDefault="006A4CA8" w:rsidP="006A4CA8">
      <w:r w:rsidRPr="007B0366">
        <w:t>[79 characters with spaces]</w:t>
      </w:r>
    </w:p>
    <w:p w14:paraId="59772570" w14:textId="77777777" w:rsidR="006A4CA8" w:rsidRPr="007B0366" w:rsidRDefault="006A4CA8" w:rsidP="006A4CA8">
      <w:pPr>
        <w:rPr>
          <w:rStyle w:val="Heading1Char"/>
        </w:rPr>
      </w:pPr>
      <w:r w:rsidRPr="007B0366">
        <w:rPr>
          <w:rStyle w:val="Heading1Char"/>
        </w:rPr>
        <w:t>Short Title</w:t>
      </w:r>
    </w:p>
    <w:p w14:paraId="3CB56A5E" w14:textId="6E6A4450" w:rsidR="006A4CA8" w:rsidRPr="007B0366" w:rsidRDefault="006A4CA8" w:rsidP="006A4CA8">
      <w:r w:rsidRPr="007B0366">
        <w:t>Covid-19 and contraception in Scotland.</w:t>
      </w:r>
    </w:p>
    <w:p w14:paraId="26965E26" w14:textId="343C7E55" w:rsidR="006A4CA8" w:rsidRPr="007B0366" w:rsidRDefault="006A4CA8" w:rsidP="006A4CA8">
      <w:r w:rsidRPr="007B0366">
        <w:t>[39 characters with spaces]</w:t>
      </w:r>
    </w:p>
    <w:p w14:paraId="3950DE3B" w14:textId="77777777" w:rsidR="006A4CA8" w:rsidRPr="007B0366" w:rsidRDefault="006A4CA8" w:rsidP="006A4CA8">
      <w:pPr>
        <w:pStyle w:val="Heading1"/>
      </w:pPr>
      <w:r w:rsidRPr="007B0366">
        <w:t>Authors</w:t>
      </w:r>
    </w:p>
    <w:p w14:paraId="57EED634" w14:textId="7DCBAAD1" w:rsidR="006A4CA8" w:rsidRPr="007B0366" w:rsidRDefault="006A4CA8" w:rsidP="006A4CA8">
      <w:r w:rsidRPr="007B0366">
        <w:t>Elliot Johnson-Hall</w:t>
      </w:r>
    </w:p>
    <w:p w14:paraId="3423B17C" w14:textId="7EEC36B5" w:rsidR="00897FA5" w:rsidRPr="007B0366" w:rsidRDefault="00897FA5" w:rsidP="006A4CA8">
      <w:proofErr w:type="spellStart"/>
      <w:r w:rsidRPr="007B0366">
        <w:t>Orcid</w:t>
      </w:r>
      <w:proofErr w:type="spellEnd"/>
      <w:r w:rsidRPr="007B0366">
        <w:t xml:space="preserve">: </w:t>
      </w:r>
      <w:r w:rsidR="007B0366" w:rsidRPr="007B0366">
        <w:t>0009-0003-5105-034X</w:t>
      </w:r>
    </w:p>
    <w:p w14:paraId="640C361C" w14:textId="718E687E" w:rsidR="006A4CA8" w:rsidRPr="007B0366" w:rsidRDefault="006A4CA8" w:rsidP="006A4CA8">
      <w:r w:rsidRPr="007B0366">
        <w:t>elliotjh2@gmail.com</w:t>
      </w:r>
    </w:p>
    <w:p w14:paraId="21A709C7" w14:textId="2B9F58FE" w:rsidR="006A4CA8" w:rsidRPr="007B0366" w:rsidRDefault="006A4CA8" w:rsidP="006A4CA8">
      <w:r w:rsidRPr="007B0366">
        <w:t>7 West Park,</w:t>
      </w:r>
    </w:p>
    <w:p w14:paraId="38FF193F" w14:textId="7EF1893F" w:rsidR="006A4CA8" w:rsidRPr="007B0366" w:rsidRDefault="006A4CA8" w:rsidP="006A4CA8">
      <w:r w:rsidRPr="007B0366">
        <w:t>Bristol,</w:t>
      </w:r>
    </w:p>
    <w:p w14:paraId="46CAF815" w14:textId="77777777" w:rsidR="006A4CA8" w:rsidRPr="007B0366" w:rsidRDefault="006A4CA8" w:rsidP="006A4CA8">
      <w:r w:rsidRPr="007B0366">
        <w:t>BS8 2LX,</w:t>
      </w:r>
    </w:p>
    <w:p w14:paraId="104BF720" w14:textId="48902D7F" w:rsidR="006A4CA8" w:rsidRPr="007B0366" w:rsidRDefault="006A4CA8" w:rsidP="006A4CA8">
      <w:r w:rsidRPr="007B0366">
        <w:t>UK.</w:t>
      </w:r>
    </w:p>
    <w:p w14:paraId="0B572A41" w14:textId="77777777" w:rsidR="006A4CA8" w:rsidRPr="007B0366" w:rsidRDefault="006A4CA8" w:rsidP="006A4CA8">
      <w:pPr>
        <w:rPr>
          <w:rStyle w:val="Heading1Char"/>
        </w:rPr>
      </w:pPr>
      <w:r w:rsidRPr="007B0366">
        <w:rPr>
          <w:rStyle w:val="Heading1Char"/>
        </w:rPr>
        <w:t>Keywords</w:t>
      </w:r>
    </w:p>
    <w:p w14:paraId="306A17E6" w14:textId="19909FA9" w:rsidR="006A4CA8" w:rsidRPr="007B0366" w:rsidRDefault="006A4CA8" w:rsidP="006A4CA8">
      <w:r w:rsidRPr="007B0366">
        <w:t>Covid-19, contraception, general practice, GP, lockdown, SARS-CoV-2.</w:t>
      </w:r>
    </w:p>
    <w:p w14:paraId="406A71DE" w14:textId="2C037B76" w:rsidR="006A4CA8" w:rsidRPr="007B0366" w:rsidRDefault="006A4CA8" w:rsidP="00897FA5">
      <w:pPr>
        <w:pStyle w:val="Heading1"/>
      </w:pPr>
      <w:r w:rsidRPr="007B0366">
        <w:t>Word count</w:t>
      </w:r>
      <w:r w:rsidRPr="007B0366">
        <w:br w:type="page"/>
      </w:r>
    </w:p>
    <w:p w14:paraId="4E82DBEC" w14:textId="09321D19" w:rsidR="006A4CA8" w:rsidRPr="007B0366" w:rsidRDefault="006A4CA8" w:rsidP="007B0366">
      <w:pPr>
        <w:pStyle w:val="Heading1"/>
      </w:pPr>
      <w:r w:rsidRPr="007B0366">
        <w:lastRenderedPageBreak/>
        <w:t>Abstract</w:t>
      </w:r>
      <w:r w:rsidRPr="007B0366">
        <w:br w:type="page"/>
      </w:r>
    </w:p>
    <w:p w14:paraId="3B2A205C" w14:textId="1A98F298" w:rsidR="006A4CA8" w:rsidRPr="007B0366" w:rsidRDefault="006A4CA8" w:rsidP="00897FA5">
      <w:pPr>
        <w:pStyle w:val="Heading1"/>
      </w:pPr>
      <w:r w:rsidRPr="007B0366">
        <w:lastRenderedPageBreak/>
        <w:t>Lay summary</w:t>
      </w:r>
      <w:r w:rsidRPr="007B0366">
        <w:br w:type="page"/>
      </w:r>
    </w:p>
    <w:p w14:paraId="1D4AA3C0" w14:textId="35D929AA" w:rsidR="006A4CA8" w:rsidRPr="007B0366" w:rsidRDefault="006A4CA8" w:rsidP="006A4CA8">
      <w:pPr>
        <w:pStyle w:val="Heading1"/>
      </w:pPr>
      <w:r w:rsidRPr="007B0366">
        <w:lastRenderedPageBreak/>
        <w:t>Graphical abstract</w:t>
      </w:r>
      <w:r w:rsidRPr="007B0366">
        <w:br w:type="page"/>
      </w:r>
    </w:p>
    <w:p w14:paraId="321797DE" w14:textId="77777777" w:rsidR="007B0366" w:rsidRPr="007B0366" w:rsidRDefault="006A4CA8" w:rsidP="00897FA5">
      <w:pPr>
        <w:pStyle w:val="Heading1"/>
      </w:pPr>
      <w:r w:rsidRPr="007B0366">
        <w:lastRenderedPageBreak/>
        <w:t>Introduction</w:t>
      </w:r>
    </w:p>
    <w:p w14:paraId="277871E1" w14:textId="4327826C" w:rsidR="004A3131" w:rsidRDefault="004A3131" w:rsidP="007B0366">
      <w:r>
        <w:t xml:space="preserve">Walker </w:t>
      </w:r>
      <w:r w:rsidR="007B0366" w:rsidRPr="007B0366">
        <w:fldChar w:fldCharType="begin"/>
      </w:r>
      <w:r>
        <w:instrText xml:space="preserve"> ADDIN ZOTERO_ITEM CSL_CITATION {"citationID":"ZDprvugY","properties":{"formattedCitation":"(2022)","plainCitation":"(2022)","noteIndex":0},"citationItems":[{"id":4,"uris":["http://zotero.org/users/local/f9bxL1kf/items/RYHYTRER"],"itemData":{"id":4,"type":"article-journal","abstract":"Abstract\n            \n              Objectives\n              This paper looks at how contraceptive prescribing by General Practices in England was affected by the COVID-19pandemic and lockdown. It compares English prescribing data in April – June 2019, the year before COVID19, and April–June 2020, the first three months of ‘lockdown’.\n            \n            \n              Design &amp; Setting\n              This paper is based on retrospective analysis of the English Prescribing Dataset which reports monthly on prescribed items from English General Practices. Data on all forms of prescribed contraceptive methods were extracted using BNF codes, and total quantities tabulated by method. To reach the total number of months of contraception provided, total quantities were divided or multiplied according the frequency with which the method is taken per month or the numbers of months of contraception provided.\n            \n            \n              Results\n              Prescription of the combined oral contraceptive pill reduced by 22% during the period of lockdown compared to the same three months in 2019. Prescriptions of Progestogen-Only pills remained stable. Prescription of long-acting methods reduced, with the greatest reductions in implants (76% reduction from pre-lockdown levels), intra-uterine systems (79% reduction from pre-lockdown levels) and intrauterine devices (76% reduction from pre-lockdown levels).\n            \n            \n              Conclusions\n              The disruption of face-to-face contraceptive consultations in General Practice during a COVID-19 ‘lockdown’ has resulted in a reduction in oestrogen –containing methods compared to progestogen-only methods, which require less face-to-face monitoring.\n              Implant and intrauterine contraceptive device prescription reduced by three quarters over the first three months of lockdown, which has the potential to result in a rise in unintended pregnancies.","container-title":"Contraception and Reproductive Medicine","DOI":"10.1186/s40834-022-00169-w","ISSN":"2055-7426","issue":"1","journalAbbreviation":"Contracept Reprod Med","language":"en","page":"3","source":"DOI.org (Crossref)","title":"Effect of the COVID-19 pandemic on contraceptive prescribing in general practice: a retrospective analysis of English prescribing data between 2019 and 2020","title-short":"Effect of the COVID-19 pandemic on contraceptive prescribing in general practice","volume":"7","author":[{"family":"Walker","given":"Susan H."}],"issued":{"date-parts":[["2022",12]]}},"label":"page","suppress-author":true}],"schema":"https://github.com/citation-style-language/schema/raw/master/csl-citation.json"} </w:instrText>
      </w:r>
      <w:r w:rsidR="007B0366" w:rsidRPr="007B0366">
        <w:fldChar w:fldCharType="separate"/>
      </w:r>
      <w:r>
        <w:rPr>
          <w:noProof/>
        </w:rPr>
        <w:t>(2022)</w:t>
      </w:r>
      <w:r w:rsidR="007B0366" w:rsidRPr="007B0366">
        <w:fldChar w:fldCharType="end"/>
      </w:r>
      <w:r w:rsidR="007B0366" w:rsidRPr="007B0366">
        <w:t xml:space="preserve"> revealed changes in prescribing of contraception </w:t>
      </w:r>
      <w:r>
        <w:t xml:space="preserve">in English general practices </w:t>
      </w:r>
      <w:r w:rsidR="007B0366" w:rsidRPr="007B0366">
        <w:t>between 2019 and 2020 due to the SARS-CoV-2 pandemic, and associated restrictions. Here</w:t>
      </w:r>
      <w:r>
        <w:t xml:space="preserve"> it </w:t>
      </w:r>
      <w:r w:rsidR="007B0366" w:rsidRPr="007B0366">
        <w:t xml:space="preserve">will </w:t>
      </w:r>
      <w:r>
        <w:t xml:space="preserve">be </w:t>
      </w:r>
      <w:r w:rsidR="007B0366" w:rsidRPr="007B0366">
        <w:t>examine</w:t>
      </w:r>
      <w:r>
        <w:t>d</w:t>
      </w:r>
      <w:r w:rsidR="007B0366" w:rsidRPr="007B0366">
        <w:t xml:space="preserve"> if this is the case in Scotland as well. This study examines changes in contraception prescribed by general practices in Scotland from October 2015 to January 2023.</w:t>
      </w:r>
    </w:p>
    <w:p w14:paraId="21C20E2C" w14:textId="77777777" w:rsidR="004A3131" w:rsidRDefault="004A3131" w:rsidP="007B0366">
      <w:r>
        <w:t xml:space="preserve">One limitation of Walker’s </w:t>
      </w:r>
      <w:r>
        <w:fldChar w:fldCharType="begin"/>
      </w:r>
      <w:r>
        <w:instrText xml:space="preserve"> ADDIN ZOTERO_ITEM CSL_CITATION {"citationID":"AEnxzEPI","properties":{"formattedCitation":"(2022)","plainCitation":"(2022)","noteIndex":0},"citationItems":[{"id":4,"uris":["http://zotero.org/users/local/f9bxL1kf/items/RYHYTRER"],"itemData":{"id":4,"type":"article-journal","abstract":"Abstract\n            \n              Objectives\n              This paper looks at how contraceptive prescribing by General Practices in England was affected by the COVID-19pandemic and lockdown. It compares English prescribing data in April – June 2019, the year before COVID19, and April–June 2020, the first three months of ‘lockdown’.\n            \n            \n              Design &amp; Setting\n              This paper is based on retrospective analysis of the English Prescribing Dataset which reports monthly on prescribed items from English General Practices. Data on all forms of prescribed contraceptive methods were extracted using BNF codes, and total quantities tabulated by method. To reach the total number of months of contraception provided, total quantities were divided or multiplied according the frequency with which the method is taken per month or the numbers of months of contraception provided.\n            \n            \n              Results\n              Prescription of the combined oral contraceptive pill reduced by 22% during the period of lockdown compared to the same three months in 2019. Prescriptions of Progestogen-Only pills remained stable. Prescription of long-acting methods reduced, with the greatest reductions in implants (76% reduction from pre-lockdown levels), intra-uterine systems (79% reduction from pre-lockdown levels) and intrauterine devices (76% reduction from pre-lockdown levels).\n            \n            \n              Conclusions\n              The disruption of face-to-face contraceptive consultations in General Practice during a COVID-19 ‘lockdown’ has resulted in a reduction in oestrogen –containing methods compared to progestogen-only methods, which require less face-to-face monitoring.\n              Implant and intrauterine contraceptive device prescription reduced by three quarters over the first three months of lockdown, which has the potential to result in a rise in unintended pregnancies.","container-title":"Contraception and Reproductive Medicine","DOI":"10.1186/s40834-022-00169-w","ISSN":"2055-7426","issue":"1","journalAbbreviation":"Contracept Reprod Med","language":"en","page":"3","source":"DOI.org (Crossref)","title":"Effect of the COVID-19 pandemic on contraceptive prescribing in general practice: a retrospective analysis of English prescribing data between 2019 and 2020","title-short":"Effect of the COVID-19 pandemic on contraceptive prescribing in general practice","volume":"7","author":[{"family":"Walker","given":"Susan H."}],"issued":{"date-parts":[["2022",12]]}},"label":"page","suppress-author":true}],"schema":"https://github.com/citation-style-language/schema/raw/master/csl-citation.json"} </w:instrText>
      </w:r>
      <w:r>
        <w:fldChar w:fldCharType="separate"/>
      </w:r>
      <w:r>
        <w:rPr>
          <w:noProof/>
        </w:rPr>
        <w:t>(2022)</w:t>
      </w:r>
      <w:r>
        <w:fldChar w:fldCharType="end"/>
      </w:r>
      <w:r>
        <w:t xml:space="preserve"> study is the comparison of just three months of prescribing data in both 2019 and 2020. Here, a much longer timeframe is used; with data from October 2015 to January 2023.</w:t>
      </w:r>
    </w:p>
    <w:p w14:paraId="005ED284" w14:textId="6C889F02" w:rsidR="006A4CA8" w:rsidRPr="007B0366" w:rsidRDefault="004A3131" w:rsidP="0028427C">
      <w:r>
        <w:t xml:space="preserve">In Scotland, </w:t>
      </w:r>
      <w:r w:rsidR="0030653F">
        <w:t xml:space="preserve">as in the rest of the UK, </w:t>
      </w:r>
      <w:proofErr w:type="gramStart"/>
      <w:r>
        <w:t>the majority of</w:t>
      </w:r>
      <w:proofErr w:type="gramEnd"/>
      <w:r>
        <w:t xml:space="preserve"> </w:t>
      </w:r>
      <w:r w:rsidR="0030653F">
        <w:t xml:space="preserve">healthcare is supplied free at the point of use by the National Health Service. </w:t>
      </w:r>
      <w:r w:rsidR="0028427C">
        <w:t>This dataset does not cover private prescriptions, but this is likely to be a small proportion of contraceptive prescriptions in Scotland.</w:t>
      </w:r>
      <w:r w:rsidR="006A4CA8" w:rsidRPr="007B0366">
        <w:br w:type="page"/>
      </w:r>
    </w:p>
    <w:p w14:paraId="31430287" w14:textId="65B20A05" w:rsidR="006A4CA8" w:rsidRDefault="006A4CA8" w:rsidP="006A4CA8">
      <w:pPr>
        <w:pStyle w:val="Heading1"/>
      </w:pPr>
      <w:r w:rsidRPr="007B0366">
        <w:lastRenderedPageBreak/>
        <w:t>Materials and methods</w:t>
      </w:r>
    </w:p>
    <w:p w14:paraId="247B85AB" w14:textId="788ECB58" w:rsidR="002D4DFB" w:rsidRDefault="002D4DFB" w:rsidP="002D4DFB">
      <w:r>
        <w:t xml:space="preserve">This study is a retrospective longitudinal study from October 2015 to January 2023. Data from the </w:t>
      </w:r>
      <w:r w:rsidRPr="002D4DFB">
        <w:t>Scottish Health and Social Care Open Data</w:t>
      </w:r>
      <w:r>
        <w:t xml:space="preserve"> repository (</w:t>
      </w:r>
      <w:r w:rsidR="00F85E22">
        <w:t>https://www.opendata.nhs.scot</w:t>
      </w:r>
      <w:r>
        <w:t xml:space="preserve">) was used. This dataset provides an overview of prescriptions dispensed in the community throughout Scotland. The overwhelming majority of these are prescribed in general practices, however some may be from </w:t>
      </w:r>
      <w:r w:rsidR="00F85E22">
        <w:t xml:space="preserve">other non-medical </w:t>
      </w:r>
      <w:r>
        <w:t xml:space="preserve">primary care </w:t>
      </w:r>
      <w:r w:rsidR="00F85E22">
        <w:t>prescribers</w:t>
      </w:r>
      <w:r>
        <w:t xml:space="preserve">, as well as prescriptions from hospitals dispensed in community pharmacies. </w:t>
      </w:r>
      <w:r w:rsidR="00364AA7">
        <w:t>The dataset is 100% complete for items dispensed in the community. However, i</w:t>
      </w:r>
      <w:r>
        <w:t>t excludes items dispensed in hospitals, prisons, schools, and private prescriptions</w:t>
      </w:r>
      <w:r w:rsidR="00364AA7">
        <w:t xml:space="preserve"> as well as prescriptions not presented for dispensing and those items dispensed but not submitted for payment</w:t>
      </w:r>
      <w:r>
        <w:t>.</w:t>
      </w:r>
      <w:r w:rsidR="00D6690B">
        <w:t xml:space="preserve"> All data is aggregated and entirely anonymous.</w:t>
      </w:r>
    </w:p>
    <w:p w14:paraId="72167515" w14:textId="1A6C9E06" w:rsidR="007B0366" w:rsidRDefault="007B0366" w:rsidP="002D4DFB">
      <w:r w:rsidRPr="007B0366">
        <w:t xml:space="preserve">R v4.3.0 </w:t>
      </w:r>
      <w:r w:rsidR="000B5D22">
        <w:fldChar w:fldCharType="begin"/>
      </w:r>
      <w:r w:rsidR="000B5D22">
        <w:instrText xml:space="preserve"> ADDIN ZOTERO_ITEM CSL_CITATION {"citationID":"QfBd6xsB","properties":{"formattedCitation":"(R Core Team, 2021)","plainCitation":"(R Core Team, 2021)","noteIndex":0},"citationItems":[{"id":7,"uris":["http://zotero.org/users/local/f9bxL1kf/items/P96A5ZWW"],"itemData":{"id":7,"type":"software","event-place":"Vienna, Austria","publisher":"R Foundation for Statistical Computing","publisher-place":"Vienna, Austria","title":"R: A language and environment for statistical ##   computing.","URL":"https://www.R-project.org/","version":"4.3.0","author":[{"family":"R Core Team","given":""}],"issued":{"date-parts":[["2021"]]}}}],"schema":"https://github.com/citation-style-language/schema/raw/master/csl-citation.json"} </w:instrText>
      </w:r>
      <w:r w:rsidR="000B5D22">
        <w:fldChar w:fldCharType="separate"/>
      </w:r>
      <w:r w:rsidR="000B5D22">
        <w:rPr>
          <w:noProof/>
        </w:rPr>
        <w:t>(R Core Team, 2021)</w:t>
      </w:r>
      <w:r w:rsidR="000B5D22">
        <w:fldChar w:fldCharType="end"/>
      </w:r>
      <w:r w:rsidR="000B5D22">
        <w:t xml:space="preserve"> </w:t>
      </w:r>
      <w:r w:rsidRPr="007B0366">
        <w:t xml:space="preserve">was used to create a script to access data from the NHS Scotland Open Data API. </w:t>
      </w:r>
      <w:r w:rsidR="0028427C">
        <w:t xml:space="preserve">Initially, the complete dataset is filtered using a SQL query to extract only contraceptive medicines by </w:t>
      </w:r>
      <w:r w:rsidR="00F85E22">
        <w:t>returning</w:t>
      </w:r>
      <w:r w:rsidR="0028427C">
        <w:t xml:space="preserve"> results with truncated BNF item codes beginning </w:t>
      </w:r>
      <w:r w:rsidR="0028427C" w:rsidRPr="0028427C">
        <w:t>07030</w:t>
      </w:r>
      <w:r w:rsidR="0028427C">
        <w:t xml:space="preserve">* or </w:t>
      </w:r>
      <w:r w:rsidR="0028427C" w:rsidRPr="0028427C">
        <w:t>21040</w:t>
      </w:r>
      <w:r w:rsidR="0028427C">
        <w:t>*. Subsequently, t</w:t>
      </w:r>
      <w:r w:rsidRPr="007B0366">
        <w:t xml:space="preserve">hese data were </w:t>
      </w:r>
      <w:r w:rsidR="0028427C">
        <w:t>categorised</w:t>
      </w:r>
      <w:r w:rsidRPr="007B0366">
        <w:t xml:space="preserve"> by </w:t>
      </w:r>
      <w:r w:rsidR="0028427C">
        <w:t xml:space="preserve">truncated </w:t>
      </w:r>
      <w:r w:rsidRPr="007B0366">
        <w:t xml:space="preserve">BNF code </w:t>
      </w:r>
      <w:r w:rsidR="0028427C">
        <w:t>(Table 1)</w:t>
      </w:r>
      <w:r w:rsidRPr="007B0366">
        <w:t>.</w:t>
      </w:r>
    </w:p>
    <w:p w14:paraId="7DDFC56F" w14:textId="1313C903" w:rsidR="00364AA7" w:rsidRPr="00364AA7" w:rsidRDefault="00364AA7" w:rsidP="00364AA7">
      <w:pPr>
        <w:pStyle w:val="NoSpacing"/>
      </w:pPr>
      <w:r w:rsidRPr="00364AA7">
        <w:t>Table 1.</w:t>
      </w:r>
    </w:p>
    <w:tbl>
      <w:tblPr>
        <w:tblStyle w:val="TableGrid"/>
        <w:tblW w:w="0" w:type="auto"/>
        <w:tblLook w:val="04A0" w:firstRow="1" w:lastRow="0" w:firstColumn="1" w:lastColumn="0" w:noHBand="0" w:noVBand="1"/>
      </w:tblPr>
      <w:tblGrid>
        <w:gridCol w:w="2263"/>
        <w:gridCol w:w="3402"/>
        <w:gridCol w:w="3963"/>
      </w:tblGrid>
      <w:tr w:rsidR="0028427C" w14:paraId="67885CB2" w14:textId="77777777" w:rsidTr="000B5D22">
        <w:tc>
          <w:tcPr>
            <w:tcW w:w="2263" w:type="dxa"/>
            <w:vAlign w:val="center"/>
          </w:tcPr>
          <w:p w14:paraId="73E02F45" w14:textId="44CB39E8" w:rsidR="0028427C" w:rsidRPr="0028427C" w:rsidRDefault="0028427C" w:rsidP="0028427C">
            <w:pPr>
              <w:spacing w:after="0"/>
              <w:jc w:val="center"/>
              <w:rPr>
                <w:b/>
                <w:bCs/>
              </w:rPr>
            </w:pPr>
            <w:r w:rsidRPr="0028427C">
              <w:rPr>
                <w:b/>
                <w:bCs/>
              </w:rPr>
              <w:t>Truncated BNF item code</w:t>
            </w:r>
          </w:p>
        </w:tc>
        <w:tc>
          <w:tcPr>
            <w:tcW w:w="3402" w:type="dxa"/>
            <w:vAlign w:val="center"/>
          </w:tcPr>
          <w:p w14:paraId="7A8261A6" w14:textId="5A3BD154" w:rsidR="0028427C" w:rsidRPr="0028427C" w:rsidRDefault="0028427C" w:rsidP="0028427C">
            <w:pPr>
              <w:spacing w:after="0"/>
              <w:jc w:val="center"/>
              <w:rPr>
                <w:b/>
                <w:bCs/>
              </w:rPr>
            </w:pPr>
            <w:r w:rsidRPr="0028427C">
              <w:rPr>
                <w:b/>
                <w:bCs/>
              </w:rPr>
              <w:t>Category of contraception</w:t>
            </w:r>
          </w:p>
        </w:tc>
        <w:tc>
          <w:tcPr>
            <w:tcW w:w="3963" w:type="dxa"/>
            <w:vAlign w:val="center"/>
          </w:tcPr>
          <w:p w14:paraId="76E9199C" w14:textId="1A8604EE" w:rsidR="0028427C" w:rsidRPr="0028427C" w:rsidRDefault="0028427C" w:rsidP="0028427C">
            <w:pPr>
              <w:spacing w:after="0"/>
              <w:jc w:val="center"/>
              <w:rPr>
                <w:b/>
                <w:bCs/>
              </w:rPr>
            </w:pPr>
            <w:r w:rsidRPr="0028427C">
              <w:rPr>
                <w:b/>
                <w:bCs/>
              </w:rPr>
              <w:t>Example medicines in this category</w:t>
            </w:r>
          </w:p>
        </w:tc>
      </w:tr>
      <w:tr w:rsidR="0028427C" w14:paraId="0A610E9D" w14:textId="77777777" w:rsidTr="000B5D22">
        <w:tc>
          <w:tcPr>
            <w:tcW w:w="2263" w:type="dxa"/>
            <w:vAlign w:val="center"/>
          </w:tcPr>
          <w:p w14:paraId="75590F93" w14:textId="2FA07964" w:rsidR="0028427C" w:rsidRDefault="0028427C" w:rsidP="0028427C">
            <w:pPr>
              <w:spacing w:after="0"/>
              <w:jc w:val="center"/>
            </w:pPr>
            <w:r w:rsidRPr="0028427C">
              <w:t>0703022</w:t>
            </w:r>
            <w:r>
              <w:t>*</w:t>
            </w:r>
          </w:p>
        </w:tc>
        <w:tc>
          <w:tcPr>
            <w:tcW w:w="3402" w:type="dxa"/>
            <w:vAlign w:val="center"/>
          </w:tcPr>
          <w:p w14:paraId="74B75E5B" w14:textId="40C1EAC3" w:rsidR="0028427C" w:rsidRDefault="0028427C" w:rsidP="0028427C">
            <w:pPr>
              <w:spacing w:after="0"/>
              <w:jc w:val="center"/>
            </w:pPr>
            <w:r>
              <w:t>Injections, Implants</w:t>
            </w:r>
          </w:p>
        </w:tc>
        <w:tc>
          <w:tcPr>
            <w:tcW w:w="3963" w:type="dxa"/>
            <w:vAlign w:val="center"/>
          </w:tcPr>
          <w:p w14:paraId="39ABAEE3" w14:textId="77777777" w:rsidR="0028427C" w:rsidRDefault="0028427C" w:rsidP="0028427C">
            <w:pPr>
              <w:spacing w:after="0"/>
              <w:jc w:val="center"/>
            </w:pPr>
          </w:p>
        </w:tc>
      </w:tr>
      <w:tr w:rsidR="0028427C" w14:paraId="31C15456" w14:textId="77777777" w:rsidTr="000B5D22">
        <w:tc>
          <w:tcPr>
            <w:tcW w:w="2263" w:type="dxa"/>
            <w:vAlign w:val="center"/>
          </w:tcPr>
          <w:p w14:paraId="487A4FD6" w14:textId="40E15349" w:rsidR="0028427C" w:rsidRDefault="0028427C" w:rsidP="0028427C">
            <w:pPr>
              <w:spacing w:after="0"/>
              <w:jc w:val="center"/>
            </w:pPr>
            <w:r w:rsidRPr="0028427C">
              <w:t>0703023</w:t>
            </w:r>
            <w:r>
              <w:t>*</w:t>
            </w:r>
          </w:p>
        </w:tc>
        <w:tc>
          <w:tcPr>
            <w:tcW w:w="3402" w:type="dxa"/>
            <w:vAlign w:val="center"/>
          </w:tcPr>
          <w:p w14:paraId="1755A46E" w14:textId="0C55566D" w:rsidR="0028427C" w:rsidRDefault="0028427C" w:rsidP="0028427C">
            <w:pPr>
              <w:spacing w:after="0"/>
              <w:jc w:val="center"/>
            </w:pPr>
            <w:r>
              <w:t>IUS</w:t>
            </w:r>
          </w:p>
        </w:tc>
        <w:tc>
          <w:tcPr>
            <w:tcW w:w="3963" w:type="dxa"/>
            <w:vAlign w:val="center"/>
          </w:tcPr>
          <w:p w14:paraId="4B91C1B7" w14:textId="77777777" w:rsidR="0028427C" w:rsidRDefault="0028427C" w:rsidP="0028427C">
            <w:pPr>
              <w:spacing w:after="0"/>
              <w:jc w:val="center"/>
            </w:pPr>
          </w:p>
        </w:tc>
      </w:tr>
      <w:tr w:rsidR="0028427C" w14:paraId="23C420D9" w14:textId="77777777" w:rsidTr="000B5D22">
        <w:tc>
          <w:tcPr>
            <w:tcW w:w="2263" w:type="dxa"/>
            <w:vAlign w:val="center"/>
          </w:tcPr>
          <w:p w14:paraId="60CD2C53" w14:textId="61E10918" w:rsidR="0028427C" w:rsidRDefault="0028427C" w:rsidP="0028427C">
            <w:pPr>
              <w:spacing w:after="0"/>
              <w:jc w:val="center"/>
            </w:pPr>
            <w:r w:rsidRPr="0028427C">
              <w:t>21040</w:t>
            </w:r>
            <w:r w:rsidR="00FC60B6">
              <w:t>*</w:t>
            </w:r>
          </w:p>
        </w:tc>
        <w:tc>
          <w:tcPr>
            <w:tcW w:w="3402" w:type="dxa"/>
            <w:vAlign w:val="center"/>
          </w:tcPr>
          <w:p w14:paraId="3A2A5820" w14:textId="7AA7C246" w:rsidR="0028427C" w:rsidRDefault="0028427C" w:rsidP="0028427C">
            <w:pPr>
              <w:spacing w:after="0"/>
              <w:jc w:val="center"/>
            </w:pPr>
            <w:r>
              <w:t>IUD</w:t>
            </w:r>
          </w:p>
        </w:tc>
        <w:tc>
          <w:tcPr>
            <w:tcW w:w="3963" w:type="dxa"/>
            <w:vAlign w:val="center"/>
          </w:tcPr>
          <w:p w14:paraId="058393A7" w14:textId="77777777" w:rsidR="0028427C" w:rsidRDefault="0028427C" w:rsidP="0028427C">
            <w:pPr>
              <w:spacing w:after="0"/>
              <w:jc w:val="center"/>
            </w:pPr>
          </w:p>
        </w:tc>
      </w:tr>
      <w:tr w:rsidR="0028427C" w14:paraId="5165E36E" w14:textId="77777777" w:rsidTr="000B5D22">
        <w:tc>
          <w:tcPr>
            <w:tcW w:w="2263" w:type="dxa"/>
            <w:vAlign w:val="center"/>
          </w:tcPr>
          <w:p w14:paraId="362CDAA2" w14:textId="1126D11D" w:rsidR="0028427C" w:rsidRDefault="0028427C" w:rsidP="0028427C">
            <w:pPr>
              <w:spacing w:after="0"/>
              <w:jc w:val="center"/>
            </w:pPr>
            <w:r w:rsidRPr="0028427C">
              <w:t>0703050</w:t>
            </w:r>
            <w:r w:rsidR="00FC60B6">
              <w:t>*</w:t>
            </w:r>
          </w:p>
        </w:tc>
        <w:tc>
          <w:tcPr>
            <w:tcW w:w="3402" w:type="dxa"/>
            <w:vAlign w:val="center"/>
          </w:tcPr>
          <w:p w14:paraId="71CC3C5C" w14:textId="0DE0410E" w:rsidR="0028427C" w:rsidRDefault="0028427C" w:rsidP="0028427C">
            <w:pPr>
              <w:spacing w:after="0"/>
              <w:jc w:val="center"/>
            </w:pPr>
            <w:r>
              <w:t>Emergency contraception</w:t>
            </w:r>
          </w:p>
        </w:tc>
        <w:tc>
          <w:tcPr>
            <w:tcW w:w="3963" w:type="dxa"/>
            <w:vAlign w:val="center"/>
          </w:tcPr>
          <w:p w14:paraId="43348883" w14:textId="77777777" w:rsidR="0028427C" w:rsidRDefault="0028427C" w:rsidP="0028427C">
            <w:pPr>
              <w:spacing w:after="0"/>
              <w:jc w:val="center"/>
            </w:pPr>
          </w:p>
        </w:tc>
      </w:tr>
      <w:tr w:rsidR="0028427C" w14:paraId="07C43D82" w14:textId="77777777" w:rsidTr="000B5D22">
        <w:tc>
          <w:tcPr>
            <w:tcW w:w="2263" w:type="dxa"/>
            <w:vAlign w:val="center"/>
          </w:tcPr>
          <w:p w14:paraId="4CD2C4A2" w14:textId="00DDF5CC" w:rsidR="0028427C" w:rsidRDefault="0028427C" w:rsidP="0028427C">
            <w:pPr>
              <w:spacing w:after="0"/>
              <w:jc w:val="center"/>
            </w:pPr>
            <w:r w:rsidRPr="0028427C">
              <w:t>0703010</w:t>
            </w:r>
            <w:r>
              <w:t>*</w:t>
            </w:r>
          </w:p>
        </w:tc>
        <w:tc>
          <w:tcPr>
            <w:tcW w:w="3402" w:type="dxa"/>
            <w:vAlign w:val="center"/>
          </w:tcPr>
          <w:p w14:paraId="4CCE543E" w14:textId="2847D581" w:rsidR="0028427C" w:rsidRDefault="0028427C" w:rsidP="0028427C">
            <w:pPr>
              <w:spacing w:after="0"/>
              <w:jc w:val="center"/>
            </w:pPr>
            <w:r>
              <w:t>COCP</w:t>
            </w:r>
          </w:p>
        </w:tc>
        <w:tc>
          <w:tcPr>
            <w:tcW w:w="3963" w:type="dxa"/>
            <w:vAlign w:val="center"/>
          </w:tcPr>
          <w:p w14:paraId="22829CC0" w14:textId="77777777" w:rsidR="0028427C" w:rsidRDefault="0028427C" w:rsidP="0028427C">
            <w:pPr>
              <w:spacing w:after="0"/>
              <w:jc w:val="center"/>
            </w:pPr>
          </w:p>
        </w:tc>
      </w:tr>
      <w:tr w:rsidR="0028427C" w14:paraId="7A419C9A" w14:textId="77777777" w:rsidTr="000B5D22">
        <w:tc>
          <w:tcPr>
            <w:tcW w:w="2263" w:type="dxa"/>
            <w:vAlign w:val="center"/>
          </w:tcPr>
          <w:p w14:paraId="0E7849D8" w14:textId="1930EE86" w:rsidR="0028427C" w:rsidRDefault="0028427C" w:rsidP="0028427C">
            <w:pPr>
              <w:spacing w:after="0"/>
              <w:jc w:val="center"/>
            </w:pPr>
            <w:r w:rsidRPr="0028427C">
              <w:t>0703021</w:t>
            </w:r>
            <w:r w:rsidR="00FC60B6">
              <w:t>*</w:t>
            </w:r>
          </w:p>
        </w:tc>
        <w:tc>
          <w:tcPr>
            <w:tcW w:w="3402" w:type="dxa"/>
            <w:vAlign w:val="center"/>
          </w:tcPr>
          <w:p w14:paraId="37B59DFD" w14:textId="05F77206" w:rsidR="0028427C" w:rsidRDefault="0028427C" w:rsidP="0028427C">
            <w:pPr>
              <w:spacing w:after="0"/>
              <w:jc w:val="center"/>
            </w:pPr>
            <w:r>
              <w:t>POP</w:t>
            </w:r>
          </w:p>
        </w:tc>
        <w:tc>
          <w:tcPr>
            <w:tcW w:w="3963" w:type="dxa"/>
            <w:vAlign w:val="center"/>
          </w:tcPr>
          <w:p w14:paraId="4D7AC76E" w14:textId="77777777" w:rsidR="0028427C" w:rsidRDefault="0028427C" w:rsidP="0028427C">
            <w:pPr>
              <w:spacing w:after="0"/>
              <w:jc w:val="center"/>
            </w:pPr>
          </w:p>
        </w:tc>
      </w:tr>
      <w:tr w:rsidR="0028427C" w14:paraId="7918C82D" w14:textId="77777777" w:rsidTr="000B5D22">
        <w:tc>
          <w:tcPr>
            <w:tcW w:w="2263" w:type="dxa"/>
            <w:vAlign w:val="center"/>
          </w:tcPr>
          <w:p w14:paraId="4221B163" w14:textId="053B4BDF" w:rsidR="0028427C" w:rsidRDefault="0028427C" w:rsidP="0028427C">
            <w:pPr>
              <w:spacing w:after="0"/>
              <w:jc w:val="center"/>
            </w:pPr>
            <w:r w:rsidRPr="0028427C">
              <w:t>0703010E0BG</w:t>
            </w:r>
            <w:r w:rsidR="00FC60B6">
              <w:t>*</w:t>
            </w:r>
          </w:p>
        </w:tc>
        <w:tc>
          <w:tcPr>
            <w:tcW w:w="3402" w:type="dxa"/>
            <w:vAlign w:val="center"/>
          </w:tcPr>
          <w:p w14:paraId="219EFD1B" w14:textId="02B8E1F8" w:rsidR="0028427C" w:rsidRDefault="0028427C" w:rsidP="0028427C">
            <w:pPr>
              <w:spacing w:after="0"/>
              <w:jc w:val="center"/>
            </w:pPr>
            <w:r>
              <w:t>Patch</w:t>
            </w:r>
          </w:p>
        </w:tc>
        <w:tc>
          <w:tcPr>
            <w:tcW w:w="3963" w:type="dxa"/>
            <w:vAlign w:val="center"/>
          </w:tcPr>
          <w:p w14:paraId="6B60BBFD" w14:textId="77777777" w:rsidR="0028427C" w:rsidRDefault="0028427C" w:rsidP="0028427C">
            <w:pPr>
              <w:spacing w:after="0"/>
              <w:jc w:val="center"/>
            </w:pPr>
          </w:p>
        </w:tc>
      </w:tr>
      <w:tr w:rsidR="0028427C" w14:paraId="1F7482B1" w14:textId="77777777" w:rsidTr="000B5D22">
        <w:tc>
          <w:tcPr>
            <w:tcW w:w="2263" w:type="dxa"/>
            <w:vAlign w:val="center"/>
          </w:tcPr>
          <w:p w14:paraId="48E7085F" w14:textId="4EDA5E89" w:rsidR="0028427C" w:rsidRPr="0028427C" w:rsidRDefault="0028427C" w:rsidP="0028427C">
            <w:pPr>
              <w:spacing w:after="0"/>
              <w:jc w:val="center"/>
            </w:pPr>
            <w:r w:rsidRPr="0028427C">
              <w:t>0703011</w:t>
            </w:r>
            <w:r w:rsidR="00FC60B6">
              <w:t>*</w:t>
            </w:r>
          </w:p>
        </w:tc>
        <w:tc>
          <w:tcPr>
            <w:tcW w:w="3402" w:type="dxa"/>
            <w:vAlign w:val="center"/>
          </w:tcPr>
          <w:p w14:paraId="6238F6B5" w14:textId="5560B55D" w:rsidR="0028427C" w:rsidRDefault="0028427C" w:rsidP="0028427C">
            <w:pPr>
              <w:spacing w:after="0"/>
              <w:jc w:val="center"/>
            </w:pPr>
            <w:r>
              <w:t>Ring</w:t>
            </w:r>
          </w:p>
        </w:tc>
        <w:tc>
          <w:tcPr>
            <w:tcW w:w="3963" w:type="dxa"/>
            <w:vAlign w:val="center"/>
          </w:tcPr>
          <w:p w14:paraId="3E5D618F" w14:textId="77777777" w:rsidR="0028427C" w:rsidRDefault="0028427C" w:rsidP="0028427C">
            <w:pPr>
              <w:spacing w:after="0"/>
              <w:jc w:val="center"/>
            </w:pPr>
          </w:p>
        </w:tc>
      </w:tr>
      <w:tr w:rsidR="0028427C" w14:paraId="10012A30" w14:textId="77777777" w:rsidTr="000B5D22">
        <w:tc>
          <w:tcPr>
            <w:tcW w:w="2263" w:type="dxa"/>
            <w:vAlign w:val="center"/>
          </w:tcPr>
          <w:p w14:paraId="69368831" w14:textId="2A699446" w:rsidR="0028427C" w:rsidRPr="0028427C" w:rsidRDefault="0028427C" w:rsidP="0028427C">
            <w:pPr>
              <w:spacing w:after="0"/>
              <w:jc w:val="center"/>
            </w:pPr>
            <w:r w:rsidRPr="0028427C">
              <w:t>0703030</w:t>
            </w:r>
            <w:r w:rsidR="00FC60B6">
              <w:t>*</w:t>
            </w:r>
          </w:p>
        </w:tc>
        <w:tc>
          <w:tcPr>
            <w:tcW w:w="3402" w:type="dxa"/>
            <w:vAlign w:val="center"/>
          </w:tcPr>
          <w:p w14:paraId="6C13B6C9" w14:textId="1F956AD8" w:rsidR="0028427C" w:rsidRDefault="0028427C" w:rsidP="0028427C">
            <w:pPr>
              <w:spacing w:after="0"/>
              <w:jc w:val="center"/>
            </w:pPr>
            <w:r>
              <w:t>Jelly</w:t>
            </w:r>
          </w:p>
        </w:tc>
        <w:tc>
          <w:tcPr>
            <w:tcW w:w="3963" w:type="dxa"/>
            <w:vAlign w:val="center"/>
          </w:tcPr>
          <w:p w14:paraId="4B5827F1" w14:textId="77777777" w:rsidR="0028427C" w:rsidRDefault="0028427C" w:rsidP="0028427C">
            <w:pPr>
              <w:spacing w:after="0"/>
              <w:jc w:val="center"/>
            </w:pPr>
          </w:p>
        </w:tc>
      </w:tr>
    </w:tbl>
    <w:p w14:paraId="48D983F5" w14:textId="77777777" w:rsidR="0028427C" w:rsidRDefault="0028427C" w:rsidP="006A4CA8"/>
    <w:p w14:paraId="57F5E68C" w14:textId="0CCE28BC" w:rsidR="00FC60B6" w:rsidRDefault="002D4DFB" w:rsidP="006A4CA8">
      <w:r>
        <w:t xml:space="preserve">Due to inherent differences in prescribing frequencies between contraceptive methods, a standardised metric </w:t>
      </w:r>
      <w:r>
        <w:rPr>
          <w:i/>
          <w:iCs/>
        </w:rPr>
        <w:t>months of contraceptive coverage</w:t>
      </w:r>
      <w:r>
        <w:t xml:space="preserve"> was calculated:</w:t>
      </w:r>
    </w:p>
    <w:p w14:paraId="36FD3C6E" w14:textId="3D08A685" w:rsidR="002D4DFB" w:rsidRPr="002D4DFB" w:rsidRDefault="002D4DFB" w:rsidP="006A4CA8">
      <w:pPr>
        <w:rPr>
          <w:i/>
          <w:iCs/>
        </w:rPr>
      </w:pPr>
      <w:r w:rsidRPr="002D4DFB">
        <w:rPr>
          <w:i/>
          <w:iCs/>
        </w:rPr>
        <w:t>Months of contraceptive coverage = (Quantity of items dispensed / Item pack size) * Duration of contraception</w:t>
      </w:r>
    </w:p>
    <w:p w14:paraId="15EF826A" w14:textId="40EC7E9F" w:rsidR="002D4DFB" w:rsidRPr="002D4DFB" w:rsidRDefault="002D4DFB" w:rsidP="002D4DFB">
      <w:r>
        <w:t xml:space="preserve">For example, an IUD with a </w:t>
      </w:r>
      <w:r w:rsidR="00D6690B">
        <w:t>five-year</w:t>
      </w:r>
      <w:r>
        <w:t xml:space="preserve"> lifespan provides 60 months of contraceptive coverage (1/1 * 60), whereas a </w:t>
      </w:r>
      <w:r w:rsidR="00D6690B">
        <w:t>six</w:t>
      </w:r>
      <w:r>
        <w:t>-month prescription of a short-acting COCP provides 6 months of contraceptive coverage (126/21 * 1) despite 126 items being dispensed.</w:t>
      </w:r>
    </w:p>
    <w:p w14:paraId="65AC009A" w14:textId="78501408" w:rsidR="007B0366" w:rsidRPr="007B0366" w:rsidRDefault="007B0366" w:rsidP="007B0366">
      <w:pPr>
        <w:pStyle w:val="Heading2"/>
      </w:pPr>
      <w:r w:rsidRPr="007B0366">
        <w:lastRenderedPageBreak/>
        <w:t>Patient and public involvement</w:t>
      </w:r>
    </w:p>
    <w:p w14:paraId="7A3746BE" w14:textId="129FF608" w:rsidR="006A4CA8" w:rsidRPr="007B0366" w:rsidRDefault="007B0366" w:rsidP="007B0366">
      <w:r w:rsidRPr="007B0366">
        <w:t>There was no public or patient involvement in this study.</w:t>
      </w:r>
      <w:r w:rsidR="006A4CA8" w:rsidRPr="007B0366">
        <w:br w:type="page"/>
      </w:r>
    </w:p>
    <w:p w14:paraId="1A37B1F0" w14:textId="09DCEE39" w:rsidR="006A4CA8" w:rsidRDefault="006A4CA8" w:rsidP="006A4CA8">
      <w:pPr>
        <w:pStyle w:val="Heading1"/>
      </w:pPr>
      <w:r w:rsidRPr="007B0366">
        <w:lastRenderedPageBreak/>
        <w:t>Results</w:t>
      </w:r>
    </w:p>
    <w:p w14:paraId="2AD5CF54" w14:textId="7544206A" w:rsidR="009E4C40" w:rsidRPr="009D3B6A" w:rsidRDefault="009D3B6A" w:rsidP="000B5D22">
      <w:r>
        <w:t>Prescribing of contraceptives decreased</w:t>
      </w:r>
      <w:r w:rsidR="009E4C40">
        <w:t xml:space="preserve">. </w:t>
      </w:r>
    </w:p>
    <w:p w14:paraId="6BD5B227" w14:textId="57B48D37" w:rsidR="001F071B" w:rsidRDefault="001F071B" w:rsidP="006A4CA8">
      <w:r>
        <w:t>During the Covid-19 pandemic in Scotland, the relative proportion of contraception requiring skilled medical intervention (</w:t>
      </w:r>
      <w:proofErr w:type="gramStart"/>
      <w:r>
        <w:t>e.g.</w:t>
      </w:r>
      <w:proofErr w:type="gramEnd"/>
      <w:r>
        <w:t xml:space="preserve"> IUD or IUS insertion, implants) or monitoring (e.g. COCP) decreased; conversely, other forms of contraception e.g. patches, and notably the POP increased.</w:t>
      </w:r>
    </w:p>
    <w:p w14:paraId="70D4D2E9" w14:textId="01DB2A36" w:rsidR="001F071B" w:rsidRDefault="00EF45E8" w:rsidP="006A4CA8">
      <w:r>
        <w:rPr>
          <w:noProof/>
        </w:rPr>
        <w:drawing>
          <wp:inline distT="0" distB="0" distL="0" distR="0" wp14:anchorId="4FEF0BE5" wp14:editId="6DB20578">
            <wp:extent cx="5080000" cy="5080000"/>
            <wp:effectExtent l="0" t="0" r="0" b="0"/>
            <wp:docPr id="105561126" name="Picture 1" descr="A picture containing diagram, text, line,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61126" name="Picture 1" descr="A picture containing diagram, text, line, technical drawing&#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80000" cy="5080000"/>
                    </a:xfrm>
                    <a:prstGeom prst="rect">
                      <a:avLst/>
                    </a:prstGeom>
                  </pic:spPr>
                </pic:pic>
              </a:graphicData>
            </a:graphic>
          </wp:inline>
        </w:drawing>
      </w:r>
    </w:p>
    <w:p w14:paraId="7AB44775" w14:textId="77777777" w:rsidR="001F071B" w:rsidRDefault="001F071B" w:rsidP="001F071B">
      <w:pPr>
        <w:pStyle w:val="NoSpacing"/>
      </w:pPr>
      <w:r>
        <w:t>Figure 1. Line graph showing trends.</w:t>
      </w:r>
    </w:p>
    <w:p w14:paraId="72EF8BC5" w14:textId="13B0F863" w:rsidR="009E4C40" w:rsidRDefault="009E4C40" w:rsidP="006A4CA8">
      <w:r>
        <w:t>Additionally, the types of oral contraceptive prescribed changed radically</w:t>
      </w:r>
      <w:r w:rsidR="00407A83">
        <w:t xml:space="preserve">. Pre-Covid-19 the median shows slightly more POPs were dispensed than COCPs. However, during Covid-19, COCP dispensing decreased by approximately 40,000 months of contraception per month in </w:t>
      </w:r>
      <w:proofErr w:type="gramStart"/>
      <w:r w:rsidR="00407A83">
        <w:t>Scotland, and</w:t>
      </w:r>
      <w:proofErr w:type="gramEnd"/>
      <w:r w:rsidR="00407A83">
        <w:t xml:space="preserve"> has yet to regain its previous prevalence. Interestingly, the median months of contraception dispensed per month for POPs only increase by around 15,000, resulting in a discrepancy between pre-Covid-19 figures.</w:t>
      </w:r>
    </w:p>
    <w:p w14:paraId="7BABAD70" w14:textId="01BF4BD3" w:rsidR="006A4CA8" w:rsidRPr="007B0366" w:rsidRDefault="006A4CA8" w:rsidP="006A4CA8">
      <w:r w:rsidRPr="007B0366">
        <w:br w:type="page"/>
      </w:r>
    </w:p>
    <w:p w14:paraId="5CA6075D" w14:textId="77777777" w:rsidR="007B0366" w:rsidRPr="007B0366" w:rsidRDefault="006A4CA8" w:rsidP="007B0366">
      <w:pPr>
        <w:pStyle w:val="Heading1"/>
      </w:pPr>
      <w:r w:rsidRPr="007B0366">
        <w:lastRenderedPageBreak/>
        <w:t>Discussion</w:t>
      </w:r>
    </w:p>
    <w:p w14:paraId="7C8C48D6" w14:textId="77777777" w:rsidR="007B0366" w:rsidRDefault="007B0366" w:rsidP="007B0366">
      <w:pPr>
        <w:pStyle w:val="Heading2"/>
      </w:pPr>
      <w:r w:rsidRPr="007B0366">
        <w:t>Limitations</w:t>
      </w:r>
    </w:p>
    <w:p w14:paraId="38924A0B" w14:textId="40C821DA" w:rsidR="00951B8F" w:rsidRPr="00951B8F" w:rsidRDefault="00951B8F" w:rsidP="00951B8F">
      <w:r>
        <w:t xml:space="preserve">This study is aggregated data across Scotland, a mixed effects model using may </w:t>
      </w:r>
      <w:r w:rsidR="009A796B">
        <w:t>help to eliminate random effects by HB, GP practice etc</w:t>
      </w:r>
      <w:r w:rsidR="0028101C">
        <w:t>; socioeconomic effects.</w:t>
      </w:r>
    </w:p>
    <w:p w14:paraId="4E0CA74E" w14:textId="45E1C64C" w:rsidR="006A4CA8" w:rsidRPr="007B0366" w:rsidRDefault="007B0366" w:rsidP="007B0366">
      <w:pPr>
        <w:pStyle w:val="Heading2"/>
      </w:pPr>
      <w:r w:rsidRPr="007B0366">
        <w:t>Conclusions</w:t>
      </w:r>
      <w:r w:rsidRPr="007B0366">
        <w:br w:type="page"/>
      </w:r>
    </w:p>
    <w:p w14:paraId="3AE7EE8F" w14:textId="6E2BC197" w:rsidR="007B0366" w:rsidRPr="007B0366" w:rsidRDefault="007B0366" w:rsidP="007B0366">
      <w:pPr>
        <w:pStyle w:val="Heading1"/>
      </w:pPr>
      <w:r w:rsidRPr="007B0366">
        <w:lastRenderedPageBreak/>
        <w:t>Abbreviations</w:t>
      </w:r>
    </w:p>
    <w:p w14:paraId="6EB7AF66" w14:textId="77B34553" w:rsidR="007B0366" w:rsidRPr="007B0366" w:rsidRDefault="007B0366" w:rsidP="007B0366">
      <w:pPr>
        <w:pStyle w:val="ListParagraph"/>
        <w:numPr>
          <w:ilvl w:val="0"/>
          <w:numId w:val="1"/>
        </w:numPr>
      </w:pPr>
      <w:r w:rsidRPr="007B0366">
        <w:t>EC: Emergency contraception</w:t>
      </w:r>
    </w:p>
    <w:p w14:paraId="17D0D8E3" w14:textId="76547DA4" w:rsidR="007B0366" w:rsidRPr="007B0366" w:rsidRDefault="007B0366" w:rsidP="007B0366">
      <w:pPr>
        <w:pStyle w:val="ListParagraph"/>
        <w:numPr>
          <w:ilvl w:val="0"/>
          <w:numId w:val="1"/>
        </w:numPr>
      </w:pPr>
      <w:r w:rsidRPr="007B0366">
        <w:t>LARC: Long-acting reversible contraception</w:t>
      </w:r>
    </w:p>
    <w:p w14:paraId="3D32A6A5" w14:textId="212789FF" w:rsidR="007B0366" w:rsidRPr="007B0366" w:rsidRDefault="007B0366" w:rsidP="007B0366">
      <w:pPr>
        <w:pStyle w:val="ListParagraph"/>
        <w:numPr>
          <w:ilvl w:val="0"/>
          <w:numId w:val="1"/>
        </w:numPr>
      </w:pPr>
      <w:r w:rsidRPr="007B0366">
        <w:t>OC: Oral contraception</w:t>
      </w:r>
    </w:p>
    <w:p w14:paraId="24A52144" w14:textId="6DD5C6A5" w:rsidR="007B0366" w:rsidRPr="007B0366" w:rsidRDefault="007B0366" w:rsidP="006A4CA8">
      <w:pPr>
        <w:pStyle w:val="Heading1"/>
      </w:pPr>
      <w:r w:rsidRPr="007B0366">
        <w:t>Availability of data and code</w:t>
      </w:r>
    </w:p>
    <w:p w14:paraId="6F6949BA" w14:textId="154574F9" w:rsidR="007B0366" w:rsidRPr="007B0366" w:rsidRDefault="007B0366" w:rsidP="007B0366">
      <w:r w:rsidRPr="007B0366">
        <w:t xml:space="preserve">Data are freely available from NHS Scotland Open Data repository at [https://www.opendata.nhs.scot/dataset/prescriptions-in-the-community]. The full code used for analysis here is available in the supplementary material, </w:t>
      </w:r>
      <w:proofErr w:type="gramStart"/>
      <w:r w:rsidRPr="007B0366">
        <w:t>and also</w:t>
      </w:r>
      <w:proofErr w:type="gramEnd"/>
      <w:r w:rsidRPr="007B0366">
        <w:t xml:space="preserve"> on GitHub at.</w:t>
      </w:r>
    </w:p>
    <w:p w14:paraId="58AE7787" w14:textId="523C53D7" w:rsidR="006A4CA8" w:rsidRPr="007B0366" w:rsidRDefault="006A4CA8" w:rsidP="006A4CA8">
      <w:pPr>
        <w:pStyle w:val="Heading1"/>
      </w:pPr>
      <w:r w:rsidRPr="007B0366">
        <w:t>Declaration of interest</w:t>
      </w:r>
    </w:p>
    <w:p w14:paraId="185624B8" w14:textId="75360B40" w:rsidR="006A4CA8" w:rsidRPr="007B0366" w:rsidRDefault="006A4CA8" w:rsidP="006A4CA8">
      <w:r w:rsidRPr="007B0366">
        <w:t>There are no conflicts of interest that could be perceived as prejudicing the impartiality of the research reported here.</w:t>
      </w:r>
    </w:p>
    <w:p w14:paraId="069E4BA0" w14:textId="77777777" w:rsidR="006A4CA8" w:rsidRPr="007B0366" w:rsidRDefault="006A4CA8" w:rsidP="006A4CA8">
      <w:pPr>
        <w:pStyle w:val="Heading1"/>
      </w:pPr>
      <w:r w:rsidRPr="007B0366">
        <w:t>Funding</w:t>
      </w:r>
    </w:p>
    <w:p w14:paraId="6EFA3582" w14:textId="540C5103" w:rsidR="006A4CA8" w:rsidRPr="007B0366" w:rsidRDefault="006A4CA8" w:rsidP="006A4CA8">
      <w:r w:rsidRPr="007B0366">
        <w:t>This research did not receive any specific grant from any funding agency in the public, commercial or not-for-profit sector.</w:t>
      </w:r>
    </w:p>
    <w:p w14:paraId="58068DF4" w14:textId="77777777" w:rsidR="006A4CA8" w:rsidRPr="007B0366" w:rsidRDefault="006A4CA8" w:rsidP="006A4CA8">
      <w:pPr>
        <w:pStyle w:val="Heading1"/>
      </w:pPr>
      <w:r w:rsidRPr="007B0366">
        <w:t>Contributions</w:t>
      </w:r>
    </w:p>
    <w:p w14:paraId="6EE7D88F" w14:textId="5B17EABC" w:rsidR="006A4CA8" w:rsidRPr="007B0366" w:rsidRDefault="006A4CA8" w:rsidP="006A4CA8">
      <w:r w:rsidRPr="007B0366">
        <w:t>EJH is the sole author of this research and performed all analysis and drafting of the manuscript.</w:t>
      </w:r>
    </w:p>
    <w:p w14:paraId="57B85CEA" w14:textId="3761E578" w:rsidR="006A4CA8" w:rsidRPr="007B0366" w:rsidRDefault="006A4CA8" w:rsidP="007B0366">
      <w:pPr>
        <w:pStyle w:val="Heading1"/>
      </w:pPr>
      <w:r w:rsidRPr="007B0366">
        <w:t>Acknowledgements</w:t>
      </w:r>
      <w:r w:rsidRPr="007B0366">
        <w:br w:type="page"/>
      </w:r>
    </w:p>
    <w:p w14:paraId="2D96A82C" w14:textId="57DE0B6E" w:rsidR="006A4CA8" w:rsidRPr="007B0366" w:rsidRDefault="006A4CA8" w:rsidP="007B0366">
      <w:pPr>
        <w:pStyle w:val="Heading1"/>
      </w:pPr>
      <w:r w:rsidRPr="007B0366">
        <w:lastRenderedPageBreak/>
        <w:t>References</w:t>
      </w:r>
    </w:p>
    <w:p w14:paraId="5B712C83" w14:textId="77777777" w:rsidR="000B5D22" w:rsidRPr="000B5D22" w:rsidRDefault="007B0366" w:rsidP="000B5D22">
      <w:pPr>
        <w:pStyle w:val="Bibliography"/>
        <w:rPr>
          <w:rFonts w:hAnsiTheme="minorHAnsi"/>
        </w:rPr>
      </w:pPr>
      <w:r w:rsidRPr="007B0366">
        <w:fldChar w:fldCharType="begin"/>
      </w:r>
      <w:r w:rsidRPr="007B0366">
        <w:instrText xml:space="preserve"> ADDIN ZOTERO_BIBL {"uncited":[],"omitted":[],"custom":[]} CSL_BIBLIOGRAPHY </w:instrText>
      </w:r>
      <w:r w:rsidRPr="007B0366">
        <w:fldChar w:fldCharType="separate"/>
      </w:r>
      <w:r w:rsidR="000B5D22" w:rsidRPr="000B5D22">
        <w:rPr>
          <w:rFonts w:hAnsiTheme="minorHAnsi"/>
        </w:rPr>
        <w:t xml:space="preserve">R Core Team (2021) </w:t>
      </w:r>
      <w:r w:rsidR="000B5D22" w:rsidRPr="000B5D22">
        <w:rPr>
          <w:rFonts w:hAnsiTheme="minorHAnsi"/>
        </w:rPr>
        <w:t>‘</w:t>
      </w:r>
      <w:r w:rsidR="000B5D22" w:rsidRPr="000B5D22">
        <w:rPr>
          <w:rFonts w:hAnsiTheme="minorHAnsi"/>
        </w:rPr>
        <w:t>R: A language and environment for statistical ##   computing.</w:t>
      </w:r>
      <w:r w:rsidR="000B5D22" w:rsidRPr="000B5D22">
        <w:rPr>
          <w:rFonts w:hAnsiTheme="minorHAnsi"/>
        </w:rPr>
        <w:t>’</w:t>
      </w:r>
      <w:r w:rsidR="000B5D22" w:rsidRPr="000B5D22">
        <w:rPr>
          <w:rFonts w:hAnsiTheme="minorHAnsi"/>
        </w:rPr>
        <w:t xml:space="preserve"> Vienna, Austria: R Foundation for Statistical Computing. Available at: https://www.R-project.org/.</w:t>
      </w:r>
    </w:p>
    <w:p w14:paraId="1FC59567" w14:textId="77777777" w:rsidR="000B5D22" w:rsidRPr="000B5D22" w:rsidRDefault="000B5D22" w:rsidP="000B5D22">
      <w:pPr>
        <w:pStyle w:val="Bibliography"/>
        <w:rPr>
          <w:rFonts w:hAnsiTheme="minorHAnsi"/>
        </w:rPr>
      </w:pPr>
      <w:r w:rsidRPr="000B5D22">
        <w:rPr>
          <w:rFonts w:hAnsiTheme="minorHAnsi"/>
        </w:rPr>
        <w:t xml:space="preserve">Walker, S.H. (2022) </w:t>
      </w:r>
      <w:r w:rsidRPr="000B5D22">
        <w:rPr>
          <w:rFonts w:hAnsiTheme="minorHAnsi"/>
        </w:rPr>
        <w:t>‘</w:t>
      </w:r>
      <w:r w:rsidRPr="000B5D22">
        <w:rPr>
          <w:rFonts w:hAnsiTheme="minorHAnsi"/>
        </w:rPr>
        <w:t>Effect of the COVID-19 pandemic on contraceptive prescribing in general practice: a retrospective analysis of English prescribing data between 2019 and 2020</w:t>
      </w:r>
      <w:r w:rsidRPr="000B5D22">
        <w:rPr>
          <w:rFonts w:hAnsiTheme="minorHAnsi"/>
        </w:rPr>
        <w:t>’</w:t>
      </w:r>
      <w:r w:rsidRPr="000B5D22">
        <w:rPr>
          <w:rFonts w:hAnsiTheme="minorHAnsi"/>
        </w:rPr>
        <w:t xml:space="preserve">, </w:t>
      </w:r>
      <w:r w:rsidRPr="000B5D22">
        <w:rPr>
          <w:rFonts w:hAnsiTheme="minorHAnsi"/>
          <w:i/>
          <w:iCs/>
        </w:rPr>
        <w:t>Contraception and Reproductive Medicine</w:t>
      </w:r>
      <w:r w:rsidRPr="000B5D22">
        <w:rPr>
          <w:rFonts w:hAnsiTheme="minorHAnsi"/>
        </w:rPr>
        <w:t>, 7(1), p. 3. Available at: https://doi.org/10.1186/s40834-022-00169-w.</w:t>
      </w:r>
    </w:p>
    <w:p w14:paraId="3C59CAB5" w14:textId="7AC6E4DE" w:rsidR="00F85E22" w:rsidRDefault="007B0366" w:rsidP="00D6690B">
      <w:r w:rsidRPr="007B0366">
        <w:fldChar w:fldCharType="end"/>
      </w:r>
      <w:r w:rsidR="00F85E22">
        <w:br w:type="page"/>
      </w:r>
    </w:p>
    <w:p w14:paraId="76D39920" w14:textId="122E34B1" w:rsidR="007B0366" w:rsidRDefault="00F85E22" w:rsidP="00F85E22">
      <w:pPr>
        <w:pStyle w:val="Heading1"/>
      </w:pPr>
      <w:r>
        <w:lastRenderedPageBreak/>
        <w:t>Supplementary materials</w:t>
      </w:r>
    </w:p>
    <w:p w14:paraId="5A358D61" w14:textId="5953351B" w:rsidR="00F85E22" w:rsidRPr="00F85E22" w:rsidRDefault="00F85E22" w:rsidP="00F85E22">
      <w:r>
        <w:t>1 – R script used for analysis.</w:t>
      </w:r>
    </w:p>
    <w:sectPr w:rsidR="00F85E22" w:rsidRPr="00F85E22" w:rsidSect="00897FA5">
      <w:footerReference w:type="even" r:id="rId9"/>
      <w:footerReference w:type="default" r:id="rId10"/>
      <w:pgSz w:w="11906" w:h="16838"/>
      <w:pgMar w:top="1134" w:right="1134" w:bottom="1134" w:left="1134"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91AE6" w14:textId="77777777" w:rsidR="00421FB9" w:rsidRDefault="00421FB9" w:rsidP="00897FA5">
      <w:pPr>
        <w:spacing w:after="0" w:line="240" w:lineRule="auto"/>
      </w:pPr>
      <w:r>
        <w:separator/>
      </w:r>
    </w:p>
  </w:endnote>
  <w:endnote w:type="continuationSeparator" w:id="0">
    <w:p w14:paraId="0377004D" w14:textId="77777777" w:rsidR="00421FB9" w:rsidRDefault="00421FB9" w:rsidP="00897F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16239629"/>
      <w:docPartObj>
        <w:docPartGallery w:val="Page Numbers (Bottom of Page)"/>
        <w:docPartUnique/>
      </w:docPartObj>
    </w:sdtPr>
    <w:sdtContent>
      <w:p w14:paraId="2CAF5AC4" w14:textId="6F317435" w:rsidR="00897FA5" w:rsidRDefault="00897FA5" w:rsidP="002E42B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17734E" w14:textId="77777777" w:rsidR="00897FA5" w:rsidRDefault="00897F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77513543"/>
      <w:docPartObj>
        <w:docPartGallery w:val="Page Numbers (Bottom of Page)"/>
        <w:docPartUnique/>
      </w:docPartObj>
    </w:sdtPr>
    <w:sdtContent>
      <w:p w14:paraId="45051CD0" w14:textId="2E56E801" w:rsidR="00897FA5" w:rsidRDefault="00897FA5" w:rsidP="002E42B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D1D3848" w14:textId="77777777" w:rsidR="00897FA5" w:rsidRDefault="00897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693E8" w14:textId="77777777" w:rsidR="00421FB9" w:rsidRDefault="00421FB9" w:rsidP="00897FA5">
      <w:pPr>
        <w:spacing w:after="0" w:line="240" w:lineRule="auto"/>
      </w:pPr>
      <w:r>
        <w:separator/>
      </w:r>
    </w:p>
  </w:footnote>
  <w:footnote w:type="continuationSeparator" w:id="0">
    <w:p w14:paraId="1636523A" w14:textId="77777777" w:rsidR="00421FB9" w:rsidRDefault="00421FB9" w:rsidP="00897F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B1535"/>
    <w:multiLevelType w:val="hybridMultilevel"/>
    <w:tmpl w:val="818EA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15513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CA8"/>
    <w:rsid w:val="0004457C"/>
    <w:rsid w:val="000A0776"/>
    <w:rsid w:val="000A5A94"/>
    <w:rsid w:val="000B169A"/>
    <w:rsid w:val="000B5D22"/>
    <w:rsid w:val="001169E0"/>
    <w:rsid w:val="00123410"/>
    <w:rsid w:val="00125AD1"/>
    <w:rsid w:val="001461BC"/>
    <w:rsid w:val="0017517A"/>
    <w:rsid w:val="00184779"/>
    <w:rsid w:val="001956A4"/>
    <w:rsid w:val="00195A5E"/>
    <w:rsid w:val="001A3405"/>
    <w:rsid w:val="001B49F9"/>
    <w:rsid w:val="001C0ACC"/>
    <w:rsid w:val="001C5C02"/>
    <w:rsid w:val="001F071B"/>
    <w:rsid w:val="0020122A"/>
    <w:rsid w:val="00273337"/>
    <w:rsid w:val="0027625A"/>
    <w:rsid w:val="0028101C"/>
    <w:rsid w:val="0028427C"/>
    <w:rsid w:val="00287473"/>
    <w:rsid w:val="002A3C73"/>
    <w:rsid w:val="002B27A7"/>
    <w:rsid w:val="002C1E8A"/>
    <w:rsid w:val="002C5F9E"/>
    <w:rsid w:val="002D0021"/>
    <w:rsid w:val="002D4DFB"/>
    <w:rsid w:val="002F0A22"/>
    <w:rsid w:val="0030653F"/>
    <w:rsid w:val="00326153"/>
    <w:rsid w:val="00364AA7"/>
    <w:rsid w:val="00376A8D"/>
    <w:rsid w:val="003B3242"/>
    <w:rsid w:val="003E62F6"/>
    <w:rsid w:val="00401A4D"/>
    <w:rsid w:val="00407A83"/>
    <w:rsid w:val="00416D22"/>
    <w:rsid w:val="00421FB9"/>
    <w:rsid w:val="004329E1"/>
    <w:rsid w:val="004422E8"/>
    <w:rsid w:val="00447236"/>
    <w:rsid w:val="00447934"/>
    <w:rsid w:val="00492CA6"/>
    <w:rsid w:val="004936D9"/>
    <w:rsid w:val="004A3131"/>
    <w:rsid w:val="004B41DC"/>
    <w:rsid w:val="004F0BE3"/>
    <w:rsid w:val="005258E9"/>
    <w:rsid w:val="00527F2A"/>
    <w:rsid w:val="00554AE6"/>
    <w:rsid w:val="005659B1"/>
    <w:rsid w:val="005851AC"/>
    <w:rsid w:val="00596AA5"/>
    <w:rsid w:val="00612A55"/>
    <w:rsid w:val="00615A2A"/>
    <w:rsid w:val="006549DD"/>
    <w:rsid w:val="00667891"/>
    <w:rsid w:val="00675C13"/>
    <w:rsid w:val="006A4CA8"/>
    <w:rsid w:val="006B5276"/>
    <w:rsid w:val="006D1877"/>
    <w:rsid w:val="006E3BD3"/>
    <w:rsid w:val="006E6631"/>
    <w:rsid w:val="006F2467"/>
    <w:rsid w:val="006F4818"/>
    <w:rsid w:val="00723942"/>
    <w:rsid w:val="00737C86"/>
    <w:rsid w:val="00737EDF"/>
    <w:rsid w:val="00757E17"/>
    <w:rsid w:val="00782143"/>
    <w:rsid w:val="007B0366"/>
    <w:rsid w:val="00800FD3"/>
    <w:rsid w:val="00803046"/>
    <w:rsid w:val="0083136A"/>
    <w:rsid w:val="008419A2"/>
    <w:rsid w:val="00861BBF"/>
    <w:rsid w:val="00897FA5"/>
    <w:rsid w:val="008B3E5D"/>
    <w:rsid w:val="008B708F"/>
    <w:rsid w:val="008C4217"/>
    <w:rsid w:val="008F07BF"/>
    <w:rsid w:val="00951B8F"/>
    <w:rsid w:val="009A796B"/>
    <w:rsid w:val="009D25C9"/>
    <w:rsid w:val="009D3B6A"/>
    <w:rsid w:val="009E4C40"/>
    <w:rsid w:val="00A5381A"/>
    <w:rsid w:val="00A54054"/>
    <w:rsid w:val="00A85B7D"/>
    <w:rsid w:val="00A94545"/>
    <w:rsid w:val="00AA4400"/>
    <w:rsid w:val="00AB6DBC"/>
    <w:rsid w:val="00B03831"/>
    <w:rsid w:val="00B47617"/>
    <w:rsid w:val="00B61E2F"/>
    <w:rsid w:val="00B737A7"/>
    <w:rsid w:val="00B74A5F"/>
    <w:rsid w:val="00B9488C"/>
    <w:rsid w:val="00BA4FB2"/>
    <w:rsid w:val="00BB72A8"/>
    <w:rsid w:val="00BC6480"/>
    <w:rsid w:val="00BD73BB"/>
    <w:rsid w:val="00BE4029"/>
    <w:rsid w:val="00C2624C"/>
    <w:rsid w:val="00C34CAE"/>
    <w:rsid w:val="00C40CAC"/>
    <w:rsid w:val="00C53D83"/>
    <w:rsid w:val="00C73A28"/>
    <w:rsid w:val="00C8617D"/>
    <w:rsid w:val="00CF358A"/>
    <w:rsid w:val="00D45334"/>
    <w:rsid w:val="00D51AEE"/>
    <w:rsid w:val="00D6690B"/>
    <w:rsid w:val="00D71C39"/>
    <w:rsid w:val="00E211D0"/>
    <w:rsid w:val="00E343A1"/>
    <w:rsid w:val="00E50F4B"/>
    <w:rsid w:val="00E53281"/>
    <w:rsid w:val="00E61237"/>
    <w:rsid w:val="00E86A9B"/>
    <w:rsid w:val="00EC79EF"/>
    <w:rsid w:val="00EF45E8"/>
    <w:rsid w:val="00EF713F"/>
    <w:rsid w:val="00F52984"/>
    <w:rsid w:val="00F64920"/>
    <w:rsid w:val="00F76E45"/>
    <w:rsid w:val="00F84B88"/>
    <w:rsid w:val="00F85E22"/>
    <w:rsid w:val="00F924E4"/>
    <w:rsid w:val="00F979A7"/>
    <w:rsid w:val="00FB44EC"/>
    <w:rsid w:val="00FB7D9D"/>
    <w:rsid w:val="00FC60B6"/>
    <w:rsid w:val="00FD796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B4F6E5A"/>
  <w15:chartTrackingRefBased/>
  <w15:docId w15:val="{7F02CD3F-6A36-0842-8340-CB77586A5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CA8"/>
    <w:pPr>
      <w:spacing w:after="240" w:line="360" w:lineRule="auto"/>
      <w:jc w:val="both"/>
    </w:pPr>
    <w:rPr>
      <w:rFonts w:asciiTheme="minorBidi" w:hAnsiTheme="minorBidi"/>
      <w:sz w:val="22"/>
      <w:szCs w:val="22"/>
    </w:rPr>
  </w:style>
  <w:style w:type="paragraph" w:styleId="Heading1">
    <w:name w:val="heading 1"/>
    <w:basedOn w:val="Normal"/>
    <w:next w:val="Normal"/>
    <w:link w:val="Heading1Char"/>
    <w:uiPriority w:val="9"/>
    <w:qFormat/>
    <w:rsid w:val="006A4CA8"/>
    <w:pPr>
      <w:outlineLvl w:val="0"/>
    </w:pPr>
    <w:rPr>
      <w:b/>
      <w:bCs/>
    </w:rPr>
  </w:style>
  <w:style w:type="paragraph" w:styleId="Heading2">
    <w:name w:val="heading 2"/>
    <w:basedOn w:val="Normal"/>
    <w:next w:val="Normal"/>
    <w:link w:val="Heading2Char"/>
    <w:uiPriority w:val="9"/>
    <w:unhideWhenUsed/>
    <w:qFormat/>
    <w:rsid w:val="007B0366"/>
    <w:pPr>
      <w:outlineLvl w:val="1"/>
    </w:pPr>
    <w:rPr>
      <w:i/>
      <w:iCs/>
    </w:rPr>
  </w:style>
  <w:style w:type="paragraph" w:styleId="Heading4">
    <w:name w:val="heading 4"/>
    <w:basedOn w:val="Normal"/>
    <w:link w:val="Heading4Char"/>
    <w:uiPriority w:val="9"/>
    <w:qFormat/>
    <w:rsid w:val="006A4CA8"/>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4CA8"/>
    <w:rPr>
      <w:color w:val="0563C1" w:themeColor="hyperlink"/>
      <w:u w:val="single"/>
    </w:rPr>
  </w:style>
  <w:style w:type="character" w:styleId="UnresolvedMention">
    <w:name w:val="Unresolved Mention"/>
    <w:basedOn w:val="DefaultParagraphFont"/>
    <w:uiPriority w:val="99"/>
    <w:semiHidden/>
    <w:unhideWhenUsed/>
    <w:rsid w:val="006A4CA8"/>
    <w:rPr>
      <w:color w:val="605E5C"/>
      <w:shd w:val="clear" w:color="auto" w:fill="E1DFDD"/>
    </w:rPr>
  </w:style>
  <w:style w:type="character" w:customStyle="1" w:styleId="Heading4Char">
    <w:name w:val="Heading 4 Char"/>
    <w:basedOn w:val="DefaultParagraphFont"/>
    <w:link w:val="Heading4"/>
    <w:uiPriority w:val="9"/>
    <w:rsid w:val="006A4CA8"/>
    <w:rPr>
      <w:rFonts w:ascii="Times New Roman" w:eastAsia="Times New Roman" w:hAnsi="Times New Roman" w:cs="Times New Roman"/>
      <w:b/>
      <w:bCs/>
      <w:kern w:val="0"/>
      <w14:ligatures w14:val="none"/>
    </w:rPr>
  </w:style>
  <w:style w:type="character" w:customStyle="1" w:styleId="Heading1Char">
    <w:name w:val="Heading 1 Char"/>
    <w:basedOn w:val="DefaultParagraphFont"/>
    <w:link w:val="Heading1"/>
    <w:uiPriority w:val="9"/>
    <w:rsid w:val="006A4CA8"/>
    <w:rPr>
      <w:rFonts w:asciiTheme="minorBidi" w:hAnsiTheme="minorBidi"/>
      <w:b/>
      <w:bCs/>
      <w:sz w:val="22"/>
      <w:szCs w:val="22"/>
    </w:rPr>
  </w:style>
  <w:style w:type="character" w:styleId="FollowedHyperlink">
    <w:name w:val="FollowedHyperlink"/>
    <w:basedOn w:val="DefaultParagraphFont"/>
    <w:uiPriority w:val="99"/>
    <w:semiHidden/>
    <w:unhideWhenUsed/>
    <w:rsid w:val="006A4CA8"/>
    <w:rPr>
      <w:color w:val="954F72" w:themeColor="followedHyperlink"/>
      <w:u w:val="single"/>
    </w:rPr>
  </w:style>
  <w:style w:type="paragraph" w:styleId="Footer">
    <w:name w:val="footer"/>
    <w:basedOn w:val="Normal"/>
    <w:link w:val="FooterChar"/>
    <w:uiPriority w:val="99"/>
    <w:unhideWhenUsed/>
    <w:rsid w:val="00897F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7FA5"/>
    <w:rPr>
      <w:rFonts w:asciiTheme="minorBidi" w:hAnsiTheme="minorBidi"/>
      <w:sz w:val="22"/>
      <w:szCs w:val="22"/>
    </w:rPr>
  </w:style>
  <w:style w:type="character" w:styleId="PageNumber">
    <w:name w:val="page number"/>
    <w:basedOn w:val="DefaultParagraphFont"/>
    <w:uiPriority w:val="99"/>
    <w:semiHidden/>
    <w:unhideWhenUsed/>
    <w:rsid w:val="00897FA5"/>
  </w:style>
  <w:style w:type="character" w:styleId="LineNumber">
    <w:name w:val="line number"/>
    <w:basedOn w:val="DefaultParagraphFont"/>
    <w:uiPriority w:val="99"/>
    <w:semiHidden/>
    <w:unhideWhenUsed/>
    <w:rsid w:val="00897FA5"/>
  </w:style>
  <w:style w:type="paragraph" w:styleId="Bibliography">
    <w:name w:val="Bibliography"/>
    <w:basedOn w:val="Normal"/>
    <w:next w:val="Normal"/>
    <w:uiPriority w:val="37"/>
    <w:unhideWhenUsed/>
    <w:rsid w:val="007B0366"/>
    <w:pPr>
      <w:spacing w:line="240" w:lineRule="auto"/>
    </w:pPr>
  </w:style>
  <w:style w:type="character" w:customStyle="1" w:styleId="Heading2Char">
    <w:name w:val="Heading 2 Char"/>
    <w:basedOn w:val="DefaultParagraphFont"/>
    <w:link w:val="Heading2"/>
    <w:uiPriority w:val="9"/>
    <w:rsid w:val="007B0366"/>
    <w:rPr>
      <w:rFonts w:asciiTheme="minorBidi" w:hAnsiTheme="minorBidi"/>
      <w:i/>
      <w:iCs/>
      <w:sz w:val="22"/>
      <w:szCs w:val="22"/>
    </w:rPr>
  </w:style>
  <w:style w:type="paragraph" w:styleId="ListParagraph">
    <w:name w:val="List Paragraph"/>
    <w:basedOn w:val="Normal"/>
    <w:uiPriority w:val="34"/>
    <w:qFormat/>
    <w:rsid w:val="007B0366"/>
    <w:pPr>
      <w:ind w:left="720"/>
      <w:contextualSpacing/>
    </w:pPr>
  </w:style>
  <w:style w:type="table" w:styleId="TableGrid">
    <w:name w:val="Table Grid"/>
    <w:basedOn w:val="TableNormal"/>
    <w:uiPriority w:val="39"/>
    <w:rsid w:val="002842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364AA7"/>
    <w:pPr>
      <w:jc w:val="center"/>
    </w:pPr>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12245">
      <w:bodyDiv w:val="1"/>
      <w:marLeft w:val="0"/>
      <w:marRight w:val="0"/>
      <w:marTop w:val="0"/>
      <w:marBottom w:val="0"/>
      <w:divBdr>
        <w:top w:val="none" w:sz="0" w:space="0" w:color="auto"/>
        <w:left w:val="none" w:sz="0" w:space="0" w:color="auto"/>
        <w:bottom w:val="none" w:sz="0" w:space="0" w:color="auto"/>
        <w:right w:val="none" w:sz="0" w:space="0" w:color="auto"/>
      </w:divBdr>
    </w:div>
    <w:div w:id="60476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BD9C3-6ADA-9F47-A088-9C1853ED5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12</Pages>
  <Words>1876</Words>
  <Characters>10696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Johnson-Hall</dc:creator>
  <cp:keywords/>
  <dc:description/>
  <cp:lastModifiedBy>Elliot Johnson-Hall</cp:lastModifiedBy>
  <cp:revision>11</cp:revision>
  <dcterms:created xsi:type="dcterms:W3CDTF">2023-05-05T19:06:00Z</dcterms:created>
  <dcterms:modified xsi:type="dcterms:W3CDTF">2023-05-15T13:09:00Z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id="EYfaMXVc"/&gt;&lt;style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