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948A5" w14:textId="77777777" w:rsidR="001B7F8C" w:rsidRDefault="001B7F8C" w:rsidP="001B7F8C">
      <w:pPr>
        <w:pStyle w:val="FirstParagraph"/>
      </w:pPr>
      <w:r>
        <w:t>Walker (2022) revealed changes in prescribing contraception in English general practices between 2019 and 2020 due to the SARS-CoV-2 pandemic and associated restrictions. Here, it will be examined if this is the case in Scotland as well. This study examines changes in contraception prescribed by general practices in Scotland from January 2016 to January 2023.</w:t>
      </w:r>
    </w:p>
    <w:p w14:paraId="0764AE4C" w14:textId="77777777" w:rsidR="001B7F8C" w:rsidRDefault="001B7F8C" w:rsidP="001B7F8C">
      <w:pPr>
        <w:pStyle w:val="BodyText"/>
      </w:pPr>
      <w:r>
        <w:t>One limitation of Walker’s (2022) study is comparing just three months of prescribing data in 2019 and 2020. Here, a much longer timeframe is used, with data from January 2016 to January 2023.</w:t>
      </w:r>
    </w:p>
    <w:p w14:paraId="3DB3111A" w14:textId="31DAD293" w:rsidR="00951A45" w:rsidRDefault="00A02D7A" w:rsidP="001B7F8C">
      <w:pPr>
        <w:pStyle w:val="BodyText"/>
        <w:rPr>
          <w:lang w:eastAsia="ko-KR"/>
        </w:rPr>
      </w:pPr>
      <w:r>
        <w:rPr>
          <w:lang w:eastAsia="ko-KR"/>
        </w:rPr>
        <w:t>To the best of the author’s knowledge, no retrospective long-term analysis has been conducted to assess the impacts of restrictions due to COVID-19 on access to reproductive healthcare in the UK.</w:t>
      </w:r>
    </w:p>
    <w:p w14:paraId="70F7B20D" w14:textId="77777777" w:rsidR="00355E4F" w:rsidRDefault="00355E4F">
      <w:pPr>
        <w:rPr>
          <w:rFonts w:ascii="Helvetica" w:eastAsiaTheme="minorHAnsi" w:hAnsi="Helvetica"/>
          <w:kern w:val="0"/>
          <w:lang w:val="en-US" w:eastAsia="ko-KR"/>
          <w14:ligatures w14:val="none"/>
        </w:rPr>
        <w:sectPr w:rsidR="00355E4F">
          <w:pgSz w:w="11906" w:h="16838"/>
          <w:pgMar w:top="1440" w:right="1440" w:bottom="1440" w:left="1440" w:header="708" w:footer="708" w:gutter="0"/>
          <w:cols w:space="708"/>
          <w:docGrid w:linePitch="360"/>
        </w:sectPr>
      </w:pPr>
    </w:p>
    <w:p w14:paraId="32CD12D1" w14:textId="43641147" w:rsidR="00951A45" w:rsidRDefault="00951A45">
      <w:pPr>
        <w:rPr>
          <w:rFonts w:ascii="Helvetica" w:eastAsiaTheme="minorHAnsi" w:hAnsi="Helvetica"/>
          <w:kern w:val="0"/>
          <w:lang w:val="en-US" w:eastAsia="ko-KR"/>
          <w14:ligatures w14:val="none"/>
        </w:rPr>
      </w:pPr>
    </w:p>
    <w:p w14:paraId="0057A55C" w14:textId="77777777" w:rsidR="00951A45" w:rsidRDefault="00951A45" w:rsidP="00951A45">
      <w:pPr>
        <w:pStyle w:val="BodyText"/>
      </w:pPr>
      <w:proofErr w:type="spellStart"/>
      <w:r>
        <w:t>Normalised</w:t>
      </w:r>
      <w:proofErr w:type="spellEnd"/>
      <w:r>
        <w:t xml:space="preserve"> to Pre-COVID-19 levels = 100%.</w:t>
      </w:r>
    </w:p>
    <w:tbl>
      <w:tblPr>
        <w:tblStyle w:val="Table"/>
        <w:tblW w:w="5000" w:type="pct"/>
        <w:jc w:val="center"/>
        <w:tblCellMar>
          <w:left w:w="60" w:type="dxa"/>
          <w:right w:w="60" w:type="dxa"/>
        </w:tblCellMar>
        <w:tblLook w:val="0000" w:firstRow="0" w:lastRow="0" w:firstColumn="0" w:lastColumn="0" w:noHBand="0" w:noVBand="0"/>
      </w:tblPr>
      <w:tblGrid>
        <w:gridCol w:w="1543"/>
        <w:gridCol w:w="894"/>
        <w:gridCol w:w="933"/>
        <w:gridCol w:w="817"/>
        <w:gridCol w:w="852"/>
        <w:gridCol w:w="944"/>
        <w:gridCol w:w="824"/>
        <w:gridCol w:w="817"/>
        <w:gridCol w:w="933"/>
        <w:gridCol w:w="962"/>
        <w:gridCol w:w="933"/>
        <w:gridCol w:w="817"/>
        <w:gridCol w:w="939"/>
        <w:gridCol w:w="933"/>
        <w:gridCol w:w="817"/>
      </w:tblGrid>
      <w:tr w:rsidR="00951A45" w14:paraId="33A93763" w14:textId="77777777" w:rsidTr="00AD46D9">
        <w:trPr>
          <w:cantSplit/>
          <w:tblHeader/>
          <w:jc w:val="center"/>
        </w:trPr>
        <w:tc>
          <w:tcPr>
            <w:tcW w:w="0" w:type="auto"/>
            <w:tcBorders>
              <w:top w:val="single" w:sz="16" w:space="0" w:color="D3D3D3"/>
              <w:left w:val="single" w:sz="0" w:space="0" w:color="D3D3D3"/>
            </w:tcBorders>
          </w:tcPr>
          <w:p w14:paraId="3D6F6E33" w14:textId="77777777" w:rsidR="00951A45" w:rsidRDefault="00951A45" w:rsidP="00AD46D9">
            <w:pPr>
              <w:keepNext/>
              <w:spacing w:after="60"/>
            </w:pPr>
          </w:p>
        </w:tc>
        <w:tc>
          <w:tcPr>
            <w:tcW w:w="0" w:type="auto"/>
            <w:gridSpan w:val="5"/>
            <w:tcBorders>
              <w:top w:val="single" w:sz="16" w:space="0" w:color="D3D3D3"/>
              <w:bottom w:val="single" w:sz="16" w:space="0" w:color="D3D3D3"/>
            </w:tcBorders>
          </w:tcPr>
          <w:p w14:paraId="76E361B5" w14:textId="77777777" w:rsidR="00951A45" w:rsidRDefault="00951A45" w:rsidP="00AD46D9">
            <w:pPr>
              <w:keepNext/>
              <w:spacing w:after="60"/>
              <w:jc w:val="center"/>
            </w:pPr>
            <w:r>
              <w:rPr>
                <w:rFonts w:ascii="Calibri" w:hAnsi="Calibri"/>
                <w:sz w:val="20"/>
              </w:rPr>
              <w:t>LARCs</w:t>
            </w:r>
          </w:p>
        </w:tc>
        <w:tc>
          <w:tcPr>
            <w:tcW w:w="0" w:type="auto"/>
            <w:gridSpan w:val="3"/>
            <w:tcBorders>
              <w:top w:val="single" w:sz="16" w:space="0" w:color="D3D3D3"/>
              <w:bottom w:val="single" w:sz="16" w:space="0" w:color="D3D3D3"/>
            </w:tcBorders>
          </w:tcPr>
          <w:p w14:paraId="0C285A6A" w14:textId="77777777" w:rsidR="00951A45" w:rsidRDefault="00951A45" w:rsidP="00AD46D9">
            <w:pPr>
              <w:keepNext/>
              <w:spacing w:after="60"/>
              <w:jc w:val="center"/>
            </w:pPr>
            <w:r>
              <w:rPr>
                <w:rFonts w:ascii="Calibri" w:hAnsi="Calibri"/>
                <w:sz w:val="20"/>
              </w:rPr>
              <w:t>Oral</w:t>
            </w:r>
          </w:p>
        </w:tc>
        <w:tc>
          <w:tcPr>
            <w:tcW w:w="0" w:type="auto"/>
            <w:gridSpan w:val="3"/>
            <w:tcBorders>
              <w:top w:val="single" w:sz="16" w:space="0" w:color="D3D3D3"/>
              <w:bottom w:val="single" w:sz="16" w:space="0" w:color="D3D3D3"/>
            </w:tcBorders>
          </w:tcPr>
          <w:p w14:paraId="03213927" w14:textId="77777777" w:rsidR="00951A45" w:rsidRDefault="00951A45" w:rsidP="00AD46D9">
            <w:pPr>
              <w:keepNext/>
              <w:spacing w:after="60"/>
              <w:jc w:val="center"/>
            </w:pPr>
            <w:r>
              <w:rPr>
                <w:rFonts w:ascii="Calibri" w:hAnsi="Calibri"/>
                <w:sz w:val="20"/>
              </w:rPr>
              <w:t>Other</w:t>
            </w:r>
          </w:p>
        </w:tc>
        <w:tc>
          <w:tcPr>
            <w:tcW w:w="0" w:type="auto"/>
            <w:gridSpan w:val="3"/>
            <w:tcBorders>
              <w:top w:val="single" w:sz="16" w:space="0" w:color="D3D3D3"/>
              <w:bottom w:val="single" w:sz="16" w:space="0" w:color="D3D3D3"/>
              <w:right w:val="single" w:sz="0" w:space="0" w:color="D3D3D3"/>
            </w:tcBorders>
          </w:tcPr>
          <w:p w14:paraId="2C9A39D4" w14:textId="77777777" w:rsidR="00951A45" w:rsidRDefault="00951A45" w:rsidP="00AD46D9">
            <w:pPr>
              <w:keepNext/>
              <w:spacing w:after="60"/>
              <w:jc w:val="center"/>
            </w:pPr>
            <w:r>
              <w:rPr>
                <w:rFonts w:ascii="Calibri" w:hAnsi="Calibri"/>
                <w:sz w:val="20"/>
              </w:rPr>
              <w:t>EC</w:t>
            </w:r>
          </w:p>
        </w:tc>
      </w:tr>
      <w:tr w:rsidR="00951A45" w14:paraId="7BDECD70" w14:textId="77777777" w:rsidTr="00AD46D9">
        <w:trPr>
          <w:cantSplit/>
          <w:tblHeader/>
          <w:jc w:val="center"/>
        </w:trPr>
        <w:tc>
          <w:tcPr>
            <w:tcW w:w="0" w:type="auto"/>
            <w:tcBorders>
              <w:left w:val="single" w:sz="0" w:space="0" w:color="D3D3D3"/>
              <w:bottom w:val="single" w:sz="16" w:space="0" w:color="D3D3D3"/>
            </w:tcBorders>
          </w:tcPr>
          <w:p w14:paraId="7DBE9260" w14:textId="77777777" w:rsidR="00951A45" w:rsidRDefault="00951A45" w:rsidP="00AD46D9">
            <w:pPr>
              <w:keepNext/>
              <w:spacing w:after="60"/>
            </w:pPr>
            <w:r>
              <w:rPr>
                <w:rFonts w:ascii="Calibri" w:hAnsi="Calibri"/>
                <w:sz w:val="20"/>
              </w:rPr>
              <w:t>Timeframes</w:t>
            </w:r>
          </w:p>
        </w:tc>
        <w:tc>
          <w:tcPr>
            <w:tcW w:w="0" w:type="auto"/>
            <w:tcBorders>
              <w:bottom w:val="single" w:sz="16" w:space="0" w:color="D3D3D3"/>
            </w:tcBorders>
          </w:tcPr>
          <w:p w14:paraId="13025CAC" w14:textId="77777777" w:rsidR="00951A45" w:rsidRDefault="00951A45" w:rsidP="00AD46D9">
            <w:pPr>
              <w:keepNext/>
              <w:spacing w:after="60"/>
              <w:jc w:val="right"/>
            </w:pPr>
            <w:r>
              <w:rPr>
                <w:rFonts w:ascii="Calibri" w:hAnsi="Calibri"/>
                <w:sz w:val="20"/>
              </w:rPr>
              <w:t>All LARC</w:t>
            </w:r>
          </w:p>
        </w:tc>
        <w:tc>
          <w:tcPr>
            <w:tcW w:w="0" w:type="auto"/>
            <w:tcBorders>
              <w:bottom w:val="single" w:sz="16" w:space="0" w:color="D3D3D3"/>
            </w:tcBorders>
          </w:tcPr>
          <w:p w14:paraId="5CA9E642" w14:textId="77777777" w:rsidR="00951A45" w:rsidRDefault="00951A45" w:rsidP="00AD46D9">
            <w:pPr>
              <w:keepNext/>
              <w:spacing w:after="60"/>
              <w:jc w:val="right"/>
            </w:pPr>
            <w:r>
              <w:rPr>
                <w:rFonts w:ascii="Calibri" w:hAnsi="Calibri"/>
                <w:sz w:val="20"/>
              </w:rPr>
              <w:t>IUS</w:t>
            </w:r>
          </w:p>
        </w:tc>
        <w:tc>
          <w:tcPr>
            <w:tcW w:w="0" w:type="auto"/>
            <w:tcBorders>
              <w:bottom w:val="single" w:sz="16" w:space="0" w:color="D3D3D3"/>
            </w:tcBorders>
          </w:tcPr>
          <w:p w14:paraId="7CF35F85" w14:textId="77777777" w:rsidR="00951A45" w:rsidRDefault="00951A45" w:rsidP="00AD46D9">
            <w:pPr>
              <w:keepNext/>
              <w:spacing w:after="60"/>
              <w:jc w:val="right"/>
            </w:pPr>
            <w:r>
              <w:rPr>
                <w:rFonts w:ascii="Calibri" w:hAnsi="Calibri"/>
                <w:sz w:val="20"/>
              </w:rPr>
              <w:t>IUD</w:t>
            </w:r>
          </w:p>
        </w:tc>
        <w:tc>
          <w:tcPr>
            <w:tcW w:w="0" w:type="auto"/>
            <w:tcBorders>
              <w:bottom w:val="single" w:sz="16" w:space="0" w:color="D3D3D3"/>
            </w:tcBorders>
          </w:tcPr>
          <w:p w14:paraId="1FA46096" w14:textId="77777777" w:rsidR="00951A45" w:rsidRDefault="00951A45" w:rsidP="00AD46D9">
            <w:pPr>
              <w:keepNext/>
              <w:spacing w:after="60"/>
              <w:jc w:val="right"/>
            </w:pPr>
            <w:r>
              <w:rPr>
                <w:rFonts w:ascii="Calibri" w:hAnsi="Calibri"/>
                <w:sz w:val="20"/>
              </w:rPr>
              <w:t>Implant</w:t>
            </w:r>
          </w:p>
        </w:tc>
        <w:tc>
          <w:tcPr>
            <w:tcW w:w="0" w:type="auto"/>
            <w:tcBorders>
              <w:bottom w:val="single" w:sz="16" w:space="0" w:color="D3D3D3"/>
            </w:tcBorders>
          </w:tcPr>
          <w:p w14:paraId="001A2A4C" w14:textId="77777777" w:rsidR="00951A45" w:rsidRDefault="00951A45" w:rsidP="00AD46D9">
            <w:pPr>
              <w:keepNext/>
              <w:spacing w:after="60"/>
              <w:jc w:val="right"/>
            </w:pPr>
            <w:r>
              <w:rPr>
                <w:rFonts w:ascii="Calibri" w:hAnsi="Calibri"/>
                <w:sz w:val="20"/>
              </w:rPr>
              <w:t>Injection</w:t>
            </w:r>
          </w:p>
        </w:tc>
        <w:tc>
          <w:tcPr>
            <w:tcW w:w="0" w:type="auto"/>
            <w:tcBorders>
              <w:bottom w:val="single" w:sz="16" w:space="0" w:color="D3D3D3"/>
            </w:tcBorders>
          </w:tcPr>
          <w:p w14:paraId="06D543E2" w14:textId="77777777" w:rsidR="00951A45" w:rsidRDefault="00951A45" w:rsidP="00AD46D9">
            <w:pPr>
              <w:keepNext/>
              <w:spacing w:after="60"/>
              <w:jc w:val="right"/>
            </w:pPr>
            <w:r>
              <w:rPr>
                <w:rFonts w:ascii="Calibri" w:hAnsi="Calibri"/>
                <w:sz w:val="20"/>
              </w:rPr>
              <w:t>All Oral</w:t>
            </w:r>
          </w:p>
        </w:tc>
        <w:tc>
          <w:tcPr>
            <w:tcW w:w="0" w:type="auto"/>
            <w:tcBorders>
              <w:bottom w:val="single" w:sz="16" w:space="0" w:color="D3D3D3"/>
            </w:tcBorders>
          </w:tcPr>
          <w:p w14:paraId="3E99F744" w14:textId="77777777" w:rsidR="00951A45" w:rsidRDefault="00951A45" w:rsidP="00AD46D9">
            <w:pPr>
              <w:keepNext/>
              <w:spacing w:after="60"/>
              <w:jc w:val="right"/>
            </w:pPr>
            <w:r>
              <w:rPr>
                <w:rFonts w:ascii="Calibri" w:hAnsi="Calibri"/>
                <w:sz w:val="20"/>
              </w:rPr>
              <w:t>COCP</w:t>
            </w:r>
          </w:p>
        </w:tc>
        <w:tc>
          <w:tcPr>
            <w:tcW w:w="0" w:type="auto"/>
            <w:tcBorders>
              <w:bottom w:val="single" w:sz="16" w:space="0" w:color="D3D3D3"/>
            </w:tcBorders>
          </w:tcPr>
          <w:p w14:paraId="33AFBC78" w14:textId="77777777" w:rsidR="00951A45" w:rsidRDefault="00951A45" w:rsidP="00AD46D9">
            <w:pPr>
              <w:keepNext/>
              <w:spacing w:after="60"/>
              <w:jc w:val="right"/>
            </w:pPr>
            <w:r>
              <w:rPr>
                <w:rFonts w:ascii="Calibri" w:hAnsi="Calibri"/>
                <w:sz w:val="20"/>
              </w:rPr>
              <w:t>POP</w:t>
            </w:r>
          </w:p>
        </w:tc>
        <w:tc>
          <w:tcPr>
            <w:tcW w:w="0" w:type="auto"/>
            <w:tcBorders>
              <w:bottom w:val="single" w:sz="16" w:space="0" w:color="D3D3D3"/>
            </w:tcBorders>
          </w:tcPr>
          <w:p w14:paraId="77DE0ACD" w14:textId="77777777" w:rsidR="00951A45" w:rsidRDefault="00951A45" w:rsidP="00AD46D9">
            <w:pPr>
              <w:keepNext/>
              <w:spacing w:after="60"/>
              <w:jc w:val="right"/>
            </w:pPr>
            <w:r>
              <w:rPr>
                <w:rFonts w:ascii="Calibri" w:hAnsi="Calibri"/>
                <w:sz w:val="20"/>
              </w:rPr>
              <w:t>All Other</w:t>
            </w:r>
          </w:p>
        </w:tc>
        <w:tc>
          <w:tcPr>
            <w:tcW w:w="0" w:type="auto"/>
            <w:tcBorders>
              <w:bottom w:val="single" w:sz="16" w:space="0" w:color="D3D3D3"/>
            </w:tcBorders>
          </w:tcPr>
          <w:p w14:paraId="1C51580E" w14:textId="77777777" w:rsidR="00951A45" w:rsidRDefault="00951A45" w:rsidP="00AD46D9">
            <w:pPr>
              <w:keepNext/>
              <w:spacing w:after="60"/>
              <w:jc w:val="right"/>
            </w:pPr>
            <w:r>
              <w:rPr>
                <w:rFonts w:ascii="Calibri" w:hAnsi="Calibri"/>
                <w:sz w:val="20"/>
              </w:rPr>
              <w:t>Patch</w:t>
            </w:r>
          </w:p>
        </w:tc>
        <w:tc>
          <w:tcPr>
            <w:tcW w:w="0" w:type="auto"/>
            <w:tcBorders>
              <w:bottom w:val="single" w:sz="16" w:space="0" w:color="D3D3D3"/>
            </w:tcBorders>
          </w:tcPr>
          <w:p w14:paraId="77ABD50B" w14:textId="77777777" w:rsidR="00951A45" w:rsidRDefault="00951A45" w:rsidP="00AD46D9">
            <w:pPr>
              <w:keepNext/>
              <w:spacing w:after="60"/>
              <w:jc w:val="right"/>
            </w:pPr>
            <w:r>
              <w:rPr>
                <w:rFonts w:ascii="Calibri" w:hAnsi="Calibri"/>
                <w:sz w:val="20"/>
              </w:rPr>
              <w:t>Ring</w:t>
            </w:r>
          </w:p>
        </w:tc>
        <w:tc>
          <w:tcPr>
            <w:tcW w:w="0" w:type="auto"/>
            <w:tcBorders>
              <w:bottom w:val="single" w:sz="16" w:space="0" w:color="D3D3D3"/>
            </w:tcBorders>
          </w:tcPr>
          <w:p w14:paraId="1618FD89" w14:textId="77777777" w:rsidR="00951A45" w:rsidRDefault="00951A45" w:rsidP="00AD46D9">
            <w:pPr>
              <w:keepNext/>
              <w:spacing w:after="60"/>
              <w:jc w:val="right"/>
            </w:pPr>
            <w:r>
              <w:rPr>
                <w:rFonts w:ascii="Calibri" w:hAnsi="Calibri"/>
                <w:sz w:val="20"/>
              </w:rPr>
              <w:t>All EC</w:t>
            </w:r>
          </w:p>
        </w:tc>
        <w:tc>
          <w:tcPr>
            <w:tcW w:w="0" w:type="auto"/>
            <w:tcBorders>
              <w:bottom w:val="single" w:sz="16" w:space="0" w:color="D3D3D3"/>
            </w:tcBorders>
          </w:tcPr>
          <w:p w14:paraId="57C331E2" w14:textId="77777777" w:rsidR="00951A45" w:rsidRDefault="00951A45" w:rsidP="00AD46D9">
            <w:pPr>
              <w:keepNext/>
              <w:spacing w:after="60"/>
              <w:jc w:val="right"/>
            </w:pPr>
            <w:proofErr w:type="spellStart"/>
            <w:r>
              <w:rPr>
                <w:rFonts w:ascii="Calibri" w:hAnsi="Calibri"/>
                <w:sz w:val="20"/>
              </w:rPr>
              <w:t>Uli</w:t>
            </w:r>
            <w:proofErr w:type="spellEnd"/>
          </w:p>
        </w:tc>
        <w:tc>
          <w:tcPr>
            <w:tcW w:w="0" w:type="auto"/>
            <w:tcBorders>
              <w:bottom w:val="single" w:sz="16" w:space="0" w:color="D3D3D3"/>
              <w:right w:val="single" w:sz="0" w:space="0" w:color="D3D3D3"/>
            </w:tcBorders>
          </w:tcPr>
          <w:p w14:paraId="765D7F05" w14:textId="77777777" w:rsidR="00951A45" w:rsidRDefault="00951A45" w:rsidP="00AD46D9">
            <w:pPr>
              <w:keepNext/>
              <w:spacing w:after="60"/>
              <w:jc w:val="right"/>
            </w:pPr>
            <w:proofErr w:type="spellStart"/>
            <w:r>
              <w:rPr>
                <w:rFonts w:ascii="Calibri" w:hAnsi="Calibri"/>
                <w:sz w:val="20"/>
              </w:rPr>
              <w:t>Levo</w:t>
            </w:r>
            <w:proofErr w:type="spellEnd"/>
          </w:p>
        </w:tc>
      </w:tr>
      <w:tr w:rsidR="00355E4F" w14:paraId="6F32AA60" w14:textId="77777777" w:rsidTr="00AD46D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7C2DCF" w14:textId="77777777" w:rsidR="00951A45" w:rsidRDefault="00951A45" w:rsidP="00AD46D9">
            <w:pPr>
              <w:keepNext/>
              <w:spacing w:after="60"/>
            </w:pPr>
            <w:r>
              <w:rPr>
                <w:rFonts w:ascii="Calibri" w:hAnsi="Calibri"/>
                <w:sz w:val="20"/>
              </w:rPr>
              <w:t>Lockdown</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0FF63C3D" w14:textId="77777777" w:rsidR="00951A45" w:rsidRDefault="00951A45" w:rsidP="00AD46D9">
            <w:pPr>
              <w:keepNext/>
              <w:spacing w:after="60"/>
              <w:jc w:val="right"/>
            </w:pPr>
            <w:r>
              <w:rPr>
                <w:rFonts w:ascii="Calibri" w:hAnsi="Calibri"/>
                <w:b/>
                <w:sz w:val="20"/>
              </w:rPr>
              <w:t>28.89%</w:t>
            </w:r>
          </w:p>
        </w:tc>
        <w:tc>
          <w:tcPr>
            <w:tcW w:w="0" w:type="auto"/>
            <w:tcBorders>
              <w:top w:val="single" w:sz="0" w:space="0" w:color="D3D3D3"/>
              <w:left w:val="single" w:sz="0" w:space="0" w:color="D3D3D3"/>
              <w:bottom w:val="single" w:sz="0" w:space="0" w:color="D3D3D3"/>
              <w:right w:val="single" w:sz="0" w:space="0" w:color="D3D3D3"/>
            </w:tcBorders>
          </w:tcPr>
          <w:p w14:paraId="7471A20F" w14:textId="77777777" w:rsidR="00951A45" w:rsidRDefault="00951A45" w:rsidP="00AD46D9">
            <w:pPr>
              <w:keepNext/>
              <w:spacing w:after="60"/>
              <w:jc w:val="right"/>
            </w:pPr>
            <w:r>
              <w:rPr>
                <w:rFonts w:ascii="Calibri" w:hAnsi="Calibri"/>
                <w:sz w:val="20"/>
              </w:rPr>
              <w:t>28.02%</w:t>
            </w:r>
          </w:p>
        </w:tc>
        <w:tc>
          <w:tcPr>
            <w:tcW w:w="0" w:type="auto"/>
            <w:tcBorders>
              <w:top w:val="single" w:sz="0" w:space="0" w:color="D3D3D3"/>
              <w:left w:val="single" w:sz="0" w:space="0" w:color="D3D3D3"/>
              <w:bottom w:val="single" w:sz="0" w:space="0" w:color="D3D3D3"/>
              <w:right w:val="single" w:sz="0" w:space="0" w:color="D3D3D3"/>
            </w:tcBorders>
          </w:tcPr>
          <w:p w14:paraId="4663189A" w14:textId="77777777" w:rsidR="00951A45" w:rsidRDefault="00951A45" w:rsidP="00AD46D9">
            <w:pPr>
              <w:keepNext/>
              <w:spacing w:after="60"/>
              <w:jc w:val="right"/>
            </w:pPr>
            <w:r>
              <w:rPr>
                <w:rFonts w:ascii="Calibri" w:hAnsi="Calibri"/>
                <w:sz w:val="20"/>
              </w:rPr>
              <w:t>25.38%</w:t>
            </w:r>
          </w:p>
        </w:tc>
        <w:tc>
          <w:tcPr>
            <w:tcW w:w="0" w:type="auto"/>
            <w:tcBorders>
              <w:top w:val="single" w:sz="0" w:space="0" w:color="D3D3D3"/>
              <w:left w:val="single" w:sz="0" w:space="0" w:color="D3D3D3"/>
              <w:bottom w:val="single" w:sz="0" w:space="0" w:color="D3D3D3"/>
              <w:right w:val="single" w:sz="0" w:space="0" w:color="D3D3D3"/>
            </w:tcBorders>
          </w:tcPr>
          <w:p w14:paraId="62B3AF39" w14:textId="77777777" w:rsidR="00951A45" w:rsidRDefault="00951A45" w:rsidP="00AD46D9">
            <w:pPr>
              <w:keepNext/>
              <w:spacing w:after="60"/>
              <w:jc w:val="right"/>
            </w:pPr>
            <w:r>
              <w:rPr>
                <w:rFonts w:ascii="Calibri" w:hAnsi="Calibri"/>
                <w:sz w:val="20"/>
              </w:rPr>
              <w:t>24.32%</w:t>
            </w:r>
          </w:p>
        </w:tc>
        <w:tc>
          <w:tcPr>
            <w:tcW w:w="0" w:type="auto"/>
            <w:tcBorders>
              <w:top w:val="single" w:sz="0" w:space="0" w:color="D3D3D3"/>
              <w:left w:val="single" w:sz="0" w:space="0" w:color="D3D3D3"/>
              <w:bottom w:val="single" w:sz="0" w:space="0" w:color="D3D3D3"/>
              <w:right w:val="single" w:sz="0" w:space="0" w:color="D3D3D3"/>
            </w:tcBorders>
          </w:tcPr>
          <w:p w14:paraId="22561166" w14:textId="77777777" w:rsidR="00951A45" w:rsidRDefault="00951A45" w:rsidP="00AD46D9">
            <w:pPr>
              <w:keepNext/>
              <w:spacing w:after="60"/>
              <w:jc w:val="right"/>
            </w:pPr>
            <w:r>
              <w:rPr>
                <w:rFonts w:ascii="Calibri" w:hAnsi="Calibri"/>
                <w:sz w:val="20"/>
              </w:rPr>
              <w:t>42.69%</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5AE63AEA" w14:textId="77777777" w:rsidR="00951A45" w:rsidRDefault="00951A45" w:rsidP="00AD46D9">
            <w:pPr>
              <w:keepNext/>
              <w:spacing w:after="60"/>
              <w:jc w:val="right"/>
            </w:pPr>
            <w:r>
              <w:rPr>
                <w:rFonts w:ascii="Calibri" w:hAnsi="Calibri"/>
                <w:b/>
                <w:sz w:val="20"/>
              </w:rPr>
              <w:t>39.37%</w:t>
            </w:r>
          </w:p>
        </w:tc>
        <w:tc>
          <w:tcPr>
            <w:tcW w:w="0" w:type="auto"/>
            <w:tcBorders>
              <w:top w:val="single" w:sz="0" w:space="0" w:color="D3D3D3"/>
              <w:left w:val="single" w:sz="0" w:space="0" w:color="D3D3D3"/>
              <w:bottom w:val="single" w:sz="0" w:space="0" w:color="D3D3D3"/>
              <w:right w:val="single" w:sz="0" w:space="0" w:color="D3D3D3"/>
            </w:tcBorders>
          </w:tcPr>
          <w:p w14:paraId="4D6EFA13" w14:textId="77777777" w:rsidR="00951A45" w:rsidRDefault="00951A45" w:rsidP="00AD46D9">
            <w:pPr>
              <w:keepNext/>
              <w:spacing w:after="60"/>
              <w:jc w:val="right"/>
            </w:pPr>
            <w:r>
              <w:rPr>
                <w:rFonts w:ascii="Calibri" w:hAnsi="Calibri"/>
                <w:sz w:val="20"/>
              </w:rPr>
              <w:t>31.30%</w:t>
            </w:r>
          </w:p>
        </w:tc>
        <w:tc>
          <w:tcPr>
            <w:tcW w:w="0" w:type="auto"/>
            <w:tcBorders>
              <w:top w:val="single" w:sz="0" w:space="0" w:color="D3D3D3"/>
              <w:left w:val="single" w:sz="0" w:space="0" w:color="D3D3D3"/>
              <w:bottom w:val="single" w:sz="0" w:space="0" w:color="D3D3D3"/>
              <w:right w:val="single" w:sz="0" w:space="0" w:color="D3D3D3"/>
            </w:tcBorders>
          </w:tcPr>
          <w:p w14:paraId="357C874A" w14:textId="77777777" w:rsidR="00951A45" w:rsidRDefault="00951A45" w:rsidP="00AD46D9">
            <w:pPr>
              <w:keepNext/>
              <w:spacing w:after="60"/>
              <w:jc w:val="right"/>
            </w:pPr>
            <w:r>
              <w:rPr>
                <w:rFonts w:ascii="Calibri" w:hAnsi="Calibri"/>
                <w:sz w:val="20"/>
              </w:rPr>
              <w:t>49.00%</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055EFA4D" w14:textId="77777777" w:rsidR="00951A45" w:rsidRDefault="00951A45" w:rsidP="00AD46D9">
            <w:pPr>
              <w:keepNext/>
              <w:spacing w:after="60"/>
              <w:jc w:val="right"/>
            </w:pPr>
            <w:r>
              <w:rPr>
                <w:rFonts w:ascii="Calibri" w:hAnsi="Calibri"/>
                <w:b/>
                <w:sz w:val="20"/>
              </w:rPr>
              <w:t>54.64%</w:t>
            </w:r>
          </w:p>
        </w:tc>
        <w:tc>
          <w:tcPr>
            <w:tcW w:w="0" w:type="auto"/>
            <w:tcBorders>
              <w:top w:val="single" w:sz="0" w:space="0" w:color="D3D3D3"/>
              <w:left w:val="single" w:sz="0" w:space="0" w:color="D3D3D3"/>
              <w:bottom w:val="single" w:sz="0" w:space="0" w:color="D3D3D3"/>
              <w:right w:val="single" w:sz="0" w:space="0" w:color="D3D3D3"/>
            </w:tcBorders>
          </w:tcPr>
          <w:p w14:paraId="27B51C56" w14:textId="77777777" w:rsidR="00951A45" w:rsidRDefault="00951A45" w:rsidP="00AD46D9">
            <w:pPr>
              <w:keepNext/>
              <w:spacing w:after="60"/>
              <w:jc w:val="right"/>
            </w:pPr>
            <w:r>
              <w:rPr>
                <w:rFonts w:ascii="Calibri" w:hAnsi="Calibri"/>
                <w:sz w:val="20"/>
              </w:rPr>
              <w:t>56.61%</w:t>
            </w:r>
          </w:p>
        </w:tc>
        <w:tc>
          <w:tcPr>
            <w:tcW w:w="0" w:type="auto"/>
            <w:tcBorders>
              <w:top w:val="single" w:sz="0" w:space="0" w:color="D3D3D3"/>
              <w:left w:val="single" w:sz="0" w:space="0" w:color="D3D3D3"/>
              <w:bottom w:val="single" w:sz="0" w:space="0" w:color="D3D3D3"/>
              <w:right w:val="single" w:sz="0" w:space="0" w:color="D3D3D3"/>
            </w:tcBorders>
          </w:tcPr>
          <w:p w14:paraId="6A0CEA34" w14:textId="77777777" w:rsidR="00951A45" w:rsidRDefault="00951A45" w:rsidP="00AD46D9">
            <w:pPr>
              <w:keepNext/>
              <w:spacing w:after="60"/>
              <w:jc w:val="right"/>
            </w:pPr>
            <w:r>
              <w:rPr>
                <w:rFonts w:ascii="Calibri" w:hAnsi="Calibri"/>
                <w:sz w:val="20"/>
              </w:rPr>
              <w:t>41.40%</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0C81BA5D" w14:textId="77777777" w:rsidR="00951A45" w:rsidRDefault="00951A45" w:rsidP="00AD46D9">
            <w:pPr>
              <w:keepNext/>
              <w:spacing w:after="60"/>
              <w:jc w:val="right"/>
            </w:pPr>
            <w:r>
              <w:rPr>
                <w:rFonts w:ascii="Calibri" w:hAnsi="Calibri"/>
                <w:b/>
                <w:sz w:val="20"/>
              </w:rPr>
              <w:t>37.62%</w:t>
            </w:r>
          </w:p>
        </w:tc>
        <w:tc>
          <w:tcPr>
            <w:tcW w:w="0" w:type="auto"/>
            <w:tcBorders>
              <w:top w:val="single" w:sz="0" w:space="0" w:color="D3D3D3"/>
              <w:left w:val="single" w:sz="0" w:space="0" w:color="D3D3D3"/>
              <w:bottom w:val="single" w:sz="0" w:space="0" w:color="D3D3D3"/>
              <w:right w:val="single" w:sz="0" w:space="0" w:color="D3D3D3"/>
            </w:tcBorders>
          </w:tcPr>
          <w:p w14:paraId="67D743B8" w14:textId="77777777" w:rsidR="00951A45" w:rsidRDefault="00951A45" w:rsidP="00AD46D9">
            <w:pPr>
              <w:keepNext/>
              <w:spacing w:after="60"/>
              <w:jc w:val="right"/>
            </w:pPr>
            <w:r>
              <w:rPr>
                <w:rFonts w:ascii="Calibri" w:hAnsi="Calibri"/>
                <w:sz w:val="20"/>
              </w:rPr>
              <w:t>86.54%</w:t>
            </w:r>
          </w:p>
        </w:tc>
        <w:tc>
          <w:tcPr>
            <w:tcW w:w="0" w:type="auto"/>
            <w:tcBorders>
              <w:top w:val="single" w:sz="0" w:space="0" w:color="D3D3D3"/>
              <w:left w:val="single" w:sz="0" w:space="0" w:color="D3D3D3"/>
              <w:bottom w:val="single" w:sz="0" w:space="0" w:color="D3D3D3"/>
              <w:right w:val="single" w:sz="0" w:space="0" w:color="D3D3D3"/>
            </w:tcBorders>
          </w:tcPr>
          <w:p w14:paraId="484DE40D" w14:textId="77777777" w:rsidR="00951A45" w:rsidRDefault="00951A45" w:rsidP="00AD46D9">
            <w:pPr>
              <w:keepNext/>
              <w:spacing w:after="60"/>
              <w:jc w:val="right"/>
            </w:pPr>
            <w:r>
              <w:rPr>
                <w:rFonts w:ascii="Calibri" w:hAnsi="Calibri"/>
                <w:sz w:val="20"/>
              </w:rPr>
              <w:t>26.54%</w:t>
            </w:r>
          </w:p>
        </w:tc>
      </w:tr>
      <w:tr w:rsidR="00355E4F" w14:paraId="739DDA3C" w14:textId="77777777" w:rsidTr="00AD46D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BF150C" w14:textId="77777777" w:rsidR="00951A45" w:rsidRDefault="00951A45" w:rsidP="00AD46D9">
            <w:pPr>
              <w:keepNext/>
              <w:spacing w:after="60"/>
            </w:pPr>
            <w:r>
              <w:rPr>
                <w:rFonts w:ascii="Calibri" w:hAnsi="Calibri"/>
                <w:sz w:val="20"/>
              </w:rPr>
              <w:t>Peri-Lockdown</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0E971DB1" w14:textId="77777777" w:rsidR="00951A45" w:rsidRDefault="00951A45" w:rsidP="00AD46D9">
            <w:pPr>
              <w:keepNext/>
              <w:spacing w:after="60"/>
              <w:jc w:val="right"/>
            </w:pPr>
            <w:r>
              <w:rPr>
                <w:rFonts w:ascii="Calibri" w:hAnsi="Calibri"/>
                <w:b/>
                <w:sz w:val="20"/>
              </w:rPr>
              <w:t>47.31%</w:t>
            </w:r>
          </w:p>
        </w:tc>
        <w:tc>
          <w:tcPr>
            <w:tcW w:w="0" w:type="auto"/>
            <w:tcBorders>
              <w:top w:val="single" w:sz="0" w:space="0" w:color="D3D3D3"/>
              <w:left w:val="single" w:sz="0" w:space="0" w:color="D3D3D3"/>
              <w:bottom w:val="single" w:sz="0" w:space="0" w:color="D3D3D3"/>
              <w:right w:val="single" w:sz="0" w:space="0" w:color="D3D3D3"/>
            </w:tcBorders>
          </w:tcPr>
          <w:p w14:paraId="565AC8D8" w14:textId="77777777" w:rsidR="00951A45" w:rsidRDefault="00951A45" w:rsidP="00AD46D9">
            <w:pPr>
              <w:keepNext/>
              <w:spacing w:after="60"/>
              <w:jc w:val="right"/>
            </w:pPr>
            <w:r>
              <w:rPr>
                <w:rFonts w:ascii="Calibri" w:hAnsi="Calibri"/>
                <w:sz w:val="20"/>
              </w:rPr>
              <w:t>48.89%</w:t>
            </w:r>
          </w:p>
        </w:tc>
        <w:tc>
          <w:tcPr>
            <w:tcW w:w="0" w:type="auto"/>
            <w:tcBorders>
              <w:top w:val="single" w:sz="0" w:space="0" w:color="D3D3D3"/>
              <w:left w:val="single" w:sz="0" w:space="0" w:color="D3D3D3"/>
              <w:bottom w:val="single" w:sz="0" w:space="0" w:color="D3D3D3"/>
              <w:right w:val="single" w:sz="0" w:space="0" w:color="D3D3D3"/>
            </w:tcBorders>
          </w:tcPr>
          <w:p w14:paraId="73D7F37D" w14:textId="77777777" w:rsidR="00951A45" w:rsidRDefault="00951A45" w:rsidP="00AD46D9">
            <w:pPr>
              <w:keepNext/>
              <w:spacing w:after="60"/>
              <w:jc w:val="right"/>
            </w:pPr>
            <w:r>
              <w:rPr>
                <w:rFonts w:ascii="Calibri" w:hAnsi="Calibri"/>
                <w:sz w:val="20"/>
              </w:rPr>
              <w:t>44.55%</w:t>
            </w:r>
          </w:p>
        </w:tc>
        <w:tc>
          <w:tcPr>
            <w:tcW w:w="0" w:type="auto"/>
            <w:tcBorders>
              <w:top w:val="single" w:sz="0" w:space="0" w:color="D3D3D3"/>
              <w:left w:val="single" w:sz="0" w:space="0" w:color="D3D3D3"/>
              <w:bottom w:val="single" w:sz="0" w:space="0" w:color="D3D3D3"/>
              <w:right w:val="single" w:sz="0" w:space="0" w:color="D3D3D3"/>
            </w:tcBorders>
          </w:tcPr>
          <w:p w14:paraId="3EA4E744" w14:textId="77777777" w:rsidR="00951A45" w:rsidRDefault="00951A45" w:rsidP="00AD46D9">
            <w:pPr>
              <w:keepNext/>
              <w:spacing w:after="60"/>
              <w:jc w:val="right"/>
            </w:pPr>
            <w:r>
              <w:rPr>
                <w:rFonts w:ascii="Calibri" w:hAnsi="Calibri"/>
                <w:sz w:val="20"/>
              </w:rPr>
              <w:t>42.86%</w:t>
            </w:r>
          </w:p>
        </w:tc>
        <w:tc>
          <w:tcPr>
            <w:tcW w:w="0" w:type="auto"/>
            <w:tcBorders>
              <w:top w:val="single" w:sz="0" w:space="0" w:color="D3D3D3"/>
              <w:left w:val="single" w:sz="0" w:space="0" w:color="D3D3D3"/>
              <w:bottom w:val="single" w:sz="0" w:space="0" w:color="D3D3D3"/>
              <w:right w:val="single" w:sz="0" w:space="0" w:color="D3D3D3"/>
            </w:tcBorders>
          </w:tcPr>
          <w:p w14:paraId="5748E1E9" w14:textId="77777777" w:rsidR="00951A45" w:rsidRDefault="00951A45" w:rsidP="00AD46D9">
            <w:pPr>
              <w:keepNext/>
              <w:spacing w:after="60"/>
              <w:jc w:val="right"/>
            </w:pPr>
            <w:r>
              <w:rPr>
                <w:rFonts w:ascii="Calibri" w:hAnsi="Calibri"/>
                <w:sz w:val="20"/>
              </w:rPr>
              <w:t>54.85%</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220F890E" w14:textId="77777777" w:rsidR="00951A45" w:rsidRDefault="00951A45" w:rsidP="00AD46D9">
            <w:pPr>
              <w:keepNext/>
              <w:spacing w:after="60"/>
              <w:jc w:val="right"/>
            </w:pPr>
            <w:r>
              <w:rPr>
                <w:rFonts w:ascii="Calibri" w:hAnsi="Calibri"/>
                <w:b/>
                <w:sz w:val="20"/>
              </w:rPr>
              <w:t>53.17%</w:t>
            </w:r>
          </w:p>
        </w:tc>
        <w:tc>
          <w:tcPr>
            <w:tcW w:w="0" w:type="auto"/>
            <w:tcBorders>
              <w:top w:val="single" w:sz="0" w:space="0" w:color="D3D3D3"/>
              <w:left w:val="single" w:sz="0" w:space="0" w:color="D3D3D3"/>
              <w:bottom w:val="single" w:sz="0" w:space="0" w:color="D3D3D3"/>
              <w:right w:val="single" w:sz="0" w:space="0" w:color="D3D3D3"/>
            </w:tcBorders>
          </w:tcPr>
          <w:p w14:paraId="490996A8" w14:textId="77777777" w:rsidR="00951A45" w:rsidRDefault="00951A45" w:rsidP="00AD46D9">
            <w:pPr>
              <w:keepNext/>
              <w:spacing w:after="60"/>
              <w:jc w:val="right"/>
            </w:pPr>
            <w:r>
              <w:rPr>
                <w:rFonts w:ascii="Calibri" w:hAnsi="Calibri"/>
                <w:sz w:val="20"/>
              </w:rPr>
              <w:t>43.32%</w:t>
            </w:r>
          </w:p>
        </w:tc>
        <w:tc>
          <w:tcPr>
            <w:tcW w:w="0" w:type="auto"/>
            <w:tcBorders>
              <w:top w:val="single" w:sz="0" w:space="0" w:color="D3D3D3"/>
              <w:left w:val="single" w:sz="0" w:space="0" w:color="D3D3D3"/>
              <w:bottom w:val="single" w:sz="0" w:space="0" w:color="D3D3D3"/>
              <w:right w:val="single" w:sz="0" w:space="0" w:color="D3D3D3"/>
            </w:tcBorders>
          </w:tcPr>
          <w:p w14:paraId="0FE58A32" w14:textId="77777777" w:rsidR="00951A45" w:rsidRDefault="00951A45" w:rsidP="00AD46D9">
            <w:pPr>
              <w:keepNext/>
              <w:spacing w:after="60"/>
              <w:jc w:val="right"/>
            </w:pPr>
            <w:r>
              <w:rPr>
                <w:rFonts w:ascii="Calibri" w:hAnsi="Calibri"/>
                <w:sz w:val="20"/>
              </w:rPr>
              <w:t>64.92%</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73F34780" w14:textId="77777777" w:rsidR="00951A45" w:rsidRDefault="00951A45" w:rsidP="00AD46D9">
            <w:pPr>
              <w:keepNext/>
              <w:spacing w:after="60"/>
              <w:jc w:val="right"/>
            </w:pPr>
            <w:r>
              <w:rPr>
                <w:rFonts w:ascii="Calibri" w:hAnsi="Calibri"/>
                <w:b/>
                <w:sz w:val="20"/>
              </w:rPr>
              <w:t>72.99%</w:t>
            </w:r>
          </w:p>
        </w:tc>
        <w:tc>
          <w:tcPr>
            <w:tcW w:w="0" w:type="auto"/>
            <w:tcBorders>
              <w:top w:val="single" w:sz="0" w:space="0" w:color="D3D3D3"/>
              <w:left w:val="single" w:sz="0" w:space="0" w:color="D3D3D3"/>
              <w:bottom w:val="single" w:sz="0" w:space="0" w:color="D3D3D3"/>
              <w:right w:val="single" w:sz="0" w:space="0" w:color="D3D3D3"/>
            </w:tcBorders>
          </w:tcPr>
          <w:p w14:paraId="570AE133" w14:textId="77777777" w:rsidR="00951A45" w:rsidRDefault="00951A45" w:rsidP="00AD46D9">
            <w:pPr>
              <w:keepNext/>
              <w:spacing w:after="60"/>
              <w:jc w:val="right"/>
            </w:pPr>
            <w:r>
              <w:rPr>
                <w:rFonts w:ascii="Calibri" w:hAnsi="Calibri"/>
                <w:sz w:val="20"/>
              </w:rPr>
              <w:t>76.03%</w:t>
            </w:r>
          </w:p>
        </w:tc>
        <w:tc>
          <w:tcPr>
            <w:tcW w:w="0" w:type="auto"/>
            <w:tcBorders>
              <w:top w:val="single" w:sz="0" w:space="0" w:color="D3D3D3"/>
              <w:left w:val="single" w:sz="0" w:space="0" w:color="D3D3D3"/>
              <w:bottom w:val="single" w:sz="0" w:space="0" w:color="D3D3D3"/>
              <w:right w:val="single" w:sz="0" w:space="0" w:color="D3D3D3"/>
            </w:tcBorders>
          </w:tcPr>
          <w:p w14:paraId="576E4A5A" w14:textId="77777777" w:rsidR="00951A45" w:rsidRDefault="00951A45" w:rsidP="00AD46D9">
            <w:pPr>
              <w:keepNext/>
              <w:spacing w:after="60"/>
              <w:jc w:val="right"/>
            </w:pPr>
            <w:r>
              <w:rPr>
                <w:rFonts w:ascii="Calibri" w:hAnsi="Calibri"/>
                <w:sz w:val="20"/>
              </w:rPr>
              <w:t>52.58%</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3D273CF5" w14:textId="77777777" w:rsidR="00951A45" w:rsidRDefault="00951A45" w:rsidP="00AD46D9">
            <w:pPr>
              <w:keepNext/>
              <w:spacing w:after="60"/>
              <w:jc w:val="right"/>
            </w:pPr>
            <w:r>
              <w:rPr>
                <w:rFonts w:ascii="Calibri" w:hAnsi="Calibri"/>
                <w:b/>
                <w:sz w:val="20"/>
              </w:rPr>
              <w:t>60.87%</w:t>
            </w:r>
          </w:p>
        </w:tc>
        <w:tc>
          <w:tcPr>
            <w:tcW w:w="0" w:type="auto"/>
            <w:tcBorders>
              <w:top w:val="single" w:sz="0" w:space="0" w:color="D3D3D3"/>
              <w:left w:val="single" w:sz="0" w:space="0" w:color="D3D3D3"/>
              <w:bottom w:val="single" w:sz="0" w:space="0" w:color="D3D3D3"/>
              <w:right w:val="single" w:sz="0" w:space="0" w:color="D3D3D3"/>
            </w:tcBorders>
          </w:tcPr>
          <w:p w14:paraId="255A49D0" w14:textId="77777777" w:rsidR="00951A45" w:rsidRDefault="00951A45" w:rsidP="00AD46D9">
            <w:pPr>
              <w:keepNext/>
              <w:spacing w:after="60"/>
              <w:jc w:val="right"/>
            </w:pPr>
            <w:r>
              <w:rPr>
                <w:rFonts w:ascii="Calibri" w:hAnsi="Calibri"/>
                <w:sz w:val="20"/>
              </w:rPr>
              <w:t>141.99%</w:t>
            </w:r>
          </w:p>
        </w:tc>
        <w:tc>
          <w:tcPr>
            <w:tcW w:w="0" w:type="auto"/>
            <w:tcBorders>
              <w:top w:val="single" w:sz="0" w:space="0" w:color="D3D3D3"/>
              <w:left w:val="single" w:sz="0" w:space="0" w:color="D3D3D3"/>
              <w:bottom w:val="single" w:sz="0" w:space="0" w:color="D3D3D3"/>
              <w:right w:val="single" w:sz="0" w:space="0" w:color="D3D3D3"/>
            </w:tcBorders>
          </w:tcPr>
          <w:p w14:paraId="13CE7CFE" w14:textId="77777777" w:rsidR="00951A45" w:rsidRDefault="00951A45" w:rsidP="00AD46D9">
            <w:pPr>
              <w:keepNext/>
              <w:spacing w:after="60"/>
              <w:jc w:val="right"/>
            </w:pPr>
            <w:r>
              <w:rPr>
                <w:rFonts w:ascii="Calibri" w:hAnsi="Calibri"/>
                <w:sz w:val="20"/>
              </w:rPr>
              <w:t>42.48%</w:t>
            </w:r>
          </w:p>
        </w:tc>
      </w:tr>
      <w:tr w:rsidR="00355E4F" w14:paraId="2C7DBEF7" w14:textId="77777777" w:rsidTr="00AD46D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9CA3852" w14:textId="77777777" w:rsidR="00951A45" w:rsidRDefault="00951A45" w:rsidP="00AD46D9">
            <w:pPr>
              <w:keepNext/>
              <w:spacing w:after="60"/>
            </w:pPr>
            <w:r>
              <w:rPr>
                <w:rFonts w:ascii="Calibri" w:hAnsi="Calibri"/>
                <w:sz w:val="20"/>
              </w:rPr>
              <w:t>Post-Lockdown</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2DDF5351" w14:textId="77777777" w:rsidR="00951A45" w:rsidRDefault="00951A45" w:rsidP="00AD46D9">
            <w:pPr>
              <w:keepNext/>
              <w:spacing w:after="60"/>
              <w:jc w:val="right"/>
            </w:pPr>
            <w:r>
              <w:rPr>
                <w:rFonts w:ascii="Calibri" w:hAnsi="Calibri"/>
                <w:b/>
                <w:sz w:val="20"/>
              </w:rPr>
              <w:t>98.08%</w:t>
            </w:r>
          </w:p>
        </w:tc>
        <w:tc>
          <w:tcPr>
            <w:tcW w:w="0" w:type="auto"/>
            <w:tcBorders>
              <w:top w:val="single" w:sz="0" w:space="0" w:color="D3D3D3"/>
              <w:left w:val="single" w:sz="0" w:space="0" w:color="D3D3D3"/>
              <w:bottom w:val="single" w:sz="0" w:space="0" w:color="D3D3D3"/>
              <w:right w:val="single" w:sz="0" w:space="0" w:color="D3D3D3"/>
            </w:tcBorders>
          </w:tcPr>
          <w:p w14:paraId="6B8C26BC" w14:textId="77777777" w:rsidR="00951A45" w:rsidRDefault="00951A45" w:rsidP="00AD46D9">
            <w:pPr>
              <w:keepNext/>
              <w:spacing w:after="60"/>
              <w:jc w:val="right"/>
            </w:pPr>
            <w:r>
              <w:rPr>
                <w:rFonts w:ascii="Calibri" w:hAnsi="Calibri"/>
                <w:sz w:val="20"/>
              </w:rPr>
              <w:t>112.54%</w:t>
            </w:r>
          </w:p>
        </w:tc>
        <w:tc>
          <w:tcPr>
            <w:tcW w:w="0" w:type="auto"/>
            <w:tcBorders>
              <w:top w:val="single" w:sz="0" w:space="0" w:color="D3D3D3"/>
              <w:left w:val="single" w:sz="0" w:space="0" w:color="D3D3D3"/>
              <w:bottom w:val="single" w:sz="0" w:space="0" w:color="D3D3D3"/>
              <w:right w:val="single" w:sz="0" w:space="0" w:color="D3D3D3"/>
            </w:tcBorders>
          </w:tcPr>
          <w:p w14:paraId="7AB6F21B" w14:textId="77777777" w:rsidR="00951A45" w:rsidRDefault="00951A45" w:rsidP="00AD46D9">
            <w:pPr>
              <w:keepNext/>
              <w:spacing w:after="60"/>
              <w:jc w:val="right"/>
            </w:pPr>
            <w:r>
              <w:rPr>
                <w:rFonts w:ascii="Calibri" w:hAnsi="Calibri"/>
                <w:sz w:val="20"/>
              </w:rPr>
              <w:t>83.63%</w:t>
            </w:r>
          </w:p>
        </w:tc>
        <w:tc>
          <w:tcPr>
            <w:tcW w:w="0" w:type="auto"/>
            <w:tcBorders>
              <w:top w:val="single" w:sz="0" w:space="0" w:color="D3D3D3"/>
              <w:left w:val="single" w:sz="0" w:space="0" w:color="D3D3D3"/>
              <w:bottom w:val="single" w:sz="0" w:space="0" w:color="D3D3D3"/>
              <w:right w:val="single" w:sz="0" w:space="0" w:color="D3D3D3"/>
            </w:tcBorders>
          </w:tcPr>
          <w:p w14:paraId="5772E0BB" w14:textId="77777777" w:rsidR="00951A45" w:rsidRDefault="00951A45" w:rsidP="00AD46D9">
            <w:pPr>
              <w:keepNext/>
              <w:spacing w:after="60"/>
              <w:jc w:val="right"/>
            </w:pPr>
            <w:r>
              <w:rPr>
                <w:rFonts w:ascii="Calibri" w:hAnsi="Calibri"/>
                <w:sz w:val="20"/>
              </w:rPr>
              <w:t>81.10%</w:t>
            </w:r>
          </w:p>
        </w:tc>
        <w:tc>
          <w:tcPr>
            <w:tcW w:w="0" w:type="auto"/>
            <w:tcBorders>
              <w:top w:val="single" w:sz="0" w:space="0" w:color="D3D3D3"/>
              <w:left w:val="single" w:sz="0" w:space="0" w:color="D3D3D3"/>
              <w:bottom w:val="single" w:sz="0" w:space="0" w:color="D3D3D3"/>
              <w:right w:val="single" w:sz="0" w:space="0" w:color="D3D3D3"/>
            </w:tcBorders>
          </w:tcPr>
          <w:p w14:paraId="6D244790" w14:textId="77777777" w:rsidR="00951A45" w:rsidRDefault="00951A45" w:rsidP="00AD46D9">
            <w:pPr>
              <w:keepNext/>
              <w:spacing w:after="60"/>
              <w:jc w:val="right"/>
            </w:pPr>
            <w:r>
              <w:rPr>
                <w:rFonts w:ascii="Calibri" w:hAnsi="Calibri"/>
                <w:sz w:val="20"/>
              </w:rPr>
              <w:t>109.91%</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23DA5327" w14:textId="77777777" w:rsidR="00951A45" w:rsidRDefault="00951A45" w:rsidP="00AD46D9">
            <w:pPr>
              <w:keepNext/>
              <w:spacing w:after="60"/>
              <w:jc w:val="right"/>
            </w:pPr>
            <w:r>
              <w:rPr>
                <w:rFonts w:ascii="Calibri" w:hAnsi="Calibri"/>
                <w:b/>
                <w:sz w:val="20"/>
              </w:rPr>
              <w:t>97.86%</w:t>
            </w:r>
          </w:p>
        </w:tc>
        <w:tc>
          <w:tcPr>
            <w:tcW w:w="0" w:type="auto"/>
            <w:tcBorders>
              <w:top w:val="single" w:sz="0" w:space="0" w:color="D3D3D3"/>
              <w:left w:val="single" w:sz="0" w:space="0" w:color="D3D3D3"/>
              <w:bottom w:val="single" w:sz="0" w:space="0" w:color="D3D3D3"/>
              <w:right w:val="single" w:sz="0" w:space="0" w:color="D3D3D3"/>
            </w:tcBorders>
          </w:tcPr>
          <w:p w14:paraId="09B4D1F8" w14:textId="77777777" w:rsidR="00951A45" w:rsidRDefault="00951A45" w:rsidP="00AD46D9">
            <w:pPr>
              <w:keepNext/>
              <w:spacing w:after="60"/>
              <w:jc w:val="right"/>
            </w:pPr>
            <w:r>
              <w:rPr>
                <w:rFonts w:ascii="Calibri" w:hAnsi="Calibri"/>
                <w:sz w:val="20"/>
              </w:rPr>
              <w:t>75.04%</w:t>
            </w:r>
          </w:p>
        </w:tc>
        <w:tc>
          <w:tcPr>
            <w:tcW w:w="0" w:type="auto"/>
            <w:tcBorders>
              <w:top w:val="single" w:sz="0" w:space="0" w:color="D3D3D3"/>
              <w:left w:val="single" w:sz="0" w:space="0" w:color="D3D3D3"/>
              <w:bottom w:val="single" w:sz="0" w:space="0" w:color="D3D3D3"/>
              <w:right w:val="single" w:sz="0" w:space="0" w:color="D3D3D3"/>
            </w:tcBorders>
          </w:tcPr>
          <w:p w14:paraId="78E7BF8D" w14:textId="77777777" w:rsidR="00951A45" w:rsidRDefault="00951A45" w:rsidP="00AD46D9">
            <w:pPr>
              <w:keepNext/>
              <w:spacing w:after="60"/>
              <w:jc w:val="right"/>
            </w:pPr>
            <w:r>
              <w:rPr>
                <w:rFonts w:ascii="Calibri" w:hAnsi="Calibri"/>
                <w:sz w:val="20"/>
              </w:rPr>
              <w:t>125.07%</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6DAC87B8" w14:textId="77777777" w:rsidR="00951A45" w:rsidRDefault="00951A45" w:rsidP="00AD46D9">
            <w:pPr>
              <w:keepNext/>
              <w:spacing w:after="60"/>
              <w:jc w:val="right"/>
            </w:pPr>
            <w:r>
              <w:rPr>
                <w:rFonts w:ascii="Calibri" w:hAnsi="Calibri"/>
                <w:b/>
                <w:sz w:val="20"/>
              </w:rPr>
              <w:t>156.45%</w:t>
            </w:r>
          </w:p>
        </w:tc>
        <w:tc>
          <w:tcPr>
            <w:tcW w:w="0" w:type="auto"/>
            <w:tcBorders>
              <w:top w:val="single" w:sz="0" w:space="0" w:color="D3D3D3"/>
              <w:left w:val="single" w:sz="0" w:space="0" w:color="D3D3D3"/>
              <w:bottom w:val="single" w:sz="0" w:space="0" w:color="D3D3D3"/>
              <w:right w:val="single" w:sz="0" w:space="0" w:color="D3D3D3"/>
            </w:tcBorders>
          </w:tcPr>
          <w:p w14:paraId="0EDF95A8" w14:textId="77777777" w:rsidR="00951A45" w:rsidRDefault="00951A45" w:rsidP="00AD46D9">
            <w:pPr>
              <w:keepNext/>
              <w:spacing w:after="60"/>
              <w:jc w:val="right"/>
            </w:pPr>
            <w:r>
              <w:rPr>
                <w:rFonts w:ascii="Calibri" w:hAnsi="Calibri"/>
                <w:sz w:val="20"/>
              </w:rPr>
              <w:t>165.09%</w:t>
            </w:r>
          </w:p>
        </w:tc>
        <w:tc>
          <w:tcPr>
            <w:tcW w:w="0" w:type="auto"/>
            <w:tcBorders>
              <w:top w:val="single" w:sz="0" w:space="0" w:color="D3D3D3"/>
              <w:left w:val="single" w:sz="0" w:space="0" w:color="D3D3D3"/>
              <w:bottom w:val="single" w:sz="0" w:space="0" w:color="D3D3D3"/>
              <w:right w:val="single" w:sz="0" w:space="0" w:color="D3D3D3"/>
            </w:tcBorders>
          </w:tcPr>
          <w:p w14:paraId="327D1297" w14:textId="77777777" w:rsidR="00951A45" w:rsidRDefault="00951A45" w:rsidP="00AD46D9">
            <w:pPr>
              <w:keepNext/>
              <w:spacing w:after="60"/>
              <w:jc w:val="right"/>
            </w:pPr>
            <w:r>
              <w:rPr>
                <w:rFonts w:ascii="Calibri" w:hAnsi="Calibri"/>
                <w:sz w:val="20"/>
              </w:rPr>
              <w:t>98.43%</w:t>
            </w:r>
          </w:p>
        </w:tc>
        <w:tc>
          <w:tcPr>
            <w:tcW w:w="0" w:type="auto"/>
            <w:tcBorders>
              <w:top w:val="single" w:sz="0" w:space="0" w:color="D3D3D3"/>
              <w:left w:val="single" w:sz="0" w:space="0" w:color="D3D3D3"/>
              <w:bottom w:val="single" w:sz="0" w:space="0" w:color="D3D3D3"/>
              <w:right w:val="single" w:sz="0" w:space="0" w:color="D3D3D3"/>
            </w:tcBorders>
            <w:shd w:val="clear" w:color="auto" w:fill="CCCCCC"/>
          </w:tcPr>
          <w:p w14:paraId="033F0C6B" w14:textId="77777777" w:rsidR="00951A45" w:rsidRDefault="00951A45" w:rsidP="00AD46D9">
            <w:pPr>
              <w:keepNext/>
              <w:spacing w:after="60"/>
              <w:jc w:val="right"/>
            </w:pPr>
            <w:r>
              <w:rPr>
                <w:rFonts w:ascii="Calibri" w:hAnsi="Calibri"/>
                <w:b/>
                <w:sz w:val="20"/>
              </w:rPr>
              <w:t>121.11%</w:t>
            </w:r>
          </w:p>
        </w:tc>
        <w:tc>
          <w:tcPr>
            <w:tcW w:w="0" w:type="auto"/>
            <w:tcBorders>
              <w:top w:val="single" w:sz="0" w:space="0" w:color="D3D3D3"/>
              <w:left w:val="single" w:sz="0" w:space="0" w:color="D3D3D3"/>
              <w:bottom w:val="single" w:sz="0" w:space="0" w:color="D3D3D3"/>
              <w:right w:val="single" w:sz="0" w:space="0" w:color="D3D3D3"/>
            </w:tcBorders>
          </w:tcPr>
          <w:p w14:paraId="24CC0504" w14:textId="77777777" w:rsidR="00951A45" w:rsidRDefault="00951A45" w:rsidP="00AD46D9">
            <w:pPr>
              <w:keepNext/>
              <w:spacing w:after="60"/>
              <w:jc w:val="right"/>
            </w:pPr>
            <w:r>
              <w:rPr>
                <w:rFonts w:ascii="Calibri" w:hAnsi="Calibri"/>
                <w:sz w:val="20"/>
              </w:rPr>
              <w:t>357.97%</w:t>
            </w:r>
          </w:p>
        </w:tc>
        <w:tc>
          <w:tcPr>
            <w:tcW w:w="0" w:type="auto"/>
            <w:tcBorders>
              <w:top w:val="single" w:sz="0" w:space="0" w:color="D3D3D3"/>
              <w:left w:val="single" w:sz="0" w:space="0" w:color="D3D3D3"/>
              <w:bottom w:val="single" w:sz="0" w:space="0" w:color="D3D3D3"/>
              <w:right w:val="single" w:sz="0" w:space="0" w:color="D3D3D3"/>
            </w:tcBorders>
          </w:tcPr>
          <w:p w14:paraId="41E9415F" w14:textId="77777777" w:rsidR="00951A45" w:rsidRDefault="00951A45" w:rsidP="00AD46D9">
            <w:pPr>
              <w:keepNext/>
              <w:spacing w:after="60"/>
              <w:jc w:val="right"/>
            </w:pPr>
            <w:r>
              <w:rPr>
                <w:rFonts w:ascii="Calibri" w:hAnsi="Calibri"/>
                <w:sz w:val="20"/>
              </w:rPr>
              <w:t>67.42%</w:t>
            </w:r>
          </w:p>
        </w:tc>
      </w:tr>
    </w:tbl>
    <w:p w14:paraId="01D7805D" w14:textId="77777777" w:rsidR="00355E4F" w:rsidRDefault="00355E4F" w:rsidP="001B7F8C">
      <w:pPr>
        <w:pStyle w:val="BodyText"/>
        <w:sectPr w:rsidR="00355E4F" w:rsidSect="00355E4F">
          <w:pgSz w:w="16838" w:h="11906" w:orient="landscape"/>
          <w:pgMar w:top="1440" w:right="1440" w:bottom="1440" w:left="1440" w:header="708" w:footer="708" w:gutter="0"/>
          <w:cols w:space="708"/>
          <w:docGrid w:linePitch="360"/>
        </w:sectPr>
      </w:pPr>
    </w:p>
    <w:p w14:paraId="65881D59" w14:textId="77777777" w:rsidR="00A02D7A" w:rsidRDefault="00A02D7A" w:rsidP="001B7F8C">
      <w:pPr>
        <w:pStyle w:val="BodyText"/>
      </w:pPr>
    </w:p>
    <w:p w14:paraId="3C7F509B" w14:textId="77777777" w:rsidR="001B7F8C" w:rsidRDefault="001B7F8C" w:rsidP="001B7F8C">
      <w:pPr>
        <w:pStyle w:val="BodyText"/>
      </w:pPr>
      <w:r>
        <w:t>To the best of the author’s knowledge, no retrospective long-term analysis has been conducted to assess the impacts of restrictions due to COVID-19 on access to reproductive healthcare in the UK.</w:t>
      </w:r>
    </w:p>
    <w:p w14:paraId="7B443095" w14:textId="77777777" w:rsidR="001B7F8C" w:rsidRDefault="001B7F8C" w:rsidP="001B7F8C">
      <w:pPr>
        <w:pStyle w:val="BodyText"/>
      </w:pPr>
      <w:r>
        <w:t xml:space="preserve">In Scotland, as in the rest of the UK, </w:t>
      </w:r>
      <w:proofErr w:type="gramStart"/>
      <w:r>
        <w:t>the majority of</w:t>
      </w:r>
      <w:proofErr w:type="gramEnd"/>
      <w:r>
        <w:t xml:space="preserve"> healthcare is supplied free at the point of use by the National Health Service. This dataset does not cover private prescriptions, but this is likely a small proportion of contraceptive prescriptions in Scotland.</w:t>
      </w:r>
    </w:p>
    <w:p w14:paraId="31F26F94" w14:textId="77777777" w:rsidR="00253FA3" w:rsidRDefault="00253FA3" w:rsidP="00253FA3">
      <w:pPr>
        <w:pStyle w:val="BodyText"/>
      </w:pPr>
      <w:r>
        <w:t>Recognition of need to improve quality of contraceptive telehealth [Women’s plan] although face to face remains the preferred option for many women [conundrum]</w:t>
      </w:r>
    </w:p>
    <w:p w14:paraId="166E70F9" w14:textId="77777777" w:rsidR="00A54054" w:rsidRPr="001B7F8C" w:rsidRDefault="00A54054">
      <w:pPr>
        <w:rPr>
          <w:lang w:val="en-US"/>
        </w:rPr>
      </w:pPr>
    </w:p>
    <w:sectPr w:rsidR="00A54054" w:rsidRPr="001B7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F8C"/>
    <w:rsid w:val="0004457C"/>
    <w:rsid w:val="00067C45"/>
    <w:rsid w:val="00080369"/>
    <w:rsid w:val="000A0776"/>
    <w:rsid w:val="000A5A94"/>
    <w:rsid w:val="000A7844"/>
    <w:rsid w:val="000B169A"/>
    <w:rsid w:val="000C4964"/>
    <w:rsid w:val="00105381"/>
    <w:rsid w:val="00123410"/>
    <w:rsid w:val="00125AD1"/>
    <w:rsid w:val="001461BC"/>
    <w:rsid w:val="00152CC0"/>
    <w:rsid w:val="0017517A"/>
    <w:rsid w:val="00184779"/>
    <w:rsid w:val="001956A4"/>
    <w:rsid w:val="00195A5E"/>
    <w:rsid w:val="001A3405"/>
    <w:rsid w:val="001B49F9"/>
    <w:rsid w:val="001B7F8C"/>
    <w:rsid w:val="001C0ACC"/>
    <w:rsid w:val="001C5C02"/>
    <w:rsid w:val="0020122A"/>
    <w:rsid w:val="002039DE"/>
    <w:rsid w:val="00253FA3"/>
    <w:rsid w:val="00257E64"/>
    <w:rsid w:val="00273337"/>
    <w:rsid w:val="0027625A"/>
    <w:rsid w:val="00287473"/>
    <w:rsid w:val="002A3C73"/>
    <w:rsid w:val="002B27A7"/>
    <w:rsid w:val="002C1E8A"/>
    <w:rsid w:val="002C5F9E"/>
    <w:rsid w:val="002D0021"/>
    <w:rsid w:val="002D279C"/>
    <w:rsid w:val="00326153"/>
    <w:rsid w:val="00330BDA"/>
    <w:rsid w:val="00342A7C"/>
    <w:rsid w:val="00355E4F"/>
    <w:rsid w:val="00376A8D"/>
    <w:rsid w:val="003A59C2"/>
    <w:rsid w:val="003B0F63"/>
    <w:rsid w:val="003B3242"/>
    <w:rsid w:val="003E62F6"/>
    <w:rsid w:val="00401A4D"/>
    <w:rsid w:val="00416D22"/>
    <w:rsid w:val="004329E1"/>
    <w:rsid w:val="00433671"/>
    <w:rsid w:val="004422E8"/>
    <w:rsid w:val="00447236"/>
    <w:rsid w:val="00447934"/>
    <w:rsid w:val="00492CA6"/>
    <w:rsid w:val="004936D9"/>
    <w:rsid w:val="004B41DC"/>
    <w:rsid w:val="005258E9"/>
    <w:rsid w:val="00527F2A"/>
    <w:rsid w:val="00530378"/>
    <w:rsid w:val="00551750"/>
    <w:rsid w:val="0055409D"/>
    <w:rsid w:val="00554AE6"/>
    <w:rsid w:val="00596AA5"/>
    <w:rsid w:val="005E62D8"/>
    <w:rsid w:val="005F5F22"/>
    <w:rsid w:val="00612A55"/>
    <w:rsid w:val="00615A2A"/>
    <w:rsid w:val="006549DD"/>
    <w:rsid w:val="00675C13"/>
    <w:rsid w:val="006A4280"/>
    <w:rsid w:val="006B5276"/>
    <w:rsid w:val="006B6381"/>
    <w:rsid w:val="006B6C65"/>
    <w:rsid w:val="006D1877"/>
    <w:rsid w:val="006E3BD3"/>
    <w:rsid w:val="006E6631"/>
    <w:rsid w:val="006F2467"/>
    <w:rsid w:val="006F4818"/>
    <w:rsid w:val="00723942"/>
    <w:rsid w:val="00737C86"/>
    <w:rsid w:val="00737EDF"/>
    <w:rsid w:val="00757E17"/>
    <w:rsid w:val="00782143"/>
    <w:rsid w:val="00787A17"/>
    <w:rsid w:val="007F45A1"/>
    <w:rsid w:val="00800FD3"/>
    <w:rsid w:val="00803046"/>
    <w:rsid w:val="0083136A"/>
    <w:rsid w:val="008419A2"/>
    <w:rsid w:val="008551A7"/>
    <w:rsid w:val="00861BBF"/>
    <w:rsid w:val="008A2003"/>
    <w:rsid w:val="008B3E5D"/>
    <w:rsid w:val="008B708F"/>
    <w:rsid w:val="008C4217"/>
    <w:rsid w:val="008F07BF"/>
    <w:rsid w:val="00903B3C"/>
    <w:rsid w:val="00951A45"/>
    <w:rsid w:val="009D25C9"/>
    <w:rsid w:val="00A02D7A"/>
    <w:rsid w:val="00A5381A"/>
    <w:rsid w:val="00A54054"/>
    <w:rsid w:val="00A85B7D"/>
    <w:rsid w:val="00A94545"/>
    <w:rsid w:val="00AA4400"/>
    <w:rsid w:val="00AB6DBC"/>
    <w:rsid w:val="00B03831"/>
    <w:rsid w:val="00B47617"/>
    <w:rsid w:val="00B61E2F"/>
    <w:rsid w:val="00B737A7"/>
    <w:rsid w:val="00B74A5F"/>
    <w:rsid w:val="00B9488C"/>
    <w:rsid w:val="00BA4FB2"/>
    <w:rsid w:val="00BB72A8"/>
    <w:rsid w:val="00BC6480"/>
    <w:rsid w:val="00BD73BB"/>
    <w:rsid w:val="00BE4029"/>
    <w:rsid w:val="00BF1437"/>
    <w:rsid w:val="00BF2522"/>
    <w:rsid w:val="00C2624C"/>
    <w:rsid w:val="00C31AA6"/>
    <w:rsid w:val="00C34CAE"/>
    <w:rsid w:val="00C40CAC"/>
    <w:rsid w:val="00C53D83"/>
    <w:rsid w:val="00C73A28"/>
    <w:rsid w:val="00C81E50"/>
    <w:rsid w:val="00C8617D"/>
    <w:rsid w:val="00CF358A"/>
    <w:rsid w:val="00D45334"/>
    <w:rsid w:val="00D51AEE"/>
    <w:rsid w:val="00D71C39"/>
    <w:rsid w:val="00E0155B"/>
    <w:rsid w:val="00E211D0"/>
    <w:rsid w:val="00E343A1"/>
    <w:rsid w:val="00E50F4B"/>
    <w:rsid w:val="00E53281"/>
    <w:rsid w:val="00E61237"/>
    <w:rsid w:val="00E86A9B"/>
    <w:rsid w:val="00E95EAB"/>
    <w:rsid w:val="00EB652B"/>
    <w:rsid w:val="00EC79EF"/>
    <w:rsid w:val="00EF713F"/>
    <w:rsid w:val="00F273B5"/>
    <w:rsid w:val="00F52984"/>
    <w:rsid w:val="00F55DAF"/>
    <w:rsid w:val="00F64920"/>
    <w:rsid w:val="00F720CB"/>
    <w:rsid w:val="00F76E45"/>
    <w:rsid w:val="00F924E4"/>
    <w:rsid w:val="00F979A7"/>
    <w:rsid w:val="00FB44EC"/>
    <w:rsid w:val="00FB7D9D"/>
    <w:rsid w:val="00FD796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B913"/>
  <w15:chartTrackingRefBased/>
  <w15:docId w15:val="{32DF5238-C731-5A4C-8246-A1177C59E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7F8C"/>
    <w:pPr>
      <w:spacing w:before="180" w:after="180" w:line="480" w:lineRule="auto"/>
    </w:pPr>
    <w:rPr>
      <w:rFonts w:ascii="Helvetica" w:eastAsiaTheme="minorHAnsi" w:hAnsi="Helvetica"/>
      <w:kern w:val="0"/>
      <w:lang w:val="en-US" w:eastAsia="en-US"/>
      <w14:ligatures w14:val="none"/>
    </w:rPr>
  </w:style>
  <w:style w:type="character" w:customStyle="1" w:styleId="BodyTextChar">
    <w:name w:val="Body Text Char"/>
    <w:basedOn w:val="DefaultParagraphFont"/>
    <w:link w:val="BodyText"/>
    <w:rsid w:val="001B7F8C"/>
    <w:rPr>
      <w:rFonts w:ascii="Helvetica" w:eastAsiaTheme="minorHAnsi" w:hAnsi="Helvetica"/>
      <w:kern w:val="0"/>
      <w:lang w:val="en-US" w:eastAsia="en-US"/>
      <w14:ligatures w14:val="none"/>
    </w:rPr>
  </w:style>
  <w:style w:type="paragraph" w:customStyle="1" w:styleId="FirstParagraph">
    <w:name w:val="First Paragraph"/>
    <w:basedOn w:val="BodyText"/>
    <w:next w:val="BodyText"/>
    <w:qFormat/>
    <w:rsid w:val="001B7F8C"/>
  </w:style>
  <w:style w:type="table" w:customStyle="1" w:styleId="Table">
    <w:name w:val="Table"/>
    <w:semiHidden/>
    <w:unhideWhenUsed/>
    <w:qFormat/>
    <w:rsid w:val="00951A45"/>
    <w:pPr>
      <w:spacing w:after="200"/>
    </w:pPr>
    <w:rPr>
      <w:rFonts w:eastAsiaTheme="minorHAnsi"/>
      <w:kern w:val="0"/>
      <w:lang w:val="en-US" w:eastAsia="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Johnson-Hall</dc:creator>
  <cp:keywords/>
  <dc:description/>
  <cp:lastModifiedBy>Elliot Johnson-Hall</cp:lastModifiedBy>
  <cp:revision>5</cp:revision>
  <dcterms:created xsi:type="dcterms:W3CDTF">2023-08-31T09:10:00Z</dcterms:created>
  <dcterms:modified xsi:type="dcterms:W3CDTF">2023-09-01T08:19:00Z</dcterms:modified>
</cp:coreProperties>
</file>