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5D257" w14:textId="77777777" w:rsidR="001B480A" w:rsidRPr="003A332C" w:rsidRDefault="00000000" w:rsidP="00A04103">
      <w:pPr>
        <w:pStyle w:val="Heading1"/>
      </w:pPr>
      <w:bookmarkStart w:id="0" w:name="title"/>
      <w:r w:rsidRPr="003A332C">
        <w:t>Title</w:t>
      </w:r>
    </w:p>
    <w:p w14:paraId="5762FC97" w14:textId="0B922AC4" w:rsidR="001B480A" w:rsidRPr="003A332C" w:rsidRDefault="00000000" w:rsidP="000D730A">
      <w:pPr>
        <w:pStyle w:val="FirstParagraph"/>
      </w:pPr>
      <w:r w:rsidRPr="003A332C">
        <w:t xml:space="preserve">Effects of </w:t>
      </w:r>
      <w:r w:rsidR="001A4E91">
        <w:t>COVID-19</w:t>
      </w:r>
      <w:r w:rsidRPr="003A332C">
        <w:t xml:space="preserve"> on contraceptive prescribing in Scottish General Practices.</w:t>
      </w:r>
    </w:p>
    <w:p w14:paraId="0B811469" w14:textId="77777777" w:rsidR="001B480A" w:rsidRPr="003A332C" w:rsidRDefault="00000000" w:rsidP="00A04103">
      <w:pPr>
        <w:pStyle w:val="Heading1"/>
      </w:pPr>
      <w:bookmarkStart w:id="1" w:name="short-title"/>
      <w:bookmarkEnd w:id="0"/>
      <w:r w:rsidRPr="003A332C">
        <w:t>Short title</w:t>
      </w:r>
    </w:p>
    <w:p w14:paraId="71F8C021" w14:textId="0DFFDBF4" w:rsidR="001B480A" w:rsidRPr="003A332C" w:rsidRDefault="001A4E91" w:rsidP="000D730A">
      <w:pPr>
        <w:pStyle w:val="FirstParagraph"/>
      </w:pPr>
      <w:r>
        <w:t>COVID-19</w:t>
      </w:r>
      <w:r w:rsidRPr="003A332C">
        <w:t xml:space="preserve"> and contraception in Scotland.</w:t>
      </w:r>
    </w:p>
    <w:p w14:paraId="6EEFB6D5" w14:textId="77777777" w:rsidR="001B480A" w:rsidRPr="003A332C" w:rsidRDefault="00000000" w:rsidP="00A04103">
      <w:pPr>
        <w:pStyle w:val="Heading1"/>
      </w:pPr>
      <w:bookmarkStart w:id="2" w:name="author-information"/>
      <w:bookmarkEnd w:id="1"/>
      <w:r w:rsidRPr="003A332C">
        <w:t>Author information</w:t>
      </w:r>
    </w:p>
    <w:p w14:paraId="7D460B87" w14:textId="205E2F64" w:rsidR="001B480A" w:rsidRPr="003A332C" w:rsidRDefault="00000000" w:rsidP="000D730A">
      <w:pPr>
        <w:pStyle w:val="FirstParagraph"/>
      </w:pPr>
      <w:r w:rsidRPr="003A332C">
        <w:t>Elliot Johnson-Hall</w:t>
      </w:r>
      <w:r w:rsidR="00CE6E54" w:rsidRPr="003A332C">
        <w:rPr>
          <w:vertAlign w:val="superscript"/>
        </w:rPr>
        <w:t>a</w:t>
      </w:r>
    </w:p>
    <w:p w14:paraId="03352784" w14:textId="58A71E0B" w:rsidR="001B480A" w:rsidRPr="003A332C" w:rsidRDefault="00000000" w:rsidP="000D730A">
      <w:pPr>
        <w:pStyle w:val="BodyText"/>
      </w:pPr>
      <w:r w:rsidRPr="003A332C">
        <w:t>O</w:t>
      </w:r>
      <w:r w:rsidR="005E1AE1">
        <w:t>RCID</w:t>
      </w:r>
      <w:r w:rsidRPr="003A332C">
        <w:t>: 0009-0003-5105-034X</w:t>
      </w:r>
    </w:p>
    <w:bookmarkStart w:id="3" w:name="keywords"/>
    <w:bookmarkEnd w:id="2"/>
    <w:p w14:paraId="4FDFE6D4" w14:textId="3CD8C80D" w:rsidR="00CE6E54" w:rsidRPr="003A332C" w:rsidRDefault="00CE6E54" w:rsidP="009D2113">
      <w:pPr>
        <w:pStyle w:val="BodyText"/>
      </w:pPr>
      <w:r w:rsidRPr="003A332C">
        <w:fldChar w:fldCharType="begin"/>
      </w:r>
      <w:r w:rsidRPr="003A332C">
        <w:instrText>HYPERLINK "mailto:e.johnson-hall.2023@bristol.ac.uk"</w:instrText>
      </w:r>
      <w:r w:rsidRPr="003A332C">
        <w:fldChar w:fldCharType="separate"/>
      </w:r>
      <w:r w:rsidRPr="003A332C">
        <w:rPr>
          <w:rStyle w:val="Hyperlink"/>
        </w:rPr>
        <w:t>e.johnson-hall.2023@bristol.ac.uk</w:t>
      </w:r>
      <w:r w:rsidRPr="003A332C">
        <w:fldChar w:fldCharType="end"/>
      </w:r>
    </w:p>
    <w:p w14:paraId="76F43219" w14:textId="21C7C954" w:rsidR="00CE6E54" w:rsidRPr="003A332C" w:rsidRDefault="00CE6E54" w:rsidP="009D2113">
      <w:pPr>
        <w:pStyle w:val="BodyText"/>
        <w:rPr>
          <w:vertAlign w:val="superscript"/>
        </w:rPr>
      </w:pPr>
      <w:r w:rsidRPr="003A332C">
        <w:rPr>
          <w:vertAlign w:val="superscript"/>
        </w:rPr>
        <w:t>a</w:t>
      </w:r>
      <w:r w:rsidRPr="003A332C">
        <w:t xml:space="preserve"> </w:t>
      </w:r>
      <w:r w:rsidR="0082047F">
        <w:t xml:space="preserve">Deanery of </w:t>
      </w:r>
      <w:r w:rsidRPr="003A332C">
        <w:t xml:space="preserve">Biomedical Sciences, University of Edinburgh, Old Medical School (Doorway 3), Teviot Place, Edinburgh, EH8 9AG, </w:t>
      </w:r>
      <w:r w:rsidR="009D2113" w:rsidRPr="003A332C">
        <w:t>Scotland, UK</w:t>
      </w:r>
      <w:r w:rsidRPr="003A332C">
        <w:t>.</w:t>
      </w:r>
      <w:r w:rsidRPr="003A332C">
        <w:rPr>
          <w:vertAlign w:val="superscript"/>
        </w:rPr>
        <w:t>1</w:t>
      </w:r>
    </w:p>
    <w:p w14:paraId="4AEC46BB" w14:textId="77777777" w:rsidR="00DC7618" w:rsidRDefault="00CE6E54" w:rsidP="009D2113">
      <w:pPr>
        <w:pStyle w:val="BodyText"/>
      </w:pPr>
      <w:r w:rsidRPr="003A332C">
        <w:rPr>
          <w:vertAlign w:val="superscript"/>
        </w:rPr>
        <w:t>1</w:t>
      </w:r>
      <w:r w:rsidRPr="003A332C">
        <w:t xml:space="preserve"> Present address: Department of Translational Health Sciences, University of Bristol, </w:t>
      </w:r>
      <w:r w:rsidR="009D2113" w:rsidRPr="003A332C">
        <w:t xml:space="preserve">Whitson Street, </w:t>
      </w:r>
      <w:r w:rsidRPr="003A332C">
        <w:t>Bristol, BS1 3NY,</w:t>
      </w:r>
      <w:r w:rsidR="009D2113" w:rsidRPr="003A332C">
        <w:t xml:space="preserve"> England,</w:t>
      </w:r>
      <w:r w:rsidRPr="003A332C">
        <w:t xml:space="preserve"> UK.</w:t>
      </w:r>
    </w:p>
    <w:p w14:paraId="6D09BD46" w14:textId="77777777" w:rsidR="00DC7618" w:rsidRDefault="00DC7618" w:rsidP="00DC7618">
      <w:pPr>
        <w:pStyle w:val="Heading1"/>
      </w:pPr>
      <w:r>
        <w:t>Availability of Data &amp; Code</w:t>
      </w:r>
    </w:p>
    <w:p w14:paraId="6C24D756" w14:textId="77C56949" w:rsidR="009129C2" w:rsidRDefault="009129C2" w:rsidP="009D2113">
      <w:pPr>
        <w:pStyle w:val="BodyText"/>
      </w:pPr>
      <w:r>
        <w:t xml:space="preserve">All code and data used </w:t>
      </w:r>
      <w:r w:rsidR="005E1AE1">
        <w:t>are</w:t>
      </w:r>
      <w:r>
        <w:t xml:space="preserve"> f</w:t>
      </w:r>
      <w:r w:rsidR="00DC7618">
        <w:t>ully available from Zenodo: doi:</w:t>
      </w:r>
      <w:r w:rsidR="00DC7618" w:rsidRPr="00DC7618">
        <w:t>10.5281/zenodo.8310085</w:t>
      </w:r>
    </w:p>
    <w:p w14:paraId="491CFE14" w14:textId="6CB741A3" w:rsidR="00A04103" w:rsidRPr="003A332C" w:rsidRDefault="009129C2" w:rsidP="009D2113">
      <w:pPr>
        <w:pStyle w:val="BodyText"/>
      </w:pPr>
      <w:r>
        <w:t xml:space="preserve">The raw dataset used is also publicly available from </w:t>
      </w:r>
      <w:r w:rsidRPr="003A332C">
        <w:rPr>
          <w:lang w:eastAsia="ko-KR"/>
        </w:rPr>
        <w:t>the Scottish Health and Social Care Open Data repository (</w:t>
      </w:r>
      <w:hyperlink r:id="rId8">
        <w:r w:rsidRPr="003A332C">
          <w:rPr>
            <w:rStyle w:val="Hyperlink"/>
            <w:lang w:eastAsia="ko-KR"/>
          </w:rPr>
          <w:t>https://www.opendata.nhs.scot</w:t>
        </w:r>
      </w:hyperlink>
      <w:r w:rsidRPr="003A332C">
        <w:rPr>
          <w:lang w:eastAsia="ko-KR"/>
        </w:rPr>
        <w:t>)</w:t>
      </w:r>
      <w:r w:rsidR="00A04103" w:rsidRPr="003A332C">
        <w:br w:type="page"/>
      </w:r>
    </w:p>
    <w:p w14:paraId="2765C509" w14:textId="0A967541" w:rsidR="001B480A" w:rsidRPr="003A332C" w:rsidRDefault="00000000" w:rsidP="00A04103">
      <w:pPr>
        <w:pStyle w:val="Heading1"/>
      </w:pPr>
      <w:r w:rsidRPr="003A332C">
        <w:lastRenderedPageBreak/>
        <w:t>Keywords</w:t>
      </w:r>
    </w:p>
    <w:p w14:paraId="0644AB63" w14:textId="150B32C8" w:rsidR="001B480A" w:rsidRPr="003A332C" w:rsidRDefault="001A4E91" w:rsidP="000D730A">
      <w:pPr>
        <w:pStyle w:val="Compact"/>
        <w:numPr>
          <w:ilvl w:val="0"/>
          <w:numId w:val="2"/>
        </w:numPr>
      </w:pPr>
      <w:r>
        <w:t>COVID-19</w:t>
      </w:r>
    </w:p>
    <w:p w14:paraId="136FA286" w14:textId="77777777" w:rsidR="001B480A" w:rsidRPr="003A332C" w:rsidRDefault="00000000" w:rsidP="000D730A">
      <w:pPr>
        <w:pStyle w:val="Compact"/>
        <w:numPr>
          <w:ilvl w:val="0"/>
          <w:numId w:val="2"/>
        </w:numPr>
      </w:pPr>
      <w:r w:rsidRPr="003A332C">
        <w:t>Contraception</w:t>
      </w:r>
    </w:p>
    <w:p w14:paraId="3CBAB2F1" w14:textId="7A518964" w:rsidR="001B480A" w:rsidRPr="003A332C" w:rsidRDefault="00000000" w:rsidP="000D730A">
      <w:pPr>
        <w:pStyle w:val="Compact"/>
        <w:numPr>
          <w:ilvl w:val="0"/>
          <w:numId w:val="2"/>
        </w:numPr>
      </w:pPr>
      <w:r w:rsidRPr="003A332C">
        <w:t>General practice</w:t>
      </w:r>
    </w:p>
    <w:p w14:paraId="2FBA331B" w14:textId="790373FB" w:rsidR="00450D15" w:rsidRPr="003A332C" w:rsidRDefault="00450D15" w:rsidP="000D730A">
      <w:pPr>
        <w:pStyle w:val="Compact"/>
        <w:numPr>
          <w:ilvl w:val="0"/>
          <w:numId w:val="2"/>
        </w:numPr>
      </w:pPr>
      <w:r w:rsidRPr="003A332C">
        <w:t>Scotland</w:t>
      </w:r>
    </w:p>
    <w:p w14:paraId="62B0BCBE" w14:textId="5C71AB5A" w:rsidR="00450D15" w:rsidRPr="003A332C" w:rsidRDefault="00450D15" w:rsidP="000D730A">
      <w:pPr>
        <w:pStyle w:val="Compact"/>
        <w:numPr>
          <w:ilvl w:val="0"/>
          <w:numId w:val="2"/>
        </w:numPr>
      </w:pPr>
      <w:r w:rsidRPr="003A332C">
        <w:t>Prescribing trends</w:t>
      </w:r>
    </w:p>
    <w:p w14:paraId="616F8D3B" w14:textId="518C54D0" w:rsidR="001B480A" w:rsidRPr="003A332C" w:rsidRDefault="004F7FD2" w:rsidP="00A04103">
      <w:pPr>
        <w:pStyle w:val="Heading1"/>
      </w:pPr>
      <w:bookmarkStart w:id="4" w:name="abreviations"/>
      <w:bookmarkEnd w:id="3"/>
      <w:r w:rsidRPr="003A332C">
        <w:t>Abbreviations</w:t>
      </w:r>
    </w:p>
    <w:tbl>
      <w:tblPr>
        <w:tblStyle w:val="PlainTable2"/>
        <w:tblW w:w="0" w:type="auto"/>
        <w:tblLook w:val="0000" w:firstRow="0" w:lastRow="0" w:firstColumn="0" w:lastColumn="0" w:noHBand="0" w:noVBand="0"/>
      </w:tblPr>
      <w:tblGrid>
        <w:gridCol w:w="910"/>
        <w:gridCol w:w="4085"/>
      </w:tblGrid>
      <w:tr w:rsidR="004668ED" w:rsidRPr="003A332C" w14:paraId="6DCA4974" w14:textId="77777777" w:rsidTr="001A4E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0CBF6E9" w14:textId="77777777" w:rsidR="004668ED" w:rsidRPr="003A332C" w:rsidRDefault="004668ED" w:rsidP="000D730A">
            <w:pPr>
              <w:pStyle w:val="Compact"/>
            </w:pPr>
            <w:r w:rsidRPr="003A332C">
              <w:t>BNF</w:t>
            </w:r>
          </w:p>
        </w:tc>
        <w:tc>
          <w:tcPr>
            <w:cnfStyle w:val="000001000000" w:firstRow="0" w:lastRow="0" w:firstColumn="0" w:lastColumn="0" w:oddVBand="0" w:evenVBand="1" w:oddHBand="0" w:evenHBand="0" w:firstRowFirstColumn="0" w:firstRowLastColumn="0" w:lastRowFirstColumn="0" w:lastRowLastColumn="0"/>
            <w:tcW w:w="0" w:type="auto"/>
          </w:tcPr>
          <w:p w14:paraId="4BCC0AE1" w14:textId="77777777" w:rsidR="004668ED" w:rsidRPr="003A332C" w:rsidRDefault="004668ED" w:rsidP="000D730A">
            <w:pPr>
              <w:pStyle w:val="Compact"/>
            </w:pPr>
            <w:r w:rsidRPr="003A332C">
              <w:t>British National Formulary</w:t>
            </w:r>
          </w:p>
        </w:tc>
      </w:tr>
      <w:tr w:rsidR="004668ED" w:rsidRPr="003A332C" w14:paraId="297358B3" w14:textId="77777777" w:rsidTr="001A4E91">
        <w:tc>
          <w:tcPr>
            <w:cnfStyle w:val="000010000000" w:firstRow="0" w:lastRow="0" w:firstColumn="0" w:lastColumn="0" w:oddVBand="1" w:evenVBand="0" w:oddHBand="0" w:evenHBand="0" w:firstRowFirstColumn="0" w:firstRowLastColumn="0" w:lastRowFirstColumn="0" w:lastRowLastColumn="0"/>
            <w:tcW w:w="0" w:type="auto"/>
          </w:tcPr>
          <w:p w14:paraId="0470E0AE" w14:textId="77777777" w:rsidR="004668ED" w:rsidRPr="003A332C" w:rsidRDefault="004668ED" w:rsidP="000D730A">
            <w:pPr>
              <w:pStyle w:val="Compact"/>
            </w:pPr>
            <w:r w:rsidRPr="003A332C">
              <w:t>COCP</w:t>
            </w:r>
          </w:p>
        </w:tc>
        <w:tc>
          <w:tcPr>
            <w:cnfStyle w:val="000001000000" w:firstRow="0" w:lastRow="0" w:firstColumn="0" w:lastColumn="0" w:oddVBand="0" w:evenVBand="1" w:oddHBand="0" w:evenHBand="0" w:firstRowFirstColumn="0" w:firstRowLastColumn="0" w:lastRowFirstColumn="0" w:lastRowLastColumn="0"/>
            <w:tcW w:w="0" w:type="auto"/>
          </w:tcPr>
          <w:p w14:paraId="79681826" w14:textId="77777777" w:rsidR="004668ED" w:rsidRPr="003A332C" w:rsidRDefault="004668ED" w:rsidP="000D730A">
            <w:pPr>
              <w:pStyle w:val="Compact"/>
            </w:pPr>
            <w:r w:rsidRPr="003A332C">
              <w:t>Combined oral contraceptive pill</w:t>
            </w:r>
          </w:p>
        </w:tc>
      </w:tr>
      <w:tr w:rsidR="004668ED" w:rsidRPr="003A332C" w14:paraId="4E097ECD" w14:textId="77777777" w:rsidTr="001A4E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91E9E46" w14:textId="77777777" w:rsidR="004668ED" w:rsidRPr="003A332C" w:rsidRDefault="004668ED" w:rsidP="000D730A">
            <w:pPr>
              <w:pStyle w:val="Compact"/>
            </w:pPr>
            <w:r w:rsidRPr="003A332C">
              <w:t>EC</w:t>
            </w:r>
          </w:p>
        </w:tc>
        <w:tc>
          <w:tcPr>
            <w:cnfStyle w:val="000001000000" w:firstRow="0" w:lastRow="0" w:firstColumn="0" w:lastColumn="0" w:oddVBand="0" w:evenVBand="1" w:oddHBand="0" w:evenHBand="0" w:firstRowFirstColumn="0" w:firstRowLastColumn="0" w:lastRowFirstColumn="0" w:lastRowLastColumn="0"/>
            <w:tcW w:w="0" w:type="auto"/>
          </w:tcPr>
          <w:p w14:paraId="36AAB5B4" w14:textId="77777777" w:rsidR="004668ED" w:rsidRPr="003A332C" w:rsidRDefault="004668ED" w:rsidP="000D730A">
            <w:pPr>
              <w:pStyle w:val="Compact"/>
            </w:pPr>
            <w:r w:rsidRPr="003A332C">
              <w:t>Emergency contraception</w:t>
            </w:r>
          </w:p>
        </w:tc>
      </w:tr>
      <w:tr w:rsidR="004668ED" w:rsidRPr="003A332C" w14:paraId="198A9EC4" w14:textId="77777777" w:rsidTr="001A4E91">
        <w:tc>
          <w:tcPr>
            <w:cnfStyle w:val="000010000000" w:firstRow="0" w:lastRow="0" w:firstColumn="0" w:lastColumn="0" w:oddVBand="1" w:evenVBand="0" w:oddHBand="0" w:evenHBand="0" w:firstRowFirstColumn="0" w:firstRowLastColumn="0" w:lastRowFirstColumn="0" w:lastRowLastColumn="0"/>
            <w:tcW w:w="0" w:type="auto"/>
          </w:tcPr>
          <w:p w14:paraId="5D525217" w14:textId="77777777" w:rsidR="004668ED" w:rsidRPr="003A332C" w:rsidRDefault="004668ED" w:rsidP="000D730A">
            <w:pPr>
              <w:pStyle w:val="Compact"/>
            </w:pPr>
            <w:r w:rsidRPr="003A332C">
              <w:t>IUD</w:t>
            </w:r>
          </w:p>
        </w:tc>
        <w:tc>
          <w:tcPr>
            <w:cnfStyle w:val="000001000000" w:firstRow="0" w:lastRow="0" w:firstColumn="0" w:lastColumn="0" w:oddVBand="0" w:evenVBand="1" w:oddHBand="0" w:evenHBand="0" w:firstRowFirstColumn="0" w:firstRowLastColumn="0" w:lastRowFirstColumn="0" w:lastRowLastColumn="0"/>
            <w:tcW w:w="0" w:type="auto"/>
          </w:tcPr>
          <w:p w14:paraId="3A243178" w14:textId="77777777" w:rsidR="004668ED" w:rsidRPr="003A332C" w:rsidRDefault="004668ED" w:rsidP="000D730A">
            <w:pPr>
              <w:pStyle w:val="Compact"/>
            </w:pPr>
            <w:r w:rsidRPr="003A332C">
              <w:t>Intra-uterine device</w:t>
            </w:r>
          </w:p>
        </w:tc>
      </w:tr>
      <w:tr w:rsidR="004668ED" w:rsidRPr="003A332C" w14:paraId="18AAC5D6" w14:textId="77777777" w:rsidTr="001A4E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5F97454" w14:textId="77777777" w:rsidR="004668ED" w:rsidRPr="003A332C" w:rsidRDefault="004668ED" w:rsidP="000D730A">
            <w:pPr>
              <w:pStyle w:val="Compact"/>
            </w:pPr>
            <w:r w:rsidRPr="003A332C">
              <w:t>IUS</w:t>
            </w:r>
          </w:p>
        </w:tc>
        <w:tc>
          <w:tcPr>
            <w:cnfStyle w:val="000001000000" w:firstRow="0" w:lastRow="0" w:firstColumn="0" w:lastColumn="0" w:oddVBand="0" w:evenVBand="1" w:oddHBand="0" w:evenHBand="0" w:firstRowFirstColumn="0" w:firstRowLastColumn="0" w:lastRowFirstColumn="0" w:lastRowLastColumn="0"/>
            <w:tcW w:w="0" w:type="auto"/>
          </w:tcPr>
          <w:p w14:paraId="7DF0C461" w14:textId="77777777" w:rsidR="004668ED" w:rsidRPr="003A332C" w:rsidRDefault="004668ED" w:rsidP="000D730A">
            <w:pPr>
              <w:pStyle w:val="Compact"/>
            </w:pPr>
            <w:r w:rsidRPr="003A332C">
              <w:t>Intra-uterine system</w:t>
            </w:r>
          </w:p>
        </w:tc>
      </w:tr>
      <w:tr w:rsidR="004668ED" w:rsidRPr="003A332C" w14:paraId="054FB769" w14:textId="77777777" w:rsidTr="001A4E91">
        <w:tc>
          <w:tcPr>
            <w:cnfStyle w:val="000010000000" w:firstRow="0" w:lastRow="0" w:firstColumn="0" w:lastColumn="0" w:oddVBand="1" w:evenVBand="0" w:oddHBand="0" w:evenHBand="0" w:firstRowFirstColumn="0" w:firstRowLastColumn="0" w:lastRowFirstColumn="0" w:lastRowLastColumn="0"/>
            <w:tcW w:w="0" w:type="auto"/>
          </w:tcPr>
          <w:p w14:paraId="6A745B50" w14:textId="77777777" w:rsidR="004668ED" w:rsidRPr="003A332C" w:rsidRDefault="004668ED" w:rsidP="000D730A">
            <w:pPr>
              <w:pStyle w:val="Compact"/>
            </w:pPr>
            <w:r w:rsidRPr="003A332C">
              <w:t>LARC</w:t>
            </w:r>
          </w:p>
        </w:tc>
        <w:tc>
          <w:tcPr>
            <w:cnfStyle w:val="000001000000" w:firstRow="0" w:lastRow="0" w:firstColumn="0" w:lastColumn="0" w:oddVBand="0" w:evenVBand="1" w:oddHBand="0" w:evenHBand="0" w:firstRowFirstColumn="0" w:firstRowLastColumn="0" w:lastRowFirstColumn="0" w:lastRowLastColumn="0"/>
            <w:tcW w:w="0" w:type="auto"/>
          </w:tcPr>
          <w:p w14:paraId="0CDFEB3A" w14:textId="77777777" w:rsidR="004668ED" w:rsidRPr="003A332C" w:rsidRDefault="004668ED" w:rsidP="000D730A">
            <w:pPr>
              <w:pStyle w:val="Compact"/>
            </w:pPr>
            <w:r w:rsidRPr="003A332C">
              <w:t>Long-acting reversible contraception</w:t>
            </w:r>
          </w:p>
        </w:tc>
      </w:tr>
      <w:tr w:rsidR="004668ED" w:rsidRPr="003A332C" w14:paraId="679AAC7C" w14:textId="77777777" w:rsidTr="001A4E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E3BF87B" w14:textId="77777777" w:rsidR="004668ED" w:rsidRPr="003A332C" w:rsidRDefault="004668ED" w:rsidP="000D730A">
            <w:pPr>
              <w:pStyle w:val="Compact"/>
            </w:pPr>
            <w:r w:rsidRPr="003A332C">
              <w:t>NHS</w:t>
            </w:r>
          </w:p>
        </w:tc>
        <w:tc>
          <w:tcPr>
            <w:cnfStyle w:val="000001000000" w:firstRow="0" w:lastRow="0" w:firstColumn="0" w:lastColumn="0" w:oddVBand="0" w:evenVBand="1" w:oddHBand="0" w:evenHBand="0" w:firstRowFirstColumn="0" w:firstRowLastColumn="0" w:lastRowFirstColumn="0" w:lastRowLastColumn="0"/>
            <w:tcW w:w="0" w:type="auto"/>
          </w:tcPr>
          <w:p w14:paraId="3DB86F82" w14:textId="77777777" w:rsidR="004668ED" w:rsidRPr="003A332C" w:rsidRDefault="004668ED" w:rsidP="000D730A">
            <w:pPr>
              <w:pStyle w:val="Compact"/>
            </w:pPr>
            <w:r w:rsidRPr="003A332C">
              <w:t>National Health Service</w:t>
            </w:r>
          </w:p>
        </w:tc>
      </w:tr>
      <w:tr w:rsidR="004668ED" w:rsidRPr="003A332C" w14:paraId="441947E5" w14:textId="77777777" w:rsidTr="001A4E91">
        <w:tc>
          <w:tcPr>
            <w:cnfStyle w:val="000010000000" w:firstRow="0" w:lastRow="0" w:firstColumn="0" w:lastColumn="0" w:oddVBand="1" w:evenVBand="0" w:oddHBand="0" w:evenHBand="0" w:firstRowFirstColumn="0" w:firstRowLastColumn="0" w:lastRowFirstColumn="0" w:lastRowLastColumn="0"/>
            <w:tcW w:w="0" w:type="auto"/>
          </w:tcPr>
          <w:p w14:paraId="33D7FE38" w14:textId="77777777" w:rsidR="004668ED" w:rsidRPr="003A332C" w:rsidRDefault="004668ED" w:rsidP="000D730A">
            <w:pPr>
              <w:pStyle w:val="Compact"/>
            </w:pPr>
            <w:r w:rsidRPr="003A332C">
              <w:t>POP</w:t>
            </w:r>
          </w:p>
        </w:tc>
        <w:tc>
          <w:tcPr>
            <w:cnfStyle w:val="000001000000" w:firstRow="0" w:lastRow="0" w:firstColumn="0" w:lastColumn="0" w:oddVBand="0" w:evenVBand="1" w:oddHBand="0" w:evenHBand="0" w:firstRowFirstColumn="0" w:firstRowLastColumn="0" w:lastRowFirstColumn="0" w:lastRowLastColumn="0"/>
            <w:tcW w:w="0" w:type="auto"/>
          </w:tcPr>
          <w:p w14:paraId="004076C6" w14:textId="77777777" w:rsidR="004668ED" w:rsidRPr="003A332C" w:rsidRDefault="004668ED" w:rsidP="000D730A">
            <w:pPr>
              <w:pStyle w:val="Compact"/>
            </w:pPr>
            <w:r w:rsidRPr="003A332C">
              <w:t>Progesterone-only pill</w:t>
            </w:r>
          </w:p>
        </w:tc>
      </w:tr>
      <w:tr w:rsidR="004668ED" w:rsidRPr="003A332C" w14:paraId="2F407231" w14:textId="77777777" w:rsidTr="001A4E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8E7FE5A" w14:textId="77777777" w:rsidR="004668ED" w:rsidRPr="003A332C" w:rsidRDefault="004668ED" w:rsidP="000D730A">
            <w:pPr>
              <w:pStyle w:val="Compact"/>
            </w:pPr>
            <w:r w:rsidRPr="003A332C">
              <w:t>UK</w:t>
            </w:r>
          </w:p>
        </w:tc>
        <w:tc>
          <w:tcPr>
            <w:cnfStyle w:val="000001000000" w:firstRow="0" w:lastRow="0" w:firstColumn="0" w:lastColumn="0" w:oddVBand="0" w:evenVBand="1" w:oddHBand="0" w:evenHBand="0" w:firstRowFirstColumn="0" w:firstRowLastColumn="0" w:lastRowFirstColumn="0" w:lastRowLastColumn="0"/>
            <w:tcW w:w="0" w:type="auto"/>
          </w:tcPr>
          <w:p w14:paraId="1715829D" w14:textId="77777777" w:rsidR="004668ED" w:rsidRPr="003A332C" w:rsidRDefault="004668ED" w:rsidP="000D730A">
            <w:pPr>
              <w:pStyle w:val="Compact"/>
            </w:pPr>
            <w:r w:rsidRPr="003A332C">
              <w:t>United Kingdom</w:t>
            </w:r>
          </w:p>
        </w:tc>
      </w:tr>
    </w:tbl>
    <w:p w14:paraId="66274744" w14:textId="77777777" w:rsidR="00A04103" w:rsidRPr="003A332C" w:rsidRDefault="00A04103" w:rsidP="00A04103">
      <w:pPr>
        <w:rPr>
          <w:rFonts w:ascii="Helvetica" w:eastAsiaTheme="majorEastAsia" w:hAnsi="Helvetica" w:cstheme="majorBidi"/>
          <w:b/>
          <w:color w:val="000000" w:themeColor="text1"/>
          <w:sz w:val="32"/>
          <w:szCs w:val="32"/>
        </w:rPr>
      </w:pPr>
      <w:bookmarkStart w:id="5" w:name="abstract"/>
      <w:bookmarkEnd w:id="4"/>
      <w:r w:rsidRPr="003A332C">
        <w:br w:type="page"/>
      </w:r>
    </w:p>
    <w:p w14:paraId="36E2969A" w14:textId="47FD9418" w:rsidR="001B480A" w:rsidRPr="003A332C" w:rsidRDefault="00000000" w:rsidP="00A04103">
      <w:pPr>
        <w:pStyle w:val="Heading1"/>
      </w:pPr>
      <w:r w:rsidRPr="003A332C">
        <w:lastRenderedPageBreak/>
        <w:t>Abstract</w:t>
      </w:r>
    </w:p>
    <w:p w14:paraId="1477F13E" w14:textId="610E689D" w:rsidR="009D2113" w:rsidRPr="00C3114B" w:rsidRDefault="009D2113" w:rsidP="00C3114B">
      <w:pPr>
        <w:pStyle w:val="Heading2"/>
      </w:pPr>
      <w:r w:rsidRPr="00C3114B">
        <w:t>Background</w:t>
      </w:r>
    </w:p>
    <w:p w14:paraId="60D1FAC0" w14:textId="77FF3CFC" w:rsidR="00A82936" w:rsidRPr="003A332C" w:rsidRDefault="00A82936" w:rsidP="00A82936">
      <w:pPr>
        <w:pStyle w:val="BodyText"/>
      </w:pPr>
      <w:r w:rsidRPr="003A332C">
        <w:t xml:space="preserve">In Scotland, the effects of the </w:t>
      </w:r>
      <w:r w:rsidR="001A4E91">
        <w:t>COVID-19</w:t>
      </w:r>
      <w:r w:rsidRPr="003A332C">
        <w:t xml:space="preserve"> pandemic on women’s access to contraception are unknown. Globally, it has been seen that </w:t>
      </w:r>
      <w:r w:rsidR="001A4E91">
        <w:t>COVID-19</w:t>
      </w:r>
      <w:r w:rsidRPr="003A332C">
        <w:t xml:space="preserve"> restrictions have led to a shift to telehealth service delivery alongside a reduction in contraceptive provision. Moreover, little research has been conducted to analyse the lasting impacts of </w:t>
      </w:r>
      <w:r w:rsidR="001A4E91">
        <w:t>COVID-19</w:t>
      </w:r>
      <w:r w:rsidRPr="003A332C">
        <w:t xml:space="preserve"> on contraception after the acute phase of the pandemic is over.</w:t>
      </w:r>
    </w:p>
    <w:p w14:paraId="4488742B" w14:textId="2AA5CF17" w:rsidR="009D2113" w:rsidRPr="003A332C" w:rsidRDefault="00A82936" w:rsidP="00C3114B">
      <w:pPr>
        <w:pStyle w:val="Heading2"/>
      </w:pPr>
      <w:r w:rsidRPr="003A332C">
        <w:t>Methods</w:t>
      </w:r>
    </w:p>
    <w:p w14:paraId="1C56A64D" w14:textId="7A646686" w:rsidR="00A82936" w:rsidRPr="003A332C" w:rsidRDefault="00A82936" w:rsidP="00A82936">
      <w:pPr>
        <w:pStyle w:val="BodyText"/>
        <w:rPr>
          <w:lang w:eastAsia="ko-KR"/>
        </w:rPr>
      </w:pPr>
      <w:r w:rsidRPr="003A332C">
        <w:t xml:space="preserve">This study is a </w:t>
      </w:r>
      <w:r w:rsidRPr="003A332C">
        <w:rPr>
          <w:lang w:eastAsia="ko-KR"/>
        </w:rPr>
        <w:t>retrospective longitudinal analysis of data from the Scottish Health and Social Care Open Data repository (</w:t>
      </w:r>
      <w:hyperlink r:id="rId9">
        <w:r w:rsidRPr="003A332C">
          <w:rPr>
            <w:rStyle w:val="Hyperlink"/>
            <w:lang w:eastAsia="ko-KR"/>
          </w:rPr>
          <w:t>https://www.opendata.nhs.scot</w:t>
        </w:r>
      </w:hyperlink>
      <w:r w:rsidRPr="003A332C">
        <w:rPr>
          <w:lang w:eastAsia="ko-KR"/>
        </w:rPr>
        <w:t>)</w:t>
      </w:r>
      <w:r w:rsidRPr="003A332C">
        <w:t xml:space="preserve"> </w:t>
      </w:r>
      <w:r w:rsidRPr="003A332C">
        <w:rPr>
          <w:lang w:eastAsia="ko-KR"/>
        </w:rPr>
        <w:t xml:space="preserve">from January 2016 to January 2023. Prescribed contraceptives were isolated using truncated BNF codes through an SQL query to the repository API. Due to inherent differences in contraceptive coverage provided for various forms of contraception, the total quantities dispensed of each method were </w:t>
      </w:r>
      <w:r w:rsidR="0095516E">
        <w:rPr>
          <w:lang w:eastAsia="ko-KR"/>
        </w:rPr>
        <w:t>standardised</w:t>
      </w:r>
      <w:r w:rsidRPr="003A332C">
        <w:rPr>
          <w:lang w:eastAsia="ko-KR"/>
        </w:rPr>
        <w:t xml:space="preserve"> by dividing by the pack size and then multiplying this by the length of contraceptive coverage provided, giving the months of contraceptive coverage dispensed.</w:t>
      </w:r>
    </w:p>
    <w:p w14:paraId="322E3C46" w14:textId="293C15C7" w:rsidR="00A82936" w:rsidRPr="003A332C" w:rsidRDefault="00A82936" w:rsidP="00C3114B">
      <w:pPr>
        <w:pStyle w:val="Heading2"/>
      </w:pPr>
      <w:r w:rsidRPr="003A332C">
        <w:t>Results</w:t>
      </w:r>
    </w:p>
    <w:p w14:paraId="6DD0E3FB" w14:textId="1A7F0D0A" w:rsidR="00A82936" w:rsidRPr="003A332C" w:rsidRDefault="00F91100" w:rsidP="00A82936">
      <w:pPr>
        <w:pStyle w:val="BodyText"/>
      </w:pPr>
      <w:r w:rsidRPr="003A332C">
        <w:t>Contraceptive prescribing in Scottish general practices fell by 60.6% during lockdown compared with pre-</w:t>
      </w:r>
      <w:r w:rsidR="001A4E91">
        <w:t>COVID-19</w:t>
      </w:r>
      <w:r w:rsidRPr="003A332C">
        <w:t xml:space="preserve"> levels. This trend was seen even more severely for long-acting reversible contraception (LARC)</w:t>
      </w:r>
      <w:r w:rsidR="0095516E">
        <w:t>,</w:t>
      </w:r>
      <w:r w:rsidRPr="003A332C">
        <w:t xml:space="preserve"> which generally requires administration by a </w:t>
      </w:r>
      <w:r w:rsidRPr="003A332C">
        <w:lastRenderedPageBreak/>
        <w:t>healthcare professional; LARC prescriptions fell to 28.3% of pre-</w:t>
      </w:r>
      <w:r w:rsidR="001A4E91">
        <w:t>COVID-19</w:t>
      </w:r>
      <w:r w:rsidRPr="003A332C">
        <w:t xml:space="preserve"> prescriptions. </w:t>
      </w:r>
      <w:r w:rsidR="0095516E">
        <w:t>Prescribing of o</w:t>
      </w:r>
      <w:r w:rsidRPr="003A332C">
        <w:t>ral contraceptives also decreased</w:t>
      </w:r>
      <w:r w:rsidR="0095516E">
        <w:t>. However,</w:t>
      </w:r>
      <w:r w:rsidRPr="003A332C">
        <w:t xml:space="preserve"> there was a difference between COCP (31.3%) and POP (49.0%), likely due to clinical risk management decisions. After lockdown, the level of contraceptive prescribing is at 98% of its pre-pandemic level. Differences </w:t>
      </w:r>
      <w:r w:rsidR="0095516E">
        <w:t>remain, particularly regarding</w:t>
      </w:r>
      <w:r w:rsidRPr="003A332C">
        <w:t xml:space="preserve"> </w:t>
      </w:r>
      <w:r w:rsidR="00CF257D" w:rsidRPr="003A332C">
        <w:t xml:space="preserve">large </w:t>
      </w:r>
      <w:r w:rsidRPr="003A332C">
        <w:t>increase</w:t>
      </w:r>
      <w:r w:rsidR="00CF257D" w:rsidRPr="003A332C">
        <w:t>s in</w:t>
      </w:r>
      <w:r w:rsidRPr="003A332C">
        <w:t xml:space="preserve"> POP</w:t>
      </w:r>
      <w:r w:rsidR="00CF257D" w:rsidRPr="003A332C">
        <w:t>, patch, overall and ulipristal acetate emergency contraception prescribing. As well as moderate increases in IUS and injections. Conversely, COCP, IUD, implant, and levonorgestrel EC prescribing has decreased.</w:t>
      </w:r>
    </w:p>
    <w:p w14:paraId="6901E37D" w14:textId="162BB288" w:rsidR="00A82936" w:rsidRPr="003A332C" w:rsidRDefault="00A82936" w:rsidP="00C3114B">
      <w:pPr>
        <w:pStyle w:val="Heading2"/>
      </w:pPr>
      <w:r w:rsidRPr="003A332C">
        <w:t>Conclusions</w:t>
      </w:r>
    </w:p>
    <w:p w14:paraId="27279B7B" w14:textId="1D4F7291" w:rsidR="00A82936" w:rsidRPr="003A332C" w:rsidRDefault="001A4E91" w:rsidP="00A82936">
      <w:pPr>
        <w:pStyle w:val="BodyText"/>
      </w:pPr>
      <w:r>
        <w:t>COVID-19</w:t>
      </w:r>
      <w:r w:rsidR="00CF257D" w:rsidRPr="003A332C">
        <w:t xml:space="preserve"> vastly decreased contraceptive prescribing during lockdowns and has had a lasting impact on contraceptive prescribing trends within Scottish general practices.</w:t>
      </w:r>
    </w:p>
    <w:p w14:paraId="0CED33C6" w14:textId="49540658" w:rsidR="00A04103" w:rsidRPr="003A332C" w:rsidRDefault="00A04103" w:rsidP="00A04103">
      <w:pPr>
        <w:pStyle w:val="Heading1"/>
      </w:pPr>
      <w:r w:rsidRPr="003A332C">
        <w:t>Implications</w:t>
      </w:r>
    </w:p>
    <w:p w14:paraId="14E42061" w14:textId="4B1A05D9" w:rsidR="00A04103" w:rsidRPr="003A332C" w:rsidRDefault="001A4E91" w:rsidP="009D2113">
      <w:pPr>
        <w:pStyle w:val="BodyText"/>
        <w:rPr>
          <w:rFonts w:eastAsiaTheme="majorEastAsia" w:cstheme="majorBidi"/>
          <w:b/>
          <w:color w:val="000000" w:themeColor="text1"/>
          <w:sz w:val="32"/>
          <w:szCs w:val="32"/>
        </w:rPr>
      </w:pPr>
      <w:bookmarkStart w:id="6" w:name="introduction"/>
      <w:bookmarkEnd w:id="5"/>
      <w:r>
        <w:t>COVID-19</w:t>
      </w:r>
      <w:r w:rsidR="009D2113" w:rsidRPr="003A332C">
        <w:t xml:space="preserve"> restrictions changed contraceptive prescribing in Scotland, and these changes have continued after the pandemic has subsided. It is vital clinicians work with patients to ensure that methods of contraception prescribed during the pandemic are suitable and tolerable, particularly for women wishing to access long-acting reversible contraception (LARC).</w:t>
      </w:r>
      <w:r w:rsidR="00A04103" w:rsidRPr="003A332C">
        <w:br w:type="page"/>
      </w:r>
    </w:p>
    <w:p w14:paraId="2DB8657E" w14:textId="4858E208" w:rsidR="001B480A" w:rsidRPr="003A332C" w:rsidRDefault="00000000" w:rsidP="000D730A">
      <w:pPr>
        <w:pStyle w:val="Heading1"/>
        <w:numPr>
          <w:ilvl w:val="0"/>
          <w:numId w:val="3"/>
        </w:numPr>
      </w:pPr>
      <w:r w:rsidRPr="003A332C">
        <w:lastRenderedPageBreak/>
        <w:t>Introduction</w:t>
      </w:r>
    </w:p>
    <w:p w14:paraId="432A48C4" w14:textId="0481E028" w:rsidR="00E65508" w:rsidRPr="003A332C" w:rsidRDefault="00450D15" w:rsidP="00D172C9">
      <w:pPr>
        <w:pStyle w:val="BodyText"/>
      </w:pPr>
      <w:bookmarkStart w:id="7" w:name="materials-and-methods"/>
      <w:bookmarkEnd w:id="6"/>
      <w:r w:rsidRPr="003A332C">
        <w:t xml:space="preserve">Restrictions due to </w:t>
      </w:r>
      <w:r w:rsidR="001A4E91">
        <w:t>COVID-19</w:t>
      </w:r>
      <w:r w:rsidRPr="003A332C">
        <w:t xml:space="preserve"> changed </w:t>
      </w:r>
      <w:r w:rsidR="00D172C9" w:rsidRPr="003A332C">
        <w:t xml:space="preserve">day-to-day life in </w:t>
      </w:r>
      <w:r w:rsidR="0095516E">
        <w:t>many</w:t>
      </w:r>
      <w:r w:rsidR="00D172C9" w:rsidRPr="003A332C">
        <w:t xml:space="preserve"> ways</w:t>
      </w:r>
      <w:r w:rsidR="00857711" w:rsidRPr="003A332C">
        <w:t>, i</w:t>
      </w:r>
      <w:r w:rsidR="00D172C9" w:rsidRPr="003A332C">
        <w:t xml:space="preserve">ncluding </w:t>
      </w:r>
      <w:r w:rsidRPr="003A332C">
        <w:t xml:space="preserve">the format of general practice </w:t>
      </w:r>
      <w:r w:rsidR="00D172C9" w:rsidRPr="003A332C">
        <w:t>(GP) consultations. Due to concerns over infection</w:t>
      </w:r>
      <w:r w:rsidR="0095516E">
        <w:t>,</w:t>
      </w:r>
      <w:r w:rsidR="00D172C9" w:rsidRPr="003A332C">
        <w:t xml:space="preserve"> GPs pivoted to remote consultations such as </w:t>
      </w:r>
      <w:r w:rsidR="00A62AC4">
        <w:t>t</w:t>
      </w:r>
      <w:r w:rsidR="00D172C9" w:rsidRPr="003A332C">
        <w:t xml:space="preserve">elephone triage </w:t>
      </w:r>
      <w:r w:rsidR="00A62AC4">
        <w:t>and</w:t>
      </w:r>
      <w:r w:rsidR="00E65508" w:rsidRPr="003A332C">
        <w:t xml:space="preserve"> </w:t>
      </w:r>
      <w:r w:rsidR="00D172C9" w:rsidRPr="003A332C">
        <w:t xml:space="preserve">video-based telehealth appointments </w:t>
      </w:r>
      <w:r w:rsidR="00202912" w:rsidRPr="003A332C">
        <w:fldChar w:fldCharType="begin"/>
      </w:r>
      <w:r w:rsidR="00590F6E">
        <w:instrText xml:space="preserve"> ADDIN ZOTERO_ITEM CSL_CITATION {"citationID":"CViKiLcE","properties":{"formattedCitation":"[1]","plainCitation":"[1]","noteIndex":0},"citationItems":[{"id":704,"uris":["http://zotero.org/users/11849522/items/DMEY93UQ"],"itemData":{"id":704,"type":"article-journal","language":"en","source":"Zotero","title":"NHS Recovery Plan 2021-2026","author":[{"family":"Yousaf","given":"Humza"}],"issued":{"date-parts":[["2021"]]},"citation-key":"yousafNHSRecoveryPlan2021"}}],"schema":"https://github.com/citation-style-language/schema/raw/master/csl-citation.json"} </w:instrText>
      </w:r>
      <w:r w:rsidR="00202912" w:rsidRPr="003A332C">
        <w:fldChar w:fldCharType="separate"/>
      </w:r>
      <w:r w:rsidR="00590F6E">
        <w:rPr>
          <w:noProof/>
        </w:rPr>
        <w:t>[1]</w:t>
      </w:r>
      <w:r w:rsidR="00202912" w:rsidRPr="003A332C">
        <w:fldChar w:fldCharType="end"/>
      </w:r>
      <w:r w:rsidR="00E65508" w:rsidRPr="003A332C">
        <w:t xml:space="preserve">, the basis for which was already established in Scotland </w:t>
      </w:r>
      <w:r w:rsidR="00202912" w:rsidRPr="003A332C">
        <w:fldChar w:fldCharType="begin"/>
      </w:r>
      <w:r w:rsidR="00590F6E">
        <w:instrText xml:space="preserve"> ADDIN ZOTERO_ITEM CSL_CITATION {"citationID":"jm3Tw0Lj","properties":{"formattedCitation":"[2]","plainCitation":"[2]","noteIndex":0},"citationItems":[{"id":705,"uris":["http://zotero.org/users/11849522/items/UBHKZU5D"],"itemData":{"id":705,"type":"article-journal","abstract":"Background: Scotland—a country of 5.5 million people—has a rugged geography with many outlying islands, creating access challenges for many citizens. The government has long sought to mitigate these through a range of measures including an ambitious technology-enabled care program. A strategy to develop a nationwide video consultation service began in 2017. Our mixed methods evaluation was commissioned in mid-2019 and extended to cover the pandemic response in 2020. Objective: To draw lessons from a national evaluation of the introduction, spread, and scale-up of Scotland’s video consultation services both before and during the pandemic. Methods: Data sources comprised 223 interviews (with patients, staff, technology providers, and policymakers), 60 hours of ethnographic observation (including in-person visits to remote settings), patient and staff satisfaction surveys (n=20,349), professional and public engagement questionnaires (n=5400), uptake statistics, and local and national documents. Fieldwork during the pandemic was of necessity conducted remotely. Data were analyzed thematically and theorized using the Planning and Evaluating Remote Consultation Services (PERCS) framework which considers multiple influences interacting dynamically and unfolding over time. Results: By the time the pandemic hit, there had been considerable investment in material and technological infrastructure, staff training, and professional and public engagement. Scotland was thus uniquely well placed to expand its video consultation services at pace and scale. Within 4 months (March-June 2020), the number of video consultations increased from about 330 to 17,000 per week nationally. While not everything went smoothly, video was used for a much wider range of clinical problems, vastly extending the prepandemic focus on outpatient monitoring of chronic stable conditions. The technology was generally considered dependable and easy to use. In most cases (14,677/18,817, 78%), patients reported no technical problems during their postconsultation survey. Health care organizations’ general innovativeness and digital maturity had a strong bearing on their ability to introduce, routinize, and expand video consultation services. Conclusions: The national-level groundwork before the pandemic allowed many services to rapidly extend the use of video consultations during the pandemic, supported by a strong strategic vision, a well-resourced quality improvement model, dependable technology, and multiple opportunities for staff to try out the video option. Scotland provides an important national case study from which other countries may learn.","container-title":"J Med Internet Res","DOI":"10.2196/31374","ISSN":"1438-8871","issue":"10","journalAbbreviation":"J Med Internet Res","page":"e31374","title":"Expanding Video Consultation Services at Pace and Scale in Scotland During the COVID-19 Pandemic: National Mixed Methods Case Study","URL":"https://www.jmir.org/2021/10/e31374","volume":"23","author":[{"family":"Wherton","given":"Joseph"},{"family":"Greenhalgh","given":"Trisha"},{"family":"Shaw","given":"Sara E"}],"issued":{"date-parts":[["2021",10,7]]},"citation-key":"whertonExpandingVideoConsultation2021"}}],"schema":"https://github.com/citation-style-language/schema/raw/master/csl-citation.json"} </w:instrText>
      </w:r>
      <w:r w:rsidR="00202912" w:rsidRPr="003A332C">
        <w:fldChar w:fldCharType="separate"/>
      </w:r>
      <w:r w:rsidR="00590F6E">
        <w:rPr>
          <w:noProof/>
        </w:rPr>
        <w:t>[2]</w:t>
      </w:r>
      <w:r w:rsidR="00202912" w:rsidRPr="003A332C">
        <w:fldChar w:fldCharType="end"/>
      </w:r>
      <w:r w:rsidR="00202912" w:rsidRPr="003A332C">
        <w:t>.</w:t>
      </w:r>
    </w:p>
    <w:p w14:paraId="1CA42518" w14:textId="5947F699" w:rsidR="00A62AC4" w:rsidRDefault="00D172C9" w:rsidP="00A62AC4">
      <w:pPr>
        <w:pStyle w:val="BodyText"/>
      </w:pPr>
      <w:r w:rsidRPr="003A332C">
        <w:t xml:space="preserve">Given that </w:t>
      </w:r>
      <w:r w:rsidR="00A35D37" w:rsidRPr="003A332C">
        <w:t xml:space="preserve">around 75% of women access contraception through their </w:t>
      </w:r>
      <w:r w:rsidRPr="003A332C">
        <w:t xml:space="preserve">GP </w:t>
      </w:r>
      <w:r w:rsidR="00202912" w:rsidRPr="003A332C">
        <w:fldChar w:fldCharType="begin"/>
      </w:r>
      <w:r w:rsidR="00674F56">
        <w:instrText xml:space="preserve"> ADDIN ZOTERO_ITEM CSL_CITATION {"citationID":"0ij1zTCP","properties":{"formattedCitation":"[3]","plainCitation":"[3]","noteIndex":0},"citationItems":[{"id":707,"uris":["http://zotero.org/users/11849522/items/QHNS9XPX"],"itemData":{"id":707,"type":"report","language":"en","source":"Zotero","title":"Understanding young people’s use and non-use of condoms and contraception. A co-developed, mixed-methods study with 16-24 year olds in Scotland. Final report from CONUNDRUM (CONdom and CONtraception UNDerstandings: Researching Uptake and Motivations) young people’s use and non-use of condoms and contraception","author":[{"family":"Lewis","given":"Ruth"},{"family":"Blake","given":"Carolyn"},{"family":"McMellon","given":"Christina"},{"family":"Riddell","given":"Julie"},{"family":"Graham","given":"Cynthia"},{"family":"Mitchell","given":"Kirstin"}],"issued":{"date-parts":[["2021"]]},"citation-key":"lewisUnderstandingYoungPeople2021"}}],"schema":"https://github.com/citation-style-language/schema/raw/master/csl-citation.json"} </w:instrText>
      </w:r>
      <w:r w:rsidR="00202912" w:rsidRPr="003A332C">
        <w:fldChar w:fldCharType="separate"/>
      </w:r>
      <w:r w:rsidR="00590F6E">
        <w:rPr>
          <w:rFonts w:cs="Times New Roman"/>
        </w:rPr>
        <w:t>[3]</w:t>
      </w:r>
      <w:r w:rsidR="00202912" w:rsidRPr="003A332C">
        <w:fldChar w:fldCharType="end"/>
      </w:r>
      <w:r w:rsidR="00202912" w:rsidRPr="003A332C">
        <w:t xml:space="preserve"> </w:t>
      </w:r>
      <w:r w:rsidRPr="003A332C">
        <w:t>and the e</w:t>
      </w:r>
      <w:r w:rsidR="00E65508" w:rsidRPr="003A332C">
        <w:t xml:space="preserve">xpectation that GPs would be unable to </w:t>
      </w:r>
      <w:r w:rsidRPr="003A332C">
        <w:t>deliver</w:t>
      </w:r>
      <w:r w:rsidR="00E65508" w:rsidRPr="003A332C">
        <w:t xml:space="preserve"> some services due to increased demand</w:t>
      </w:r>
      <w:r w:rsidR="00ED1A6A" w:rsidRPr="003A332C">
        <w:t xml:space="preserve"> </w:t>
      </w:r>
      <w:r w:rsidR="00ED1A6A" w:rsidRPr="003A332C">
        <w:fldChar w:fldCharType="begin"/>
      </w:r>
      <w:r w:rsidR="00674F56">
        <w:instrText xml:space="preserve"> ADDIN ZOTERO_ITEM CSL_CITATION {"citationID":"nldms0Xp","properties":{"formattedCitation":"[4]","plainCitation":"[4]","noteIndex":0},"citationItems":[{"id":713,"uris":["http://zotero.org/users/11849522/items/KBQQ6ZIT"],"itemData":{"id":713,"type":"personal_communication","language":"en","source":"Zotero","title":"Covid-19: Guidance on Planning and Responding to Primary Care GP Practice Capacity Challenges","URL":"https://www.sehd.scot.nhs.uk/pca/PCA2020(M)02.pdf","author":[{"family":"Grisewood","given":"Aidan"}],"issued":{"date-parts":[["2020",3,5]]},"citation-key":"grisewoodCovid19GuidancePlanning2020"}}],"schema":"https://github.com/citation-style-language/schema/raw/master/csl-citation.json"} </w:instrText>
      </w:r>
      <w:r w:rsidR="00ED1A6A" w:rsidRPr="003A332C">
        <w:fldChar w:fldCharType="separate"/>
      </w:r>
      <w:r w:rsidR="00590F6E">
        <w:rPr>
          <w:noProof/>
        </w:rPr>
        <w:t>[4]</w:t>
      </w:r>
      <w:r w:rsidR="00ED1A6A" w:rsidRPr="003A332C">
        <w:fldChar w:fldCharType="end"/>
      </w:r>
      <w:r w:rsidR="00D51DD8" w:rsidRPr="003A332C">
        <w:t>.</w:t>
      </w:r>
      <w:r w:rsidR="00A35D37" w:rsidRPr="003A332C">
        <w:t xml:space="preserve"> </w:t>
      </w:r>
      <w:r w:rsidR="00A62AC4" w:rsidRPr="003A332C">
        <w:t xml:space="preserve">Moreover, the FSRH guidance issued during the pandemic did not classify the provision of oral contraception </w:t>
      </w:r>
      <w:r w:rsidR="00A62AC4">
        <w:t>or</w:t>
      </w:r>
      <w:r w:rsidR="00A62AC4" w:rsidRPr="003A332C">
        <w:t xml:space="preserve"> new LARC fittings as essential services needing face-to-face appointments</w:t>
      </w:r>
      <w:r w:rsidR="00A62AC4">
        <w:t xml:space="preserve"> </w:t>
      </w:r>
      <w:r w:rsidR="00A62AC4">
        <w:fldChar w:fldCharType="begin"/>
      </w:r>
      <w:r w:rsidR="00674F56">
        <w:instrText xml:space="preserve"> ADDIN ZOTERO_ITEM CSL_CITATION {"citationID":"fenvt6tx","properties":{"formattedCitation":"[5]","plainCitation":"[5]","noteIndex":0},"citationItems":[{"id":724,"uris":["http://zotero.org/users/11849522/items/7SIXPUVG"],"itemData":{"id":724,"type":"document","title":"Essential Services in Sexual and Reproductive Healthcare","author":[{"family":"FSRH","given":""}],"issued":{"date-parts":[["2020",3]]},"citation-key":"fsrhEssentialServicesSexual2020"}}],"schema":"https://github.com/citation-style-language/schema/raw/master/csl-citation.json"} </w:instrText>
      </w:r>
      <w:r w:rsidR="00A62AC4">
        <w:fldChar w:fldCharType="separate"/>
      </w:r>
      <w:r w:rsidR="00590F6E">
        <w:rPr>
          <w:noProof/>
        </w:rPr>
        <w:t>[5]</w:t>
      </w:r>
      <w:r w:rsidR="00A62AC4">
        <w:fldChar w:fldCharType="end"/>
      </w:r>
      <w:r w:rsidR="00A62AC4" w:rsidRPr="003A332C">
        <w:t>.</w:t>
      </w:r>
    </w:p>
    <w:p w14:paraId="029C9D92" w14:textId="4AA55B6A" w:rsidR="00A35D37" w:rsidRPr="003A332C" w:rsidRDefault="00D51DD8" w:rsidP="00A62AC4">
      <w:pPr>
        <w:pStyle w:val="BodyText"/>
      </w:pPr>
      <w:r w:rsidRPr="003A332C">
        <w:t>Consequently,</w:t>
      </w:r>
      <w:r w:rsidR="00A35D37" w:rsidRPr="003A332C">
        <w:t xml:space="preserve"> contraception provision in Scotland </w:t>
      </w:r>
      <w:r w:rsidRPr="003A332C">
        <w:t>is likely to have</w:t>
      </w:r>
      <w:r w:rsidR="00A35D37" w:rsidRPr="003A332C">
        <w:t xml:space="preserve"> decreased due to </w:t>
      </w:r>
      <w:r w:rsidR="001A4E91">
        <w:t>COVID-19</w:t>
      </w:r>
      <w:r w:rsidR="00AE12A7">
        <w:t>,</w:t>
      </w:r>
      <w:r w:rsidR="00A62AC4">
        <w:t xml:space="preserve"> </w:t>
      </w:r>
      <w:r w:rsidR="00A62AC4" w:rsidRPr="003A332C">
        <w:t xml:space="preserve">as seen in England </w:t>
      </w:r>
      <w:r w:rsidR="00A62AC4" w:rsidRPr="003A332C">
        <w:fldChar w:fldCharType="begin"/>
      </w:r>
      <w:r w:rsidR="00590F6E">
        <w:instrText xml:space="preserve"> ADDIN ZOTERO_ITEM CSL_CITATION {"citationID":"ptRgjKqr","properties":{"formattedCitation":"[6]","plainCitation":"[6]","noteIndex":0},"citationItems":[{"id":71,"uris":["http://zotero.org/users/11849522/items/ZVCBDD5I"],"itemData":{"id":71,"type":"article-journal","abstract":"Objectives: This paper looks at how contraceptive prescribing by General Practices in England was affected by the COVID-19pandemic and lockdown. It compares English prescribing data in April – June 2019, the year before COVID19, and April–June 2020, the first three months of ‘lockdown’. Design &amp; Setting: This paper is based on retrospective analysis of the English Prescribing Dataset which reports monthly on prescribed items from English General Practices. Data on all forms of prescribed contraceptive methods were extracted using BNF codes, and total quantities tabulated by method. To reach the total number of months of contraception provided, total quantities were divided or multiplied according the frequency with which the method is taken per month or the numbers of months of contraception provided.\nResults: Prescription of the combined oral contraceptive pill reduced by 22% during the period of lockdown compared to the same three months in 2019. Prescriptions of Progestogen-Only pills remained stable. Prescription of long-acting methods reduced, with the greatest reductions in implants (76% reduction from pre-lockdown levels), intra-uterine systems (79% reduction from pre-lockdown levels) and intrauterine devices (76% reduction from pre-lockdown levels).\nConclusions: The disruption of face-to-face contraceptive consultations in General Practice during a COVID-19 ‘lockdown’ has resulted in a reduction in oestrogen –containing methods compared to progestogen-only methods, which require less face-to-face monitoring. Implant and intrauterine contraceptive device prescription reduced by three quarters over the first three months of lockdown, which has the potential to result in a rise in unintended pregnancies.","container-title":"Contraception and Reproductive Medicine","DOI":"10.1186/s40834-022-00169-w","ISSN":"2055-7426","issue":"1","journalAbbreviation":"Contracept Reprod Med","language":"en","page":"3","source":"DOI.org (Crossref)","title":"Effect of the COVID-19 pandemic on contraceptive prescribing in general practice: a retrospective analysis of English prescribing data between 2019 and 2020","title-short":"Effect of the COVID-19 pandemic on contraceptive prescribing in general practice","URL":"https://contraceptionmedicine.biomedcentral.com/articles/10.1186/s40834-022-00169-w","volume":"7","author":[{"family":"Walker","given":"Susan H."}],"accessed":{"date-parts":[["2023",6,16]]},"issued":{"date-parts":[["2022",12]]},"citation-key":"walkerEffectCOVID19Pandemic2022"}}],"schema":"https://github.com/citation-style-language/schema/raw/master/csl-citation.json"} </w:instrText>
      </w:r>
      <w:r w:rsidR="00A62AC4" w:rsidRPr="003A332C">
        <w:fldChar w:fldCharType="separate"/>
      </w:r>
      <w:r w:rsidR="00590F6E">
        <w:rPr>
          <w:noProof/>
        </w:rPr>
        <w:t>[6]</w:t>
      </w:r>
      <w:r w:rsidR="00A62AC4" w:rsidRPr="003A332C">
        <w:fldChar w:fldCharType="end"/>
      </w:r>
      <w:r w:rsidR="00A62AC4" w:rsidRPr="003A332C">
        <w:t xml:space="preserve">, the UK as a whole </w:t>
      </w:r>
      <w:r w:rsidR="00A62AC4" w:rsidRPr="003A332C">
        <w:fldChar w:fldCharType="begin"/>
      </w:r>
      <w:r w:rsidR="00590F6E">
        <w:instrText xml:space="preserve"> ADDIN ZOTERO_ITEM CSL_CITATION {"citationID":"5fUmRgS6","properties":{"formattedCitation":"[7,8]","plainCitation":"[7,8]","noteIndex":0},"citationItems":[{"id":543,"uris":["http://zotero.org/users/11849522/items/RBASMPG6"],"itemData":{"id":543,"type":"article-journal","abstract":"OBJECTIVE: Evaluate the impact of the COVID-19 pandemic on access to contraception and pregnancy intentions.\nDESIGN: Nationwide prospective cohort study.\nSETTING: United Kingdom.\nPARTICIPANTS: Women in the UK who were pregnant between 24 May and 31 December 2020.\nMAIN OUTCOME MEASURES: Access to contraception and level of pregnancy intentions, using the London Measure of Unplanned Pregnancy (LMUP) in women whose last menstrual period was before or after 1 April 2020. While the official date of the first UK lockdown was 23 March, we used 1 April to ensure that those in the post-lockdown group would have faced restrictions in the month that they conceived.\nRESULTS: A total of 9784 women enrolled in the cohort: 4114 (42.0%) conceived pre-lockdown and 5670 (58.0%) conceived post-lockdown. The proportion of women reporting difficulties accessing contraception was higher in those who conceived after lockdown (n=366, 6.5% vs n=25, 0.6%, p&lt;0.001) and continued to rise from March to September 2020. After adjusting for confounders, women were nine times more likely to report difficulty accessing contraception after lockdown (adjusted odds ratio (aOR) 8.96, 95% CI 5.89 to 13.63, p&lt;0.001). There is a significant difference in the levels of pregnancy planning, with higher proportions of unplanned (n=119, 2.1% vs n=55, 1.3%) and ambivalent pregnancies (n=1163, 20.5% vs n=663, 16.1%) and lower proportions of planned pregnancies (n=4388, 77.4% vs n=3396, 82.5%) in the post-lockdown group (p&lt;0.001). After adjusting for confounders, women who conceived after lockdown were still significantly less likely to have a planned pregnancy (aOR 0.88, 95% CI 0.79 to 0.98, p=0.025).\nCONCLUSIONS: Access to contraception in the UK has become harder during the COVID-19 pandemic and the proportion of unplanned pregnancies has almost doubled.","container-title":"BMJ sexual &amp; reproductive health","DOI":"10.1136/bmjsrh-2021-201164","ISSN":"2515-2009","issue":"1","journalAbbreviation":"BMJ Sex Reprod Health","language":"eng","note":"PMID: 34675063\nPMCID: PMC8550871","page":"60-65","source":"PubMed","title":"Impact of the SARS-CoV-2 pandemic on access to contraception and pregnancy intentions: a national prospective cohort study of the UK population","title-short":"Impact of the SARS-CoV-2 pandemic on access to contraception and pregnancy intentions","volume":"48","author":[{"family":"Balachandren","given":"Neerujah"},{"family":"Barrett","given":"Geraldine"},{"family":"Stephenson","given":"Judith M."},{"family":"Yasmin","given":"Ephia"},{"family":"Mavrelos","given":"Dimitrios"},{"family":"Davies","given":"Melanie"},{"family":"David","given":"Anna"},{"family":"Hall","given":"Jennifer Anne"}],"issued":{"date-parts":[["2022",1]]},"citation-key":"balachandrenImpactSARSCoV2Pandemic2022"}},{"id":540,"uris":["http://zotero.org/users/11849522/items/E2H3CJ5N"],"itemData":{"id":540,"type":"article-journal","abstract":"OBJECTIVES: COVID-19 resulted in significant disruption to sexual and reproductive health (SRH) services globally and the impact of this remains under explored. This study aimed to explore the impact of COVID-19 on SRH during the initial weeks of the first UK lockdown.\nDESIGN: This rapid study employed a cross-sectional anonymous survey design. Between 9th April and 4th May 2020, participants completed an online questionnaire around the impacts of COVID-19 on SRH. The survey was completed by 194 participants. The findings in this paper, report on data from closed and free text questions from 32% (n = 62) of the total sample who said they were able to get pregnant.\nRESULTS: Participants raised concerns around reduced access to, or a denial of, SRH services as well as reduced choice when such services were available. Participants felt their right to access SRH care was impinged and there were anxieties around the impact of COVID-19 on maternal and foetal health.\nCONCLUSIONS: The study contributes to a better understanding of the concerns, during the first 8 weeks of the UK lockdown, of those who could get pregnant. Policy makers and planners must ensure that SRH policy, that recognises the importance of bodily autonomy and rights, is central to pandemic planning and responses both in the UK and globally. Such policies should ensure the immediate implementation of protocols that protect SRH service delivery, alongside informing service users of both their right to access such care and how to do so. Further work is necessary with members from minority communities who are mostly absent from this study to explore if, and how, COVID-19 may have exacerbated already existing disparities.","container-title":"Sexual &amp; Reproductive Healthcare: Official Journal of the Swedish Association of Midwives","DOI":"10.1016/j.srhc.2022.100754","ISSN":"1877-5764","journalAbbreviation":"Sex Reprod Healthc","language":"eng","note":"PMID: 35842979\nPMCID: PMC9270775","page":"100754","source":"PubMed","title":"Contraceptive and pregnancy concerns in the UK during the first COVID-19 lockdown: A rapid study","title-short":"Contraceptive and pregnancy concerns in the UK during the first COVID-19 lockdown","volume":"33","author":[{"family":"Hammond","given":"Natalie"},{"family":"Steels","given":"Stephanie"},{"family":"King","given":"Greg"}],"issued":{"date-parts":[["2022",9]]},"citation-key":"hammondContraceptivePregnancyConcerns2022"}}],"schema":"https://github.com/citation-style-language/schema/raw/master/csl-citation.json"} </w:instrText>
      </w:r>
      <w:r w:rsidR="00A62AC4" w:rsidRPr="003A332C">
        <w:fldChar w:fldCharType="separate"/>
      </w:r>
      <w:r w:rsidR="00590F6E">
        <w:rPr>
          <w:noProof/>
        </w:rPr>
        <w:t>[7,8]</w:t>
      </w:r>
      <w:r w:rsidR="00A62AC4" w:rsidRPr="003A332C">
        <w:fldChar w:fldCharType="end"/>
      </w:r>
      <w:r w:rsidR="00A62AC4" w:rsidRPr="003A332C">
        <w:t xml:space="preserve">, and globally </w:t>
      </w:r>
      <w:r w:rsidR="00A62AC4" w:rsidRPr="003A332C">
        <w:fldChar w:fldCharType="begin"/>
      </w:r>
      <w:r w:rsidR="00590F6E">
        <w:instrText xml:space="preserve"> ADDIN ZOTERO_ITEM CSL_CITATION {"citationID":"LOR5Qg46","properties":{"formattedCitation":"[9\\uc0\\u8211{}11]","plainCitation":"[9–11]","noteIndex":0},"citationItems":[{"id":718,"uris":["http://zotero.org/users/11849522/items/5LXKPWWS"],"itemData":{"id":718,"type":"article-journal","abstract":"Ensuring access to sexual and reproductive health (SRH) services for adolescents is a global priority, given the detrimental health and economic impact of unintended pregnancies. To examine whether and how COVID-19 affected access to SRH services, we use mixed-methods data from young men and women in Nairobi, Kenya to identify those at greatest risk of contraceptive disruptions during COVID-19 restrictions. Analyses utilize cross-sectional data collected from August to October 2020 from an existing cohort of youth aged 16–26. Unadjusted and adjusted logistic regression examined sociodemographic, contraceptive, and COVID-19-related correlates of contraceptive disruption among users of contraception. Qualitative data were collected concurrently via focus group discussions (n = 64, 8 groups) and in-depth interviews (n = 20), with matrices synthesizing emergent challenges to obtaining contraception by gender. Among those using contraception, both young men (40.4%) and young women (34.6%) faced difficulties obtaining contraception during COVID-19. Among young men, difficulty was observed particularly for those unable to meet their basic needs (aOR = 1.60; p = 0.05). Among young women, risk centered around those with multiple partners (aOR = 1.91; p = 0.01), or who procured their method from a hospital (aOR = 1.71; p = 0.04) or clinic (aOR = 2.14; p = 0.03). Qualitative data highlight economic barriers to obtaining contraceptives, namely job loss and limited supply of free methods previously available. Universal access to a variety of contraceptive methods during global health emergencies, including long-acting reversible methods, is an essential priority to help youth avert unintended pregnancies and withstand periods of disruptions to services. Non-judgmental, youth-friendly services must remain accessible throughout the pandemic into the post-COVID-19 period.","container-title":"PLOS Global Public Health","DOI":"10.1371/journal.pgph.0001005","issue":"2","journalAbbreviation":"PLOS Global Public Health","note":"publisher: Public Library of Science","page":"e0001005","title":"Disruptions to youth contraceptive use during COVID-19: Mixed-methods results from Nairobi, Kenya","URL":"https://doi.org/10.1371/journal.pgph.0001005","volume":"3","author":[{"family":"Wood","given":"Shannon N."},{"family":"Milkovich","given":"Rachel"},{"family":"Thiongo","given":"Mary"},{"family":"Gichangi","given":"Peter"},{"family":"Byrne","given":"Meagan E."},{"family":"Devoto","given":"Bianca"},{"family":"Anglewicz","given":"Philip"},{"family":"Decker","given":"Michele R."}],"issued":{"date-parts":[["2023",2,23]]},"citation-key":"woodDisruptionsYouthContraceptive2023"}},{"id":716,"uris":["http://zotero.org/users/11849522/items/L9C9VIHS"],"itemData":{"id":716,"type":"article-journal","abstract":"Summary\nTo limit the spread of the coronavirus disease 2019 (COVID 19), sanitary restrictions have been established since March 2020 in France. These restrictions and the waves of contamination may have had consequences on the use of health products in general, and on the use of contraceptives in particular. We aimed to assess the impact of COVID 19 pandemic from March 16th 2020 to April 30th 2021 in France on reimbursed contraceptives. We analyzed data from the French national health insurance database (SNDS) by extracting all oral contraception (OC), emergency contraception (EC), levonorgestrel-intrauterine system (LNG-IUS), copper-intrauterine device (C-IUD) and contraceptive implant dispensations in 2018, 2019, 2020 and to April 30th 2021. We computed the expected use of contraceptives in 2020 and 2021 without pandemic and its associated sanitary restrictions, by taking the annual trend into account. We assessed the evolution of dispensations by type of contraceptive and by age-groups (≤25 years old, between 25 and 35 and &gt;35 years old) between observed and expected dispensations. After 15 months of pandemic, a decrease of all reimbursed contraceptives dispensations had been estimated, compared with what was expected: –2.0% for OC, –5.0% for EC, –9.5% for LNG-IUS, –8.6% for C-IUD, –16.4% for implant. Women under 25 years old were the most impacted by the decrease. This national study showed that the impact of the COVID 19 crisis was global on all reimbursed contraceptives, with different levels of impact depending on the type of contraceptive, the age-group and the severity of the restriction. OC dispensing decreased marginally compared with expectations. The decrease in long-acting contraceptives dispensing was more pronounced, especially for the implant. These results call for continued monitoring of contraceptive use over the long term and for prioritizing access to sexual health services during crises, especially among the youngest women who were most affected in this study.","container-title":"Therapies","DOI":"10.1016/j.therap.2023.01.002","ISSN":"0040-5957","journalAbbreviation":"Therapies","title":"Impact of coronavirus disease 2019 on contraception use in France","URL":"https://www.sciencedirect.com/science/article/pii/S0040595723000185","author":[{"family":"Roland","given":"Noémie"},{"family":"Drouin","given":"Jérôme"},{"family":"Desplas","given":"David"},{"family":"Duranteau","given":"Lise"},{"family":"Cuenot","given":"François"},{"family":"Dray-Spira","given":"Rosemary"},{"family":"Weill","given":"Alain"},{"family":"Zureik","given":"Mahmoud"}],"issued":{"date-parts":[["2023",1,20]]},"citation-key":"rolandImpactCoronavirusDisease2023"}},{"id":558,"uris":["http://zotero.org/users/11849522/items/JHTK4WEH"],"itemData":{"id":558,"type":"article-journal","container-title":"The Lancet","DOI":"10.1016/S0140-6736(20)31679-2","ISSN":"0140-6736, 1474-547X","issue":"10247","journalAbbreviation":"The Lancet","language":"English","note":"publisher: Elsevier\nPMID: 32738942","page":"301-302","source":"www.thelancet.com","title":"COVID-19 has “devastating” effect on women and girls","URL":"https://www.thelancet.com/journals/lancet/article/PIIS0140-6736(20)31679-2/fulltext","volume":"396","author":[{"family":"Cousins","given":"Sophie"}],"accessed":{"date-parts":[["2023",8,4]]},"issued":{"date-parts":[["2020",8,1]]},"citation-key":"cousinsCOVID19HasDevastating2020"}}],"schema":"https://github.com/citation-style-language/schema/raw/master/csl-citation.json"} </w:instrText>
      </w:r>
      <w:r w:rsidR="00A62AC4" w:rsidRPr="003A332C">
        <w:fldChar w:fldCharType="separate"/>
      </w:r>
      <w:r w:rsidR="00590F6E" w:rsidRPr="00590F6E">
        <w:rPr>
          <w:rFonts w:cs="Times New Roman"/>
        </w:rPr>
        <w:t>[9–11]</w:t>
      </w:r>
      <w:r w:rsidR="00A62AC4" w:rsidRPr="003A332C">
        <w:fldChar w:fldCharType="end"/>
      </w:r>
      <w:r w:rsidR="00A62AC4" w:rsidRPr="003A332C">
        <w:t>.</w:t>
      </w:r>
    </w:p>
    <w:p w14:paraId="1B5AA842" w14:textId="4AA86C76" w:rsidR="00A62AC4" w:rsidRDefault="00ED1A6A" w:rsidP="009F360A">
      <w:pPr>
        <w:pStyle w:val="BodyText"/>
      </w:pPr>
      <w:r w:rsidRPr="003A332C">
        <w:t xml:space="preserve">Previous studies have found lockdowns decreased contraception dispensed in GP in England </w:t>
      </w:r>
      <w:r w:rsidRPr="003A332C">
        <w:fldChar w:fldCharType="begin"/>
      </w:r>
      <w:r w:rsidR="00590F6E">
        <w:instrText xml:space="preserve"> ADDIN ZOTERO_ITEM CSL_CITATION {"citationID":"VZfKnF4A","properties":{"formattedCitation":"[6]","plainCitation":"[6]","noteIndex":0},"citationItems":[{"id":71,"uris":["http://zotero.org/users/11849522/items/ZVCBDD5I"],"itemData":{"id":71,"type":"article-journal","abstract":"Objectives: This paper looks at how contraceptive prescribing by General Practices in England was affected by the COVID-19pandemic and lockdown. It compares English prescribing data in April – June 2019, the year before COVID19, and April–June 2020, the first three months of ‘lockdown’. Design &amp; Setting: This paper is based on retrospective analysis of the English Prescribing Dataset which reports monthly on prescribed items from English General Practices. Data on all forms of prescribed contraceptive methods were extracted using BNF codes, and total quantities tabulated by method. To reach the total number of months of contraception provided, total quantities were divided or multiplied according the frequency with which the method is taken per month or the numbers of months of contraception provided.\nResults: Prescription of the combined oral contraceptive pill reduced by 22% during the period of lockdown compared to the same three months in 2019. Prescriptions of Progestogen-Only pills remained stable. Prescription of long-acting methods reduced, with the greatest reductions in implants (76% reduction from pre-lockdown levels), intra-uterine systems (79% reduction from pre-lockdown levels) and intrauterine devices (76% reduction from pre-lockdown levels).\nConclusions: The disruption of face-to-face contraceptive consultations in General Practice during a COVID-19 ‘lockdown’ has resulted in a reduction in oestrogen –containing methods compared to progestogen-only methods, which require less face-to-face monitoring. Implant and intrauterine contraceptive device prescription reduced by three quarters over the first three months of lockdown, which has the potential to result in a rise in unintended pregnancies.","container-title":"Contraception and Reproductive Medicine","DOI":"10.1186/s40834-022-00169-w","ISSN":"2055-7426","issue":"1","journalAbbreviation":"Contracept Reprod Med","language":"en","page":"3","source":"DOI.org (Crossref)","title":"Effect of the COVID-19 pandemic on contraceptive prescribing in general practice: a retrospective analysis of English prescribing data between 2019 and 2020","title-short":"Effect of the COVID-19 pandemic on contraceptive prescribing in general practice","URL":"https://contraceptionmedicine.biomedcentral.com/articles/10.1186/s40834-022-00169-w","volume":"7","author":[{"family":"Walker","given":"Susan H."}],"accessed":{"date-parts":[["2023",6,16]]},"issued":{"date-parts":[["2022",12]]},"citation-key":"walkerEffectCOVID19Pandemic2022"}}],"schema":"https://github.com/citation-style-language/schema/raw/master/csl-citation.json"} </w:instrText>
      </w:r>
      <w:r w:rsidRPr="003A332C">
        <w:fldChar w:fldCharType="separate"/>
      </w:r>
      <w:r w:rsidR="00590F6E">
        <w:rPr>
          <w:noProof/>
        </w:rPr>
        <w:t>[6]</w:t>
      </w:r>
      <w:r w:rsidRPr="003A332C">
        <w:fldChar w:fldCharType="end"/>
      </w:r>
      <w:r w:rsidRPr="003A332C">
        <w:t xml:space="preserve"> and that women in the UK found accessing contraception more difficult due to </w:t>
      </w:r>
      <w:r w:rsidR="001A4E91">
        <w:t>COVID-19</w:t>
      </w:r>
      <w:r w:rsidRPr="003A332C">
        <w:t xml:space="preserve">-associated restrictions </w:t>
      </w:r>
      <w:r w:rsidRPr="003A332C">
        <w:fldChar w:fldCharType="begin"/>
      </w:r>
      <w:r w:rsidR="00590F6E">
        <w:instrText xml:space="preserve"> ADDIN ZOTERO_ITEM CSL_CITATION {"citationID":"Rcizgeij","properties":{"formattedCitation":"[7]","plainCitation":"[7]","noteIndex":0},"citationItems":[{"id":543,"uris":["http://zotero.org/users/11849522/items/RBASMPG6"],"itemData":{"id":543,"type":"article-journal","abstract":"OBJECTIVE: Evaluate the impact of the COVID-19 pandemic on access to contraception and pregnancy intentions.\nDESIGN: Nationwide prospective cohort study.\nSETTING: United Kingdom.\nPARTICIPANTS: Women in the UK who were pregnant between 24 May and 31 December 2020.\nMAIN OUTCOME MEASURES: Access to contraception and level of pregnancy intentions, using the London Measure of Unplanned Pregnancy (LMUP) in women whose last menstrual period was before or after 1 April 2020. While the official date of the first UK lockdown was 23 March, we used 1 April to ensure that those in the post-lockdown group would have faced restrictions in the month that they conceived.\nRESULTS: A total of 9784 women enrolled in the cohort: 4114 (42.0%) conceived pre-lockdown and 5670 (58.0%) conceived post-lockdown. The proportion of women reporting difficulties accessing contraception was higher in those who conceived after lockdown (n=366, 6.5% vs n=25, 0.6%, p&lt;0.001) and continued to rise from March to September 2020. After adjusting for confounders, women were nine times more likely to report difficulty accessing contraception after lockdown (adjusted odds ratio (aOR) 8.96, 95% CI 5.89 to 13.63, p&lt;0.001). There is a significant difference in the levels of pregnancy planning, with higher proportions of unplanned (n=119, 2.1% vs n=55, 1.3%) and ambivalent pregnancies (n=1163, 20.5% vs n=663, 16.1%) and lower proportions of planned pregnancies (n=4388, 77.4% vs n=3396, 82.5%) in the post-lockdown group (p&lt;0.001). After adjusting for confounders, women who conceived after lockdown were still significantly less likely to have a planned pregnancy (aOR 0.88, 95% CI 0.79 to 0.98, p=0.025).\nCONCLUSIONS: Access to contraception in the UK has become harder during the COVID-19 pandemic and the proportion of unplanned pregnancies has almost doubled.","container-title":"BMJ sexual &amp; reproductive health","DOI":"10.1136/bmjsrh-2021-201164","ISSN":"2515-2009","issue":"1","journalAbbreviation":"BMJ Sex Reprod Health","language":"eng","note":"PMID: 34675063\nPMCID: PMC8550871","page":"60-65","source":"PubMed","title":"Impact of the SARS-CoV-2 pandemic on access to contraception and pregnancy intentions: a national prospective cohort study of the UK population","title-short":"Impact of the SARS-CoV-2 pandemic on access to contraception and pregnancy intentions","volume":"48","author":[{"family":"Balachandren","given":"Neerujah"},{"family":"Barrett","given":"Geraldine"},{"family":"Stephenson","given":"Judith M."},{"family":"Yasmin","given":"Ephia"},{"family":"Mavrelos","given":"Dimitrios"},{"family":"Davies","given":"Melanie"},{"family":"David","given":"Anna"},{"family":"Hall","given":"Jennifer Anne"}],"issued":{"date-parts":[["2022",1]]},"citation-key":"balachandrenImpactSARSCoV2Pandemic2022"}}],"schema":"https://github.com/citation-style-language/schema/raw/master/csl-citation.json"} </w:instrText>
      </w:r>
      <w:r w:rsidRPr="003A332C">
        <w:fldChar w:fldCharType="separate"/>
      </w:r>
      <w:r w:rsidR="00590F6E">
        <w:rPr>
          <w:noProof/>
        </w:rPr>
        <w:t>[7]</w:t>
      </w:r>
      <w:r w:rsidRPr="003A332C">
        <w:fldChar w:fldCharType="end"/>
      </w:r>
      <w:r w:rsidRPr="003A332C">
        <w:t>.</w:t>
      </w:r>
      <w:r w:rsidR="009F360A" w:rsidRPr="003A332C">
        <w:t xml:space="preserve"> However, to the author’s knowledge, no study has yet examined the effects of </w:t>
      </w:r>
      <w:r w:rsidR="001A4E91">
        <w:t>COVID-19</w:t>
      </w:r>
      <w:r w:rsidR="009F360A" w:rsidRPr="003A332C">
        <w:t xml:space="preserve"> on contraceptive provision in Scotland. </w:t>
      </w:r>
    </w:p>
    <w:p w14:paraId="422C2A16" w14:textId="59F4EBEF" w:rsidR="00ED1A6A" w:rsidRPr="003A332C" w:rsidRDefault="009F360A" w:rsidP="009F360A">
      <w:pPr>
        <w:pStyle w:val="BodyText"/>
      </w:pPr>
      <w:r w:rsidRPr="003A332C">
        <w:t xml:space="preserve">Additionally, much of the literature published </w:t>
      </w:r>
      <w:r w:rsidR="0095516E">
        <w:t>cannot</w:t>
      </w:r>
      <w:r w:rsidRPr="003A332C">
        <w:t xml:space="preserve"> compare the longer-term impacts now that we have left the acute phase of the pandemic</w:t>
      </w:r>
      <w:r w:rsidR="0095516E">
        <w:t>. However,</w:t>
      </w:r>
      <w:r w:rsidRPr="003A332C">
        <w:t xml:space="preserve"> a</w:t>
      </w:r>
      <w:r w:rsidR="00ED1A6A" w:rsidRPr="003A332C">
        <w:t xml:space="preserve"> forthcoming systematic review may </w:t>
      </w:r>
      <w:r w:rsidR="00AE12A7">
        <w:t>illuminate</w:t>
      </w:r>
      <w:r w:rsidR="00ED1A6A" w:rsidRPr="003A332C">
        <w:t xml:space="preserve"> these issues </w:t>
      </w:r>
      <w:r w:rsidR="00ED1A6A" w:rsidRPr="003A332C">
        <w:fldChar w:fldCharType="begin"/>
      </w:r>
      <w:r w:rsidR="00590F6E">
        <w:instrText xml:space="preserve"> ADDIN ZOTERO_ITEM CSL_CITATION {"citationID":"ErBxcNe1","properties":{"formattedCitation":"[12]","plainCitation":"[12]","noteIndex":0},"citationItems":[{"id":714,"uris":["http://zotero.org/users/11849522/items/568F5EK6"],"itemData":{"id":714,"type":"article-journal","abstract":"Background:The COVID-19 pandemic has impacted access to and use of maternal, newborn, and child health services. Due to lockdowns and travel restrictions implemented during the first wave of the pandemic, the provision of essential maternal health services such as family planning was critically affected. Unlike most healthcare, contraception-related services are impractical for virtual care provision as women need to attend the clinic in person. Therefore, most women across the world might have been left with an unmet need for contraception during the lockdown period. Interruptions in contraception services have led to an increased number of unintended pregnancies. With the emergence of several pocket studies, it is essential to pool the available evidence reporting the effects of COVID-19 on contraception to inform maternal health policy and practice.Objective:The aims of this review are (1) to determine the effects of the COVID-19 pandemic on access to contraceptives among sexually active women and (2) to identify the magnitude of unintended pregnancy linked to interruptions of contraceptives due to the COVID-19 pandemic.Methods:The protocol for this systematic review was registered in PROSPERO (CRD42021267077). Electronic databases such as MEDLINE, EMBASE, Cumulative Index to Nursing and Allied Health Literature, Scopus, Web of Science, and Google Scholar will be searched for articles using appropriate key terms. The identified articles will be assessed against the eligibility criteria. Two reviewers (A.B. and T.B.) will independently screen titles and abstracts of all retrieved articles followed by a full-text review using the Preferred Reporting Items for Systematic Reviews and Meta-Analyses checklist. The quality of the papers will be assessed by using the Risk of Bias Assessment tool for Non-Randomized Studies. Quantitative findings will be pooled using a random-effects model meta-analysis, while qualitative findings will be presented using a narrative synthesis.Ethics and dissemination:Ethical approval is not required. The findings will be disseminated through conference presentations and peer-reviewed publications.Discussion:This systematic review will present current data needed to design evidence-based programmes for improving access to contraception and preventing unintended pregnancy during the COVID-19 pandemic and future emergencies.Systematic review registration:PROSPERO CRD42021267077.","container-title":"Women's Health","DOI":"10.1177/17455057221147382","ISSN":"1745-5057","journalAbbreviation":"Womens Health (Lond Engl)","note":"publisher: SAGE Publications Ltd STM","page":"17455057221147382","title":"Interruptions in contraception and unintended pregnancy during the COVID-19 pandemic: A protocol for systematic review and meta-analysis","URL":"https://doi.org/10.1177/17455057221147382","volume":"19","author":[{"family":"Geleto","given":"Ayele"},{"family":"Taylor","given":"Jo"},{"family":"Beyene","given":"Tesfalidet"}],"accessed":{"date-parts":[["2023",8,31]]},"issued":{"date-parts":[["2023",1,1]]},"citation-key":"geletoInterruptionsContraceptionUnintended2023"}}],"schema":"https://github.com/citation-style-language/schema/raw/master/csl-citation.json"} </w:instrText>
      </w:r>
      <w:r w:rsidR="00ED1A6A" w:rsidRPr="003A332C">
        <w:fldChar w:fldCharType="separate"/>
      </w:r>
      <w:r w:rsidR="00590F6E">
        <w:rPr>
          <w:noProof/>
        </w:rPr>
        <w:t>[12]</w:t>
      </w:r>
      <w:r w:rsidR="00ED1A6A" w:rsidRPr="003A332C">
        <w:fldChar w:fldCharType="end"/>
      </w:r>
      <w:r w:rsidRPr="003A332C">
        <w:t>.</w:t>
      </w:r>
    </w:p>
    <w:p w14:paraId="3F33C2CF" w14:textId="513BF454" w:rsidR="00A35D37" w:rsidRPr="003A332C" w:rsidRDefault="00A35D37" w:rsidP="00A35D37">
      <w:pPr>
        <w:pStyle w:val="BodyText"/>
        <w:rPr>
          <w:lang w:eastAsia="ko-KR"/>
        </w:rPr>
      </w:pPr>
      <w:r w:rsidRPr="003A332C">
        <w:lastRenderedPageBreak/>
        <w:t xml:space="preserve">This study will examine the effects of </w:t>
      </w:r>
      <w:r w:rsidR="001A4E91">
        <w:t>COVID-19</w:t>
      </w:r>
      <w:r w:rsidRPr="003A332C">
        <w:t xml:space="preserve"> lockdowns on the provision of contraception in Scottish general practices and whether contraceptive provision has changed in the long-term post-</w:t>
      </w:r>
      <w:r w:rsidR="001A4E91">
        <w:t>COVID-19</w:t>
      </w:r>
      <w:r w:rsidRPr="003A332C">
        <w:t>.</w:t>
      </w:r>
      <w:r w:rsidRPr="003A332C">
        <w:rPr>
          <w:lang w:eastAsia="ko-KR"/>
        </w:rPr>
        <w:br w:type="page"/>
      </w:r>
    </w:p>
    <w:p w14:paraId="2A4F6606" w14:textId="43E83B32" w:rsidR="001B480A" w:rsidRPr="003A332C" w:rsidRDefault="00000000" w:rsidP="000D730A">
      <w:pPr>
        <w:pStyle w:val="Heading1"/>
        <w:numPr>
          <w:ilvl w:val="0"/>
          <w:numId w:val="3"/>
        </w:numPr>
        <w:rPr>
          <w:lang w:eastAsia="ko-KR"/>
        </w:rPr>
      </w:pPr>
      <w:r w:rsidRPr="003A332C">
        <w:rPr>
          <w:lang w:eastAsia="ko-KR"/>
        </w:rPr>
        <w:lastRenderedPageBreak/>
        <w:t>Materials and methods</w:t>
      </w:r>
    </w:p>
    <w:p w14:paraId="4309B1C5" w14:textId="6C80E898" w:rsidR="001B480A" w:rsidRPr="003A332C" w:rsidRDefault="00000000" w:rsidP="000D730A">
      <w:pPr>
        <w:pStyle w:val="FirstParagraph"/>
      </w:pPr>
      <w:r w:rsidRPr="003A332C">
        <w:rPr>
          <w:lang w:eastAsia="ko-KR"/>
        </w:rPr>
        <w:t xml:space="preserve">This </w:t>
      </w:r>
      <w:r w:rsidR="00A62AC4">
        <w:rPr>
          <w:lang w:eastAsia="ko-KR"/>
        </w:rPr>
        <w:t xml:space="preserve">longitudinal </w:t>
      </w:r>
      <w:r w:rsidRPr="003A332C">
        <w:rPr>
          <w:lang w:eastAsia="ko-KR"/>
        </w:rPr>
        <w:t xml:space="preserve">retrospective study </w:t>
      </w:r>
      <w:r w:rsidR="00A62AC4">
        <w:rPr>
          <w:lang w:eastAsia="ko-KR"/>
        </w:rPr>
        <w:t>exa</w:t>
      </w:r>
      <w:r w:rsidR="008044BB">
        <w:rPr>
          <w:lang w:eastAsia="ko-KR"/>
        </w:rPr>
        <w:t>mines</w:t>
      </w:r>
      <w:r w:rsidR="00A62AC4">
        <w:rPr>
          <w:lang w:eastAsia="ko-KR"/>
        </w:rPr>
        <w:t xml:space="preserve"> the period of</w:t>
      </w:r>
      <w:r w:rsidRPr="003A332C">
        <w:rPr>
          <w:lang w:eastAsia="ko-KR"/>
        </w:rPr>
        <w:t xml:space="preserve"> January 2016 to January 2023</w:t>
      </w:r>
      <w:r w:rsidR="00A62AC4">
        <w:rPr>
          <w:lang w:eastAsia="ko-KR"/>
        </w:rPr>
        <w:t>, utilising</w:t>
      </w:r>
      <w:r w:rsidR="00EA1E83">
        <w:rPr>
          <w:lang w:eastAsia="ko-KR"/>
        </w:rPr>
        <w:t xml:space="preserve"> d</w:t>
      </w:r>
      <w:r w:rsidRPr="003A332C">
        <w:rPr>
          <w:lang w:eastAsia="ko-KR"/>
        </w:rPr>
        <w:t>ata from the Scottish Health and Social Care Open Data repository (</w:t>
      </w:r>
      <w:hyperlink r:id="rId10">
        <w:r w:rsidRPr="003A332C">
          <w:rPr>
            <w:rStyle w:val="Hyperlink"/>
            <w:lang w:eastAsia="ko-KR"/>
          </w:rPr>
          <w:t>https://www.opendata.nhs.scot</w:t>
        </w:r>
      </w:hyperlink>
      <w:r w:rsidRPr="003A332C">
        <w:rPr>
          <w:lang w:eastAsia="ko-KR"/>
        </w:rPr>
        <w:t xml:space="preserve">). This </w:t>
      </w:r>
      <w:r w:rsidR="0054548C" w:rsidRPr="003A332C">
        <w:t>aggregated</w:t>
      </w:r>
      <w:r w:rsidR="0095516E">
        <w:t xml:space="preserve">, </w:t>
      </w:r>
      <w:r w:rsidR="0054548C" w:rsidRPr="003A332C">
        <w:t>anonymous</w:t>
      </w:r>
      <w:r w:rsidR="0054548C" w:rsidRPr="003A332C">
        <w:rPr>
          <w:lang w:eastAsia="ko-KR"/>
        </w:rPr>
        <w:t xml:space="preserve"> </w:t>
      </w:r>
      <w:r w:rsidRPr="003A332C">
        <w:rPr>
          <w:lang w:eastAsia="ko-KR"/>
        </w:rPr>
        <w:t xml:space="preserve">dataset </w:t>
      </w:r>
      <w:r w:rsidR="0054548C" w:rsidRPr="003A332C">
        <w:rPr>
          <w:lang w:eastAsia="ko-KR"/>
        </w:rPr>
        <w:t>is 100% complete for all</w:t>
      </w:r>
      <w:r w:rsidRPr="003A332C">
        <w:rPr>
          <w:lang w:eastAsia="ko-KR"/>
        </w:rPr>
        <w:t xml:space="preserve"> prescriptions dispensed in the community throughout Scotland. </w:t>
      </w:r>
      <w:r w:rsidR="0095516E">
        <w:rPr>
          <w:lang w:eastAsia="ko-KR"/>
        </w:rPr>
        <w:t xml:space="preserve">While the overwhelming majority of these are prescribed in general practices, some may be prescriptions from hospitals </w:t>
      </w:r>
      <w:r w:rsidRPr="003A332C">
        <w:rPr>
          <w:lang w:eastAsia="ko-KR"/>
        </w:rPr>
        <w:t>in community pharmacies</w:t>
      </w:r>
      <w:r w:rsidR="0054548C" w:rsidRPr="003A332C">
        <w:rPr>
          <w:lang w:eastAsia="ko-KR"/>
        </w:rPr>
        <w:t>.</w:t>
      </w:r>
      <w:r w:rsidRPr="003A332C">
        <w:rPr>
          <w:lang w:eastAsia="ko-KR"/>
        </w:rPr>
        <w:t xml:space="preserve"> </w:t>
      </w:r>
      <w:r w:rsidR="0054548C" w:rsidRPr="003A332C">
        <w:rPr>
          <w:lang w:eastAsia="ko-KR"/>
        </w:rPr>
        <w:t xml:space="preserve">This dataset </w:t>
      </w:r>
      <w:r w:rsidRPr="003A332C">
        <w:rPr>
          <w:lang w:eastAsia="ko-KR"/>
        </w:rPr>
        <w:t>excludes items dispensed in hospitals, prisons, schools, and private prescriptions</w:t>
      </w:r>
      <w:r w:rsidR="00A04103" w:rsidRPr="003A332C">
        <w:rPr>
          <w:lang w:eastAsia="ko-KR"/>
        </w:rPr>
        <w:t>,</w:t>
      </w:r>
      <w:r w:rsidRPr="003A332C">
        <w:rPr>
          <w:lang w:eastAsia="ko-KR"/>
        </w:rPr>
        <w:t xml:space="preserve"> as well as prescriptions not presented for dispensing and those dispensed but not submitted for payment. </w:t>
      </w:r>
      <w:r w:rsidR="00A04103" w:rsidRPr="003A332C">
        <w:rPr>
          <w:lang w:eastAsia="ko-KR"/>
        </w:rPr>
        <w:t xml:space="preserve">This is unlikely to be a large enough </w:t>
      </w:r>
      <w:r w:rsidR="00A04103" w:rsidRPr="003A332C">
        <w:t>proportion of these data to impact the observed trends.</w:t>
      </w:r>
    </w:p>
    <w:p w14:paraId="65F5B83E" w14:textId="65A268B2" w:rsidR="001B480A" w:rsidRPr="003A332C" w:rsidRDefault="00000000" w:rsidP="000D730A">
      <w:pPr>
        <w:pStyle w:val="BodyText"/>
      </w:pPr>
      <w:r w:rsidRPr="003A332C">
        <w:t xml:space="preserve">R v4.3.0 </w:t>
      </w:r>
      <w:r w:rsidR="00E6639F" w:rsidRPr="003A332C">
        <w:fldChar w:fldCharType="begin"/>
      </w:r>
      <w:r w:rsidR="00590F6E">
        <w:instrText xml:space="preserve"> ADDIN ZOTERO_ITEM CSL_CITATION {"citationID":"5kTrUrIb","properties":{"formattedCitation":"[13]","plainCitation":"[13]","noteIndex":0},"citationItems":[{"id":710,"uris":["http://zotero.org/users/11849522/items/M6AHW34A"],"itemData":{"id":710,"type":"software","event-place":"Vienna, Austria","publisher":"R Foundation for Statistical Computing","publisher-place":"Vienna, Austria","title":"R V4.3.0: A Language and Environment for Statistical Computing.","URL":"https://www.R-project.org/","author":[{"family":"R Core Team","given":""}],"issued":{"date-parts":[["2023"]]},"citation-key":"rcoreteamV4LanguageEnvironment2023"}}],"schema":"https://github.com/citation-style-language/schema/raw/master/csl-citation.json"} </w:instrText>
      </w:r>
      <w:r w:rsidR="00E6639F" w:rsidRPr="003A332C">
        <w:fldChar w:fldCharType="separate"/>
      </w:r>
      <w:r w:rsidR="00590F6E">
        <w:rPr>
          <w:noProof/>
        </w:rPr>
        <w:t>[13]</w:t>
      </w:r>
      <w:r w:rsidR="00E6639F" w:rsidRPr="003A332C">
        <w:fldChar w:fldCharType="end"/>
      </w:r>
      <w:r w:rsidR="00E6639F" w:rsidRPr="003A332C">
        <w:t xml:space="preserve"> </w:t>
      </w:r>
      <w:r w:rsidRPr="003A332C">
        <w:t>was used to create a script to access data from the NHS Scotland Open Data API. Initially, the complete dataset is filtered using a SQL query</w:t>
      </w:r>
      <w:r w:rsidR="00A62AC4">
        <w:t xml:space="preserve"> (Supplementary Information)</w:t>
      </w:r>
      <w:r w:rsidRPr="003A332C">
        <w:t xml:space="preserve"> to extract only contraceptive medicines by returning results with truncated </w:t>
      </w:r>
      <w:r w:rsidR="00A62AC4" w:rsidRPr="003A332C">
        <w:t xml:space="preserve">British National Formulary (BNF) </w:t>
      </w:r>
      <w:r w:rsidR="00A62AC4" w:rsidRPr="003A332C">
        <w:fldChar w:fldCharType="begin"/>
      </w:r>
      <w:r w:rsidR="00590F6E">
        <w:instrText xml:space="preserve"> ADDIN ZOTERO_ITEM CSL_CITATION {"citationID":"x97xAyxb","properties":{"formattedCitation":"[14]","plainCitation":"[14]","noteIndex":0},"citationItems":[{"id":711,"uris":["http://zotero.org/users/11849522/items/QZCVHZWE"],"itemData":{"id":711,"type":"book","event-place":"London, UK","publisher":"BMJ; Pharmaceutical Press","publisher-place":"London, UK","title":"Nonoxinol","URL":"https://bnf.nice.org.uk/drugs/nonoxinol/","author":[{"family":"Joint Formulary Committee","given":""}],"issued":{"date-parts":[["2023"]]},"citation-key":"jointformularycommitteeNonoxinol2023"}}],"schema":"https://github.com/citation-style-language/schema/raw/master/csl-citation.json"} </w:instrText>
      </w:r>
      <w:r w:rsidR="00A62AC4" w:rsidRPr="003A332C">
        <w:fldChar w:fldCharType="separate"/>
      </w:r>
      <w:r w:rsidR="00590F6E">
        <w:rPr>
          <w:noProof/>
        </w:rPr>
        <w:t>[14]</w:t>
      </w:r>
      <w:r w:rsidR="00A62AC4" w:rsidRPr="003A332C">
        <w:fldChar w:fldCharType="end"/>
      </w:r>
      <w:r w:rsidR="00A62AC4" w:rsidRPr="003A332C">
        <w:t xml:space="preserve"> </w:t>
      </w:r>
      <w:r w:rsidRPr="003A332C">
        <w:t xml:space="preserve">item codes beginning </w:t>
      </w:r>
      <w:r w:rsidR="00A04103" w:rsidRPr="003A332C">
        <w:t xml:space="preserve">with </w:t>
      </w:r>
      <w:r w:rsidRPr="003A332C">
        <w:t xml:space="preserve">07030* or 21040*. Subsequently, these data were categorised by truncated </w:t>
      </w:r>
      <w:r w:rsidR="00A62AC4">
        <w:t xml:space="preserve">BNF </w:t>
      </w:r>
      <w:r w:rsidRPr="003A332C">
        <w:t>code (Table 1).</w:t>
      </w:r>
    </w:p>
    <w:p w14:paraId="1EAA0F06" w14:textId="01501D56" w:rsidR="001B480A" w:rsidRPr="003A332C" w:rsidRDefault="00000000" w:rsidP="00A04103">
      <w:pPr>
        <w:keepNext/>
        <w:spacing w:after="60"/>
      </w:pPr>
      <w:r w:rsidRPr="003A332C">
        <w:rPr>
          <w:rFonts w:ascii="Calibri" w:hAnsi="Calibri"/>
          <w:b/>
          <w:color w:val="333333"/>
        </w:rPr>
        <w:lastRenderedPageBreak/>
        <w:t>Table 1</w:t>
      </w:r>
      <w:r w:rsidRPr="003A332C">
        <w:rPr>
          <w:rFonts w:ascii="Calibri" w:hAnsi="Calibri"/>
          <w:color w:val="333333"/>
        </w:rPr>
        <w:t xml:space="preserve"> Truncated BNF item codes used during data extraction and example medicines in these categories.</w:t>
      </w:r>
    </w:p>
    <w:tbl>
      <w:tblPr>
        <w:tblStyle w:val="PlainTable2"/>
        <w:tblW w:w="5000" w:type="pct"/>
        <w:tblLook w:val="0020" w:firstRow="1" w:lastRow="0" w:firstColumn="0" w:lastColumn="0" w:noHBand="0" w:noVBand="0"/>
      </w:tblPr>
      <w:tblGrid>
        <w:gridCol w:w="2473"/>
        <w:gridCol w:w="1014"/>
        <w:gridCol w:w="729"/>
        <w:gridCol w:w="5360"/>
      </w:tblGrid>
      <w:tr w:rsidR="007F3781" w:rsidRPr="003A332C" w14:paraId="69D6762A" w14:textId="77777777" w:rsidTr="007F3781">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EB49CB0" w14:textId="77777777" w:rsidR="007F3781" w:rsidRPr="003A332C" w:rsidRDefault="007F3781" w:rsidP="00A04103">
            <w:pPr>
              <w:keepNext/>
              <w:spacing w:after="60"/>
            </w:pPr>
            <w:r w:rsidRPr="003A332C">
              <w:rPr>
                <w:rFonts w:ascii="Calibri" w:hAnsi="Calibri"/>
                <w:sz w:val="20"/>
              </w:rPr>
              <w:t>Truncated BNF Item Code</w:t>
            </w:r>
          </w:p>
        </w:tc>
        <w:tc>
          <w:tcPr>
            <w:cnfStyle w:val="000001000000" w:firstRow="0" w:lastRow="0" w:firstColumn="0" w:lastColumn="0" w:oddVBand="0" w:evenVBand="1" w:oddHBand="0" w:evenHBand="0" w:firstRowFirstColumn="0" w:firstRowLastColumn="0" w:lastRowFirstColumn="0" w:lastRowLastColumn="0"/>
            <w:tcW w:w="0" w:type="auto"/>
          </w:tcPr>
          <w:p w14:paraId="11EBC6E9" w14:textId="77777777" w:rsidR="007F3781" w:rsidRPr="003A332C" w:rsidRDefault="007F3781" w:rsidP="00A04103">
            <w:pPr>
              <w:keepNext/>
              <w:spacing w:after="60"/>
            </w:pPr>
            <w:r w:rsidRPr="003A332C">
              <w:rPr>
                <w:rFonts w:ascii="Calibri" w:hAnsi="Calibri"/>
                <w:sz w:val="20"/>
              </w:rPr>
              <w:t>Category</w:t>
            </w:r>
          </w:p>
        </w:tc>
        <w:tc>
          <w:tcPr>
            <w:cnfStyle w:val="000010000000" w:firstRow="0" w:lastRow="0" w:firstColumn="0" w:lastColumn="0" w:oddVBand="1" w:evenVBand="0" w:oddHBand="0" w:evenHBand="0" w:firstRowFirstColumn="0" w:firstRowLastColumn="0" w:lastRowFirstColumn="0" w:lastRowLastColumn="0"/>
            <w:tcW w:w="0" w:type="auto"/>
          </w:tcPr>
          <w:p w14:paraId="0F5A3B91" w14:textId="52697955" w:rsidR="007F3781" w:rsidRPr="003A332C" w:rsidRDefault="007F3781" w:rsidP="00A04103">
            <w:pPr>
              <w:keepNext/>
              <w:spacing w:after="60"/>
              <w:rPr>
                <w:rFonts w:ascii="Calibri" w:hAnsi="Calibri"/>
                <w:sz w:val="20"/>
              </w:rPr>
            </w:pPr>
            <w:r>
              <w:rPr>
                <w:rFonts w:ascii="Calibri" w:hAnsi="Calibri"/>
                <w:sz w:val="20"/>
              </w:rPr>
              <w:t>Type</w:t>
            </w:r>
          </w:p>
        </w:tc>
        <w:tc>
          <w:tcPr>
            <w:cnfStyle w:val="000001000000" w:firstRow="0" w:lastRow="0" w:firstColumn="0" w:lastColumn="0" w:oddVBand="0" w:evenVBand="1" w:oddHBand="0" w:evenHBand="0" w:firstRowFirstColumn="0" w:firstRowLastColumn="0" w:lastRowFirstColumn="0" w:lastRowLastColumn="0"/>
            <w:tcW w:w="0" w:type="auto"/>
          </w:tcPr>
          <w:p w14:paraId="1D3A8A40" w14:textId="03AFEE6B" w:rsidR="007F3781" w:rsidRPr="003A332C" w:rsidRDefault="007F3781" w:rsidP="00A04103">
            <w:pPr>
              <w:keepNext/>
              <w:spacing w:after="60"/>
            </w:pPr>
            <w:r w:rsidRPr="003A332C">
              <w:rPr>
                <w:rFonts w:ascii="Calibri" w:hAnsi="Calibri"/>
                <w:sz w:val="20"/>
              </w:rPr>
              <w:t>Example BNF Item Description</w:t>
            </w:r>
          </w:p>
        </w:tc>
      </w:tr>
      <w:tr w:rsidR="007F3781" w:rsidRPr="003A332C" w14:paraId="758BE90A" w14:textId="77777777" w:rsidTr="007F37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3801CF2" w14:textId="77777777" w:rsidR="007F3781" w:rsidRPr="003A332C" w:rsidRDefault="007F3781" w:rsidP="00A04103">
            <w:pPr>
              <w:keepNext/>
              <w:spacing w:after="60"/>
            </w:pPr>
            <w:r w:rsidRPr="003A332C">
              <w:rPr>
                <w:rFonts w:ascii="Calibri" w:hAnsi="Calibri"/>
                <w:sz w:val="20"/>
              </w:rPr>
              <w:t>0703010*</w:t>
            </w:r>
          </w:p>
        </w:tc>
        <w:tc>
          <w:tcPr>
            <w:cnfStyle w:val="000001000000" w:firstRow="0" w:lastRow="0" w:firstColumn="0" w:lastColumn="0" w:oddVBand="0" w:evenVBand="1" w:oddHBand="0" w:evenHBand="0" w:firstRowFirstColumn="0" w:firstRowLastColumn="0" w:lastRowFirstColumn="0" w:lastRowLastColumn="0"/>
            <w:tcW w:w="0" w:type="auto"/>
          </w:tcPr>
          <w:p w14:paraId="44E35B23" w14:textId="77777777" w:rsidR="007F3781" w:rsidRPr="003A332C" w:rsidRDefault="007F3781" w:rsidP="00A04103">
            <w:pPr>
              <w:keepNext/>
              <w:spacing w:after="60"/>
            </w:pPr>
            <w:r w:rsidRPr="003A332C">
              <w:rPr>
                <w:rFonts w:ascii="Calibri" w:hAnsi="Calibri"/>
                <w:sz w:val="20"/>
              </w:rPr>
              <w:t>COCP</w:t>
            </w:r>
          </w:p>
        </w:tc>
        <w:tc>
          <w:tcPr>
            <w:cnfStyle w:val="000010000000" w:firstRow="0" w:lastRow="0" w:firstColumn="0" w:lastColumn="0" w:oddVBand="1" w:evenVBand="0" w:oddHBand="0" w:evenHBand="0" w:firstRowFirstColumn="0" w:firstRowLastColumn="0" w:lastRowFirstColumn="0" w:lastRowLastColumn="0"/>
            <w:tcW w:w="0" w:type="auto"/>
          </w:tcPr>
          <w:p w14:paraId="440DAA4E" w14:textId="7F37E799" w:rsidR="007F3781" w:rsidRPr="003A332C" w:rsidRDefault="007F3781" w:rsidP="00A04103">
            <w:pPr>
              <w:keepNext/>
              <w:spacing w:after="60"/>
              <w:rPr>
                <w:rFonts w:ascii="Calibri" w:hAnsi="Calibri"/>
                <w:sz w:val="20"/>
              </w:rPr>
            </w:pPr>
            <w:r>
              <w:rPr>
                <w:rFonts w:ascii="Calibri" w:hAnsi="Calibri"/>
                <w:sz w:val="20"/>
              </w:rPr>
              <w:t>Oral</w:t>
            </w:r>
          </w:p>
        </w:tc>
        <w:tc>
          <w:tcPr>
            <w:cnfStyle w:val="000001000000" w:firstRow="0" w:lastRow="0" w:firstColumn="0" w:lastColumn="0" w:oddVBand="0" w:evenVBand="1" w:oddHBand="0" w:evenHBand="0" w:firstRowFirstColumn="0" w:firstRowLastColumn="0" w:lastRowFirstColumn="0" w:lastRowLastColumn="0"/>
            <w:tcW w:w="0" w:type="auto"/>
          </w:tcPr>
          <w:p w14:paraId="612C24C8" w14:textId="13ABE21A" w:rsidR="007F3781" w:rsidRPr="003A332C" w:rsidRDefault="007F3781" w:rsidP="00A04103">
            <w:pPr>
              <w:keepNext/>
              <w:spacing w:after="60"/>
            </w:pPr>
            <w:r w:rsidRPr="003A332C">
              <w:rPr>
                <w:rFonts w:ascii="Calibri" w:hAnsi="Calibri"/>
                <w:sz w:val="20"/>
              </w:rPr>
              <w:t>Rigevidon Tablet</w:t>
            </w:r>
          </w:p>
        </w:tc>
      </w:tr>
      <w:tr w:rsidR="007F3781" w:rsidRPr="003A332C" w14:paraId="3A052FEE" w14:textId="77777777" w:rsidTr="007F3781">
        <w:tc>
          <w:tcPr>
            <w:cnfStyle w:val="000010000000" w:firstRow="0" w:lastRow="0" w:firstColumn="0" w:lastColumn="0" w:oddVBand="1" w:evenVBand="0" w:oddHBand="0" w:evenHBand="0" w:firstRowFirstColumn="0" w:firstRowLastColumn="0" w:lastRowFirstColumn="0" w:lastRowLastColumn="0"/>
            <w:tcW w:w="0" w:type="auto"/>
          </w:tcPr>
          <w:p w14:paraId="1378236A" w14:textId="77777777" w:rsidR="007F3781" w:rsidRPr="003A332C" w:rsidRDefault="007F3781" w:rsidP="00A04103">
            <w:pPr>
              <w:keepNext/>
              <w:spacing w:after="60"/>
            </w:pPr>
            <w:r w:rsidRPr="003A332C">
              <w:rPr>
                <w:rFonts w:ascii="Calibri" w:hAnsi="Calibri"/>
                <w:sz w:val="20"/>
              </w:rPr>
              <w:t>0703010E0BG*</w:t>
            </w:r>
          </w:p>
        </w:tc>
        <w:tc>
          <w:tcPr>
            <w:cnfStyle w:val="000001000000" w:firstRow="0" w:lastRow="0" w:firstColumn="0" w:lastColumn="0" w:oddVBand="0" w:evenVBand="1" w:oddHBand="0" w:evenHBand="0" w:firstRowFirstColumn="0" w:firstRowLastColumn="0" w:lastRowFirstColumn="0" w:lastRowLastColumn="0"/>
            <w:tcW w:w="0" w:type="auto"/>
          </w:tcPr>
          <w:p w14:paraId="02F359E0" w14:textId="77777777" w:rsidR="007F3781" w:rsidRPr="003A332C" w:rsidRDefault="007F3781" w:rsidP="00A04103">
            <w:pPr>
              <w:keepNext/>
              <w:spacing w:after="60"/>
            </w:pPr>
            <w:r w:rsidRPr="003A332C">
              <w:rPr>
                <w:rFonts w:ascii="Calibri" w:hAnsi="Calibri"/>
                <w:sz w:val="20"/>
              </w:rPr>
              <w:t>Patch</w:t>
            </w:r>
          </w:p>
        </w:tc>
        <w:tc>
          <w:tcPr>
            <w:cnfStyle w:val="000010000000" w:firstRow="0" w:lastRow="0" w:firstColumn="0" w:lastColumn="0" w:oddVBand="1" w:evenVBand="0" w:oddHBand="0" w:evenHBand="0" w:firstRowFirstColumn="0" w:firstRowLastColumn="0" w:lastRowFirstColumn="0" w:lastRowLastColumn="0"/>
            <w:tcW w:w="0" w:type="auto"/>
          </w:tcPr>
          <w:p w14:paraId="7220B2BE" w14:textId="0093DC69" w:rsidR="007F3781" w:rsidRPr="003A332C" w:rsidRDefault="007F3781" w:rsidP="00A04103">
            <w:pPr>
              <w:keepNext/>
              <w:spacing w:after="60"/>
              <w:rPr>
                <w:rFonts w:ascii="Calibri" w:hAnsi="Calibri"/>
                <w:sz w:val="20"/>
              </w:rPr>
            </w:pPr>
            <w:r>
              <w:rPr>
                <w:rFonts w:ascii="Calibri" w:hAnsi="Calibri"/>
                <w:sz w:val="20"/>
              </w:rPr>
              <w:t>Other</w:t>
            </w:r>
          </w:p>
        </w:tc>
        <w:tc>
          <w:tcPr>
            <w:cnfStyle w:val="000001000000" w:firstRow="0" w:lastRow="0" w:firstColumn="0" w:lastColumn="0" w:oddVBand="0" w:evenVBand="1" w:oddHBand="0" w:evenHBand="0" w:firstRowFirstColumn="0" w:firstRowLastColumn="0" w:lastRowFirstColumn="0" w:lastRowLastColumn="0"/>
            <w:tcW w:w="0" w:type="auto"/>
          </w:tcPr>
          <w:p w14:paraId="4CCB9AF9" w14:textId="5B4B4847" w:rsidR="007F3781" w:rsidRPr="003A332C" w:rsidRDefault="007F3781" w:rsidP="00A04103">
            <w:pPr>
              <w:keepNext/>
              <w:spacing w:after="60"/>
            </w:pPr>
            <w:r w:rsidRPr="003A332C">
              <w:rPr>
                <w:rFonts w:ascii="Calibri" w:hAnsi="Calibri"/>
                <w:sz w:val="20"/>
              </w:rPr>
              <w:t>Evra Transdermal Patch</w:t>
            </w:r>
          </w:p>
        </w:tc>
      </w:tr>
      <w:tr w:rsidR="007F3781" w:rsidRPr="003A332C" w14:paraId="198395AC" w14:textId="77777777" w:rsidTr="007F37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40C9666" w14:textId="77777777" w:rsidR="007F3781" w:rsidRPr="003A332C" w:rsidRDefault="007F3781" w:rsidP="00A04103">
            <w:pPr>
              <w:keepNext/>
              <w:spacing w:after="60"/>
            </w:pPr>
            <w:r w:rsidRPr="003A332C">
              <w:rPr>
                <w:rFonts w:ascii="Calibri" w:hAnsi="Calibri"/>
                <w:sz w:val="20"/>
              </w:rPr>
              <w:t>0703011*</w:t>
            </w:r>
          </w:p>
        </w:tc>
        <w:tc>
          <w:tcPr>
            <w:cnfStyle w:val="000001000000" w:firstRow="0" w:lastRow="0" w:firstColumn="0" w:lastColumn="0" w:oddVBand="0" w:evenVBand="1" w:oddHBand="0" w:evenHBand="0" w:firstRowFirstColumn="0" w:firstRowLastColumn="0" w:lastRowFirstColumn="0" w:lastRowLastColumn="0"/>
            <w:tcW w:w="0" w:type="auto"/>
          </w:tcPr>
          <w:p w14:paraId="21F2B833" w14:textId="77777777" w:rsidR="007F3781" w:rsidRPr="003A332C" w:rsidRDefault="007F3781" w:rsidP="00A04103">
            <w:pPr>
              <w:keepNext/>
              <w:spacing w:after="60"/>
            </w:pPr>
            <w:r w:rsidRPr="003A332C">
              <w:rPr>
                <w:rFonts w:ascii="Calibri" w:hAnsi="Calibri"/>
                <w:sz w:val="20"/>
              </w:rPr>
              <w:t>Ring</w:t>
            </w:r>
          </w:p>
        </w:tc>
        <w:tc>
          <w:tcPr>
            <w:cnfStyle w:val="000010000000" w:firstRow="0" w:lastRow="0" w:firstColumn="0" w:lastColumn="0" w:oddVBand="1" w:evenVBand="0" w:oddHBand="0" w:evenHBand="0" w:firstRowFirstColumn="0" w:firstRowLastColumn="0" w:lastRowFirstColumn="0" w:lastRowLastColumn="0"/>
            <w:tcW w:w="0" w:type="auto"/>
          </w:tcPr>
          <w:p w14:paraId="2BBF9603" w14:textId="303CD2D3" w:rsidR="007F3781" w:rsidRPr="003A332C" w:rsidRDefault="007F3781" w:rsidP="00A04103">
            <w:pPr>
              <w:keepNext/>
              <w:spacing w:after="60"/>
              <w:rPr>
                <w:rFonts w:ascii="Calibri" w:hAnsi="Calibri"/>
                <w:sz w:val="20"/>
              </w:rPr>
            </w:pPr>
            <w:r>
              <w:rPr>
                <w:rFonts w:ascii="Calibri" w:hAnsi="Calibri"/>
                <w:sz w:val="20"/>
              </w:rPr>
              <w:t>Other</w:t>
            </w:r>
          </w:p>
        </w:tc>
        <w:tc>
          <w:tcPr>
            <w:cnfStyle w:val="000001000000" w:firstRow="0" w:lastRow="0" w:firstColumn="0" w:lastColumn="0" w:oddVBand="0" w:evenVBand="1" w:oddHBand="0" w:evenHBand="0" w:firstRowFirstColumn="0" w:firstRowLastColumn="0" w:lastRowFirstColumn="0" w:lastRowLastColumn="0"/>
            <w:tcW w:w="0" w:type="auto"/>
          </w:tcPr>
          <w:p w14:paraId="77913AA4" w14:textId="6B7612E4" w:rsidR="007F3781" w:rsidRPr="003A332C" w:rsidRDefault="007F3781" w:rsidP="00A04103">
            <w:pPr>
              <w:keepNext/>
              <w:spacing w:after="60"/>
            </w:pPr>
            <w:r w:rsidRPr="003A332C">
              <w:rPr>
                <w:rFonts w:ascii="Calibri" w:hAnsi="Calibri"/>
                <w:sz w:val="20"/>
              </w:rPr>
              <w:t>NuvaRing 0.12mg/0.015mg per day Vaginal Delivery System</w:t>
            </w:r>
          </w:p>
        </w:tc>
      </w:tr>
      <w:tr w:rsidR="007F3781" w:rsidRPr="003A332C" w14:paraId="386D3EA5" w14:textId="77777777" w:rsidTr="007F3781">
        <w:tc>
          <w:tcPr>
            <w:cnfStyle w:val="000010000000" w:firstRow="0" w:lastRow="0" w:firstColumn="0" w:lastColumn="0" w:oddVBand="1" w:evenVBand="0" w:oddHBand="0" w:evenHBand="0" w:firstRowFirstColumn="0" w:firstRowLastColumn="0" w:lastRowFirstColumn="0" w:lastRowLastColumn="0"/>
            <w:tcW w:w="0" w:type="auto"/>
          </w:tcPr>
          <w:p w14:paraId="6811B722" w14:textId="77777777" w:rsidR="007F3781" w:rsidRPr="003A332C" w:rsidRDefault="007F3781" w:rsidP="00A04103">
            <w:pPr>
              <w:keepNext/>
              <w:spacing w:after="60"/>
            </w:pPr>
            <w:r w:rsidRPr="003A332C">
              <w:rPr>
                <w:rFonts w:ascii="Calibri" w:hAnsi="Calibri"/>
                <w:sz w:val="20"/>
              </w:rPr>
              <w:t>0703021*</w:t>
            </w:r>
          </w:p>
        </w:tc>
        <w:tc>
          <w:tcPr>
            <w:cnfStyle w:val="000001000000" w:firstRow="0" w:lastRow="0" w:firstColumn="0" w:lastColumn="0" w:oddVBand="0" w:evenVBand="1" w:oddHBand="0" w:evenHBand="0" w:firstRowFirstColumn="0" w:firstRowLastColumn="0" w:lastRowFirstColumn="0" w:lastRowLastColumn="0"/>
            <w:tcW w:w="0" w:type="auto"/>
          </w:tcPr>
          <w:p w14:paraId="0AAB706B" w14:textId="77777777" w:rsidR="007F3781" w:rsidRPr="003A332C" w:rsidRDefault="007F3781" w:rsidP="00A04103">
            <w:pPr>
              <w:keepNext/>
              <w:spacing w:after="60"/>
            </w:pPr>
            <w:r w:rsidRPr="003A332C">
              <w:rPr>
                <w:rFonts w:ascii="Calibri" w:hAnsi="Calibri"/>
                <w:sz w:val="20"/>
              </w:rPr>
              <w:t>POP</w:t>
            </w:r>
          </w:p>
        </w:tc>
        <w:tc>
          <w:tcPr>
            <w:cnfStyle w:val="000010000000" w:firstRow="0" w:lastRow="0" w:firstColumn="0" w:lastColumn="0" w:oddVBand="1" w:evenVBand="0" w:oddHBand="0" w:evenHBand="0" w:firstRowFirstColumn="0" w:firstRowLastColumn="0" w:lastRowFirstColumn="0" w:lastRowLastColumn="0"/>
            <w:tcW w:w="0" w:type="auto"/>
          </w:tcPr>
          <w:p w14:paraId="1B1C394B" w14:textId="436ADF55" w:rsidR="007F3781" w:rsidRPr="003A332C" w:rsidRDefault="007F3781" w:rsidP="00A04103">
            <w:pPr>
              <w:keepNext/>
              <w:spacing w:after="60"/>
              <w:rPr>
                <w:rFonts w:ascii="Calibri" w:hAnsi="Calibri"/>
                <w:sz w:val="20"/>
              </w:rPr>
            </w:pPr>
            <w:r>
              <w:rPr>
                <w:rFonts w:ascii="Calibri" w:hAnsi="Calibri"/>
                <w:sz w:val="20"/>
              </w:rPr>
              <w:t>Oral</w:t>
            </w:r>
          </w:p>
        </w:tc>
        <w:tc>
          <w:tcPr>
            <w:cnfStyle w:val="000001000000" w:firstRow="0" w:lastRow="0" w:firstColumn="0" w:lastColumn="0" w:oddVBand="0" w:evenVBand="1" w:oddHBand="0" w:evenHBand="0" w:firstRowFirstColumn="0" w:firstRowLastColumn="0" w:lastRowFirstColumn="0" w:lastRowLastColumn="0"/>
            <w:tcW w:w="0" w:type="auto"/>
          </w:tcPr>
          <w:p w14:paraId="6E045CE9" w14:textId="6FEABB31" w:rsidR="007F3781" w:rsidRPr="003A332C" w:rsidRDefault="007F3781" w:rsidP="00A04103">
            <w:pPr>
              <w:keepNext/>
              <w:spacing w:after="60"/>
            </w:pPr>
            <w:r w:rsidRPr="003A332C">
              <w:rPr>
                <w:rFonts w:ascii="Calibri" w:hAnsi="Calibri"/>
                <w:sz w:val="20"/>
              </w:rPr>
              <w:t>Desogestrel Tablet 75mcg</w:t>
            </w:r>
          </w:p>
        </w:tc>
      </w:tr>
      <w:tr w:rsidR="007F3781" w:rsidRPr="003A332C" w14:paraId="7239C8AB" w14:textId="77777777" w:rsidTr="007F37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2091E46" w14:textId="77777777" w:rsidR="007F3781" w:rsidRPr="003A332C" w:rsidRDefault="007F3781" w:rsidP="00A04103">
            <w:pPr>
              <w:keepNext/>
              <w:spacing w:after="60"/>
            </w:pPr>
            <w:r w:rsidRPr="003A332C">
              <w:rPr>
                <w:rFonts w:ascii="Calibri" w:hAnsi="Calibri"/>
                <w:sz w:val="20"/>
              </w:rPr>
              <w:t>0703022M*</w:t>
            </w:r>
          </w:p>
        </w:tc>
        <w:tc>
          <w:tcPr>
            <w:cnfStyle w:val="000001000000" w:firstRow="0" w:lastRow="0" w:firstColumn="0" w:lastColumn="0" w:oddVBand="0" w:evenVBand="1" w:oddHBand="0" w:evenHBand="0" w:firstRowFirstColumn="0" w:firstRowLastColumn="0" w:lastRowFirstColumn="0" w:lastRowLastColumn="0"/>
            <w:tcW w:w="0" w:type="auto"/>
          </w:tcPr>
          <w:p w14:paraId="42DB5792" w14:textId="77777777" w:rsidR="007F3781" w:rsidRPr="003A332C" w:rsidRDefault="007F3781" w:rsidP="00A04103">
            <w:pPr>
              <w:keepNext/>
              <w:spacing w:after="60"/>
            </w:pPr>
            <w:r w:rsidRPr="003A332C">
              <w:rPr>
                <w:rFonts w:ascii="Calibri" w:hAnsi="Calibri"/>
                <w:sz w:val="20"/>
              </w:rPr>
              <w:t>Injection</w:t>
            </w:r>
          </w:p>
        </w:tc>
        <w:tc>
          <w:tcPr>
            <w:cnfStyle w:val="000010000000" w:firstRow="0" w:lastRow="0" w:firstColumn="0" w:lastColumn="0" w:oddVBand="1" w:evenVBand="0" w:oddHBand="0" w:evenHBand="0" w:firstRowFirstColumn="0" w:firstRowLastColumn="0" w:lastRowFirstColumn="0" w:lastRowLastColumn="0"/>
            <w:tcW w:w="0" w:type="auto"/>
          </w:tcPr>
          <w:p w14:paraId="29DD57AB" w14:textId="420AFC43" w:rsidR="007F3781" w:rsidRPr="003A332C" w:rsidRDefault="007F3781" w:rsidP="00A04103">
            <w:pPr>
              <w:keepNext/>
              <w:spacing w:after="60"/>
              <w:rPr>
                <w:rFonts w:ascii="Calibri" w:hAnsi="Calibri"/>
                <w:sz w:val="20"/>
              </w:rPr>
            </w:pPr>
            <w:r>
              <w:rPr>
                <w:rFonts w:ascii="Calibri" w:hAnsi="Calibri"/>
                <w:sz w:val="20"/>
              </w:rPr>
              <w:t>LARC</w:t>
            </w:r>
          </w:p>
        </w:tc>
        <w:tc>
          <w:tcPr>
            <w:cnfStyle w:val="000001000000" w:firstRow="0" w:lastRow="0" w:firstColumn="0" w:lastColumn="0" w:oddVBand="0" w:evenVBand="1" w:oddHBand="0" w:evenHBand="0" w:firstRowFirstColumn="0" w:firstRowLastColumn="0" w:lastRowFirstColumn="0" w:lastRowLastColumn="0"/>
            <w:tcW w:w="0" w:type="auto"/>
          </w:tcPr>
          <w:p w14:paraId="73BB4458" w14:textId="24CEBAB4" w:rsidR="007F3781" w:rsidRPr="003A332C" w:rsidRDefault="007F3781" w:rsidP="00A04103">
            <w:pPr>
              <w:keepNext/>
              <w:spacing w:after="60"/>
            </w:pPr>
            <w:r w:rsidRPr="003A332C">
              <w:rPr>
                <w:rFonts w:ascii="Calibri" w:hAnsi="Calibri"/>
                <w:sz w:val="20"/>
              </w:rPr>
              <w:t>Depo-Provera Injection 150mg/ml 1ml Pre-filled Syringes</w:t>
            </w:r>
          </w:p>
        </w:tc>
      </w:tr>
      <w:tr w:rsidR="007F3781" w:rsidRPr="0082047F" w14:paraId="5596F417" w14:textId="77777777" w:rsidTr="007F3781">
        <w:tc>
          <w:tcPr>
            <w:cnfStyle w:val="000010000000" w:firstRow="0" w:lastRow="0" w:firstColumn="0" w:lastColumn="0" w:oddVBand="1" w:evenVBand="0" w:oddHBand="0" w:evenHBand="0" w:firstRowFirstColumn="0" w:firstRowLastColumn="0" w:lastRowFirstColumn="0" w:lastRowLastColumn="0"/>
            <w:tcW w:w="0" w:type="auto"/>
          </w:tcPr>
          <w:p w14:paraId="2DD44D1F" w14:textId="77777777" w:rsidR="007F3781" w:rsidRPr="003A332C" w:rsidRDefault="007F3781" w:rsidP="00A04103">
            <w:pPr>
              <w:keepNext/>
              <w:spacing w:after="60"/>
            </w:pPr>
            <w:r w:rsidRPr="003A332C">
              <w:rPr>
                <w:rFonts w:ascii="Calibri" w:hAnsi="Calibri"/>
                <w:sz w:val="20"/>
              </w:rPr>
              <w:t>0703022N*</w:t>
            </w:r>
          </w:p>
        </w:tc>
        <w:tc>
          <w:tcPr>
            <w:cnfStyle w:val="000001000000" w:firstRow="0" w:lastRow="0" w:firstColumn="0" w:lastColumn="0" w:oddVBand="0" w:evenVBand="1" w:oddHBand="0" w:evenHBand="0" w:firstRowFirstColumn="0" w:firstRowLastColumn="0" w:lastRowFirstColumn="0" w:lastRowLastColumn="0"/>
            <w:tcW w:w="0" w:type="auto"/>
          </w:tcPr>
          <w:p w14:paraId="449F619F" w14:textId="77777777" w:rsidR="007F3781" w:rsidRPr="003A332C" w:rsidRDefault="007F3781" w:rsidP="00A04103">
            <w:pPr>
              <w:keepNext/>
              <w:spacing w:after="60"/>
            </w:pPr>
            <w:r w:rsidRPr="003A332C">
              <w:rPr>
                <w:rFonts w:ascii="Calibri" w:hAnsi="Calibri"/>
                <w:sz w:val="20"/>
              </w:rPr>
              <w:t>Injection</w:t>
            </w:r>
          </w:p>
        </w:tc>
        <w:tc>
          <w:tcPr>
            <w:cnfStyle w:val="000010000000" w:firstRow="0" w:lastRow="0" w:firstColumn="0" w:lastColumn="0" w:oddVBand="1" w:evenVBand="0" w:oddHBand="0" w:evenHBand="0" w:firstRowFirstColumn="0" w:firstRowLastColumn="0" w:lastRowFirstColumn="0" w:lastRowLastColumn="0"/>
            <w:tcW w:w="0" w:type="auto"/>
          </w:tcPr>
          <w:p w14:paraId="5EA1B8FD" w14:textId="27754919" w:rsidR="007F3781" w:rsidRPr="004513FA" w:rsidRDefault="007F3781" w:rsidP="00A04103">
            <w:pPr>
              <w:keepNext/>
              <w:spacing w:after="60"/>
              <w:rPr>
                <w:rFonts w:ascii="Calibri" w:hAnsi="Calibri"/>
                <w:sz w:val="20"/>
                <w:lang w:val="fr-FR"/>
              </w:rPr>
            </w:pPr>
            <w:r>
              <w:rPr>
                <w:rFonts w:ascii="Calibri" w:hAnsi="Calibri"/>
                <w:sz w:val="20"/>
              </w:rPr>
              <w:t>LARC</w:t>
            </w:r>
          </w:p>
        </w:tc>
        <w:tc>
          <w:tcPr>
            <w:cnfStyle w:val="000001000000" w:firstRow="0" w:lastRow="0" w:firstColumn="0" w:lastColumn="0" w:oddVBand="0" w:evenVBand="1" w:oddHBand="0" w:evenHBand="0" w:firstRowFirstColumn="0" w:firstRowLastColumn="0" w:lastRowFirstColumn="0" w:lastRowLastColumn="0"/>
            <w:tcW w:w="0" w:type="auto"/>
          </w:tcPr>
          <w:p w14:paraId="3170F5EB" w14:textId="2B791184" w:rsidR="007F3781" w:rsidRPr="004513FA" w:rsidRDefault="007F3781" w:rsidP="00A04103">
            <w:pPr>
              <w:keepNext/>
              <w:spacing w:after="60"/>
              <w:rPr>
                <w:lang w:val="fr-FR"/>
              </w:rPr>
            </w:pPr>
            <w:r w:rsidRPr="004513FA">
              <w:rPr>
                <w:rFonts w:ascii="Calibri" w:hAnsi="Calibri"/>
                <w:sz w:val="20"/>
                <w:lang w:val="fr-FR"/>
              </w:rPr>
              <w:t>Noristerat Injection 200mg/ml 1ml Ampoules</w:t>
            </w:r>
          </w:p>
        </w:tc>
      </w:tr>
      <w:tr w:rsidR="007F3781" w:rsidRPr="003A332C" w14:paraId="522BB472" w14:textId="77777777" w:rsidTr="007F37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B1EE748" w14:textId="77777777" w:rsidR="007F3781" w:rsidRPr="003A332C" w:rsidRDefault="007F3781" w:rsidP="00A04103">
            <w:pPr>
              <w:keepNext/>
              <w:spacing w:after="60"/>
            </w:pPr>
            <w:r w:rsidRPr="003A332C">
              <w:rPr>
                <w:rFonts w:ascii="Calibri" w:hAnsi="Calibri"/>
                <w:sz w:val="20"/>
              </w:rPr>
              <w:t>0703022P*</w:t>
            </w:r>
          </w:p>
        </w:tc>
        <w:tc>
          <w:tcPr>
            <w:cnfStyle w:val="000001000000" w:firstRow="0" w:lastRow="0" w:firstColumn="0" w:lastColumn="0" w:oddVBand="0" w:evenVBand="1" w:oddHBand="0" w:evenHBand="0" w:firstRowFirstColumn="0" w:firstRowLastColumn="0" w:lastRowFirstColumn="0" w:lastRowLastColumn="0"/>
            <w:tcW w:w="0" w:type="auto"/>
          </w:tcPr>
          <w:p w14:paraId="0B9B6F3B" w14:textId="77777777" w:rsidR="007F3781" w:rsidRPr="003A332C" w:rsidRDefault="007F3781" w:rsidP="00A04103">
            <w:pPr>
              <w:keepNext/>
              <w:spacing w:after="60"/>
            </w:pPr>
            <w:r w:rsidRPr="003A332C">
              <w:rPr>
                <w:rFonts w:ascii="Calibri" w:hAnsi="Calibri"/>
                <w:sz w:val="20"/>
              </w:rPr>
              <w:t>Implant</w:t>
            </w:r>
          </w:p>
        </w:tc>
        <w:tc>
          <w:tcPr>
            <w:cnfStyle w:val="000010000000" w:firstRow="0" w:lastRow="0" w:firstColumn="0" w:lastColumn="0" w:oddVBand="1" w:evenVBand="0" w:oddHBand="0" w:evenHBand="0" w:firstRowFirstColumn="0" w:firstRowLastColumn="0" w:lastRowFirstColumn="0" w:lastRowLastColumn="0"/>
            <w:tcW w:w="0" w:type="auto"/>
          </w:tcPr>
          <w:p w14:paraId="7EF66B13" w14:textId="6C47A07F" w:rsidR="007F3781" w:rsidRPr="003A332C" w:rsidRDefault="007F3781" w:rsidP="00A04103">
            <w:pPr>
              <w:keepNext/>
              <w:spacing w:after="60"/>
              <w:rPr>
                <w:rFonts w:ascii="Calibri" w:hAnsi="Calibri"/>
                <w:sz w:val="20"/>
              </w:rPr>
            </w:pPr>
            <w:r>
              <w:rPr>
                <w:rFonts w:ascii="Calibri" w:hAnsi="Calibri"/>
                <w:sz w:val="20"/>
              </w:rPr>
              <w:t>LARC</w:t>
            </w:r>
          </w:p>
        </w:tc>
        <w:tc>
          <w:tcPr>
            <w:cnfStyle w:val="000001000000" w:firstRow="0" w:lastRow="0" w:firstColumn="0" w:lastColumn="0" w:oddVBand="0" w:evenVBand="1" w:oddHBand="0" w:evenHBand="0" w:firstRowFirstColumn="0" w:firstRowLastColumn="0" w:lastRowFirstColumn="0" w:lastRowLastColumn="0"/>
            <w:tcW w:w="0" w:type="auto"/>
          </w:tcPr>
          <w:p w14:paraId="6506D524" w14:textId="7D42990C" w:rsidR="007F3781" w:rsidRPr="003A332C" w:rsidRDefault="007F3781" w:rsidP="00A04103">
            <w:pPr>
              <w:keepNext/>
              <w:spacing w:after="60"/>
            </w:pPr>
            <w:r w:rsidRPr="003A332C">
              <w:rPr>
                <w:rFonts w:ascii="Calibri" w:hAnsi="Calibri"/>
                <w:sz w:val="20"/>
              </w:rPr>
              <w:t>Nexplanon Implant 68mg</w:t>
            </w:r>
          </w:p>
        </w:tc>
      </w:tr>
      <w:tr w:rsidR="007F3781" w:rsidRPr="003A332C" w14:paraId="5652CD9A" w14:textId="77777777" w:rsidTr="007F3781">
        <w:tc>
          <w:tcPr>
            <w:cnfStyle w:val="000010000000" w:firstRow="0" w:lastRow="0" w:firstColumn="0" w:lastColumn="0" w:oddVBand="1" w:evenVBand="0" w:oddHBand="0" w:evenHBand="0" w:firstRowFirstColumn="0" w:firstRowLastColumn="0" w:lastRowFirstColumn="0" w:lastRowLastColumn="0"/>
            <w:tcW w:w="0" w:type="auto"/>
          </w:tcPr>
          <w:p w14:paraId="71B6689B" w14:textId="77777777" w:rsidR="007F3781" w:rsidRPr="003A332C" w:rsidRDefault="007F3781" w:rsidP="00A04103">
            <w:pPr>
              <w:keepNext/>
              <w:spacing w:after="60"/>
            </w:pPr>
            <w:r w:rsidRPr="003A332C">
              <w:rPr>
                <w:rFonts w:ascii="Calibri" w:hAnsi="Calibri"/>
                <w:sz w:val="20"/>
              </w:rPr>
              <w:t>0703023*</w:t>
            </w:r>
          </w:p>
        </w:tc>
        <w:tc>
          <w:tcPr>
            <w:cnfStyle w:val="000001000000" w:firstRow="0" w:lastRow="0" w:firstColumn="0" w:lastColumn="0" w:oddVBand="0" w:evenVBand="1" w:oddHBand="0" w:evenHBand="0" w:firstRowFirstColumn="0" w:firstRowLastColumn="0" w:lastRowFirstColumn="0" w:lastRowLastColumn="0"/>
            <w:tcW w:w="0" w:type="auto"/>
          </w:tcPr>
          <w:p w14:paraId="7DD7F16C" w14:textId="77777777" w:rsidR="007F3781" w:rsidRPr="003A332C" w:rsidRDefault="007F3781" w:rsidP="00A04103">
            <w:pPr>
              <w:keepNext/>
              <w:spacing w:after="60"/>
            </w:pPr>
            <w:r w:rsidRPr="003A332C">
              <w:rPr>
                <w:rFonts w:ascii="Calibri" w:hAnsi="Calibri"/>
                <w:sz w:val="20"/>
              </w:rPr>
              <w:t>IUS</w:t>
            </w:r>
          </w:p>
        </w:tc>
        <w:tc>
          <w:tcPr>
            <w:cnfStyle w:val="000010000000" w:firstRow="0" w:lastRow="0" w:firstColumn="0" w:lastColumn="0" w:oddVBand="1" w:evenVBand="0" w:oddHBand="0" w:evenHBand="0" w:firstRowFirstColumn="0" w:firstRowLastColumn="0" w:lastRowFirstColumn="0" w:lastRowLastColumn="0"/>
            <w:tcW w:w="0" w:type="auto"/>
          </w:tcPr>
          <w:p w14:paraId="3AACFF20" w14:textId="598206B1" w:rsidR="007F3781" w:rsidRPr="003A332C" w:rsidRDefault="007F3781" w:rsidP="00A04103">
            <w:pPr>
              <w:keepNext/>
              <w:spacing w:after="60"/>
              <w:rPr>
                <w:rFonts w:ascii="Calibri" w:hAnsi="Calibri"/>
                <w:sz w:val="20"/>
              </w:rPr>
            </w:pPr>
            <w:r>
              <w:rPr>
                <w:rFonts w:ascii="Calibri" w:hAnsi="Calibri"/>
                <w:sz w:val="20"/>
              </w:rPr>
              <w:t>LARC</w:t>
            </w:r>
          </w:p>
        </w:tc>
        <w:tc>
          <w:tcPr>
            <w:cnfStyle w:val="000001000000" w:firstRow="0" w:lastRow="0" w:firstColumn="0" w:lastColumn="0" w:oddVBand="0" w:evenVBand="1" w:oddHBand="0" w:evenHBand="0" w:firstRowFirstColumn="0" w:firstRowLastColumn="0" w:lastRowFirstColumn="0" w:lastRowLastColumn="0"/>
            <w:tcW w:w="0" w:type="auto"/>
          </w:tcPr>
          <w:p w14:paraId="6055CAD2" w14:textId="4E76B28F" w:rsidR="007F3781" w:rsidRPr="003A332C" w:rsidRDefault="007F3781" w:rsidP="00A04103">
            <w:pPr>
              <w:keepNext/>
              <w:spacing w:after="60"/>
            </w:pPr>
            <w:r w:rsidRPr="003A332C">
              <w:rPr>
                <w:rFonts w:ascii="Calibri" w:hAnsi="Calibri"/>
                <w:sz w:val="20"/>
              </w:rPr>
              <w:t>Mirena Intra-uterine System</w:t>
            </w:r>
          </w:p>
        </w:tc>
      </w:tr>
      <w:tr w:rsidR="007F3781" w:rsidRPr="003A332C" w14:paraId="5A90AE19" w14:textId="77777777" w:rsidTr="007F37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1A67BB1" w14:textId="77777777" w:rsidR="007F3781" w:rsidRPr="003A332C" w:rsidRDefault="007F3781" w:rsidP="00A04103">
            <w:pPr>
              <w:keepNext/>
              <w:spacing w:after="60"/>
            </w:pPr>
            <w:r w:rsidRPr="003A332C">
              <w:rPr>
                <w:rFonts w:ascii="Calibri" w:hAnsi="Calibri"/>
                <w:sz w:val="20"/>
              </w:rPr>
              <w:t>0703050*</w:t>
            </w:r>
          </w:p>
        </w:tc>
        <w:tc>
          <w:tcPr>
            <w:cnfStyle w:val="000001000000" w:firstRow="0" w:lastRow="0" w:firstColumn="0" w:lastColumn="0" w:oddVBand="0" w:evenVBand="1" w:oddHBand="0" w:evenHBand="0" w:firstRowFirstColumn="0" w:firstRowLastColumn="0" w:lastRowFirstColumn="0" w:lastRowLastColumn="0"/>
            <w:tcW w:w="0" w:type="auto"/>
          </w:tcPr>
          <w:p w14:paraId="2AE3FA9C" w14:textId="77777777" w:rsidR="007F3781" w:rsidRPr="003A332C" w:rsidRDefault="007F3781" w:rsidP="00A04103">
            <w:pPr>
              <w:keepNext/>
              <w:spacing w:after="60"/>
            </w:pPr>
            <w:r w:rsidRPr="003A332C">
              <w:rPr>
                <w:rFonts w:ascii="Calibri" w:hAnsi="Calibri"/>
                <w:sz w:val="20"/>
              </w:rPr>
              <w:t>EC</w:t>
            </w:r>
          </w:p>
        </w:tc>
        <w:tc>
          <w:tcPr>
            <w:cnfStyle w:val="000010000000" w:firstRow="0" w:lastRow="0" w:firstColumn="0" w:lastColumn="0" w:oddVBand="1" w:evenVBand="0" w:oddHBand="0" w:evenHBand="0" w:firstRowFirstColumn="0" w:firstRowLastColumn="0" w:lastRowFirstColumn="0" w:lastRowLastColumn="0"/>
            <w:tcW w:w="0" w:type="auto"/>
          </w:tcPr>
          <w:p w14:paraId="1ACC2704" w14:textId="4DA45D62" w:rsidR="007F3781" w:rsidRPr="003A332C" w:rsidRDefault="007F3781" w:rsidP="00A04103">
            <w:pPr>
              <w:keepNext/>
              <w:spacing w:after="60"/>
              <w:rPr>
                <w:rFonts w:ascii="Calibri" w:hAnsi="Calibri"/>
                <w:sz w:val="20"/>
              </w:rPr>
            </w:pPr>
            <w:r>
              <w:rPr>
                <w:rFonts w:ascii="Calibri" w:hAnsi="Calibri"/>
                <w:sz w:val="20"/>
              </w:rPr>
              <w:t>EC</w:t>
            </w:r>
          </w:p>
        </w:tc>
        <w:tc>
          <w:tcPr>
            <w:cnfStyle w:val="000001000000" w:firstRow="0" w:lastRow="0" w:firstColumn="0" w:lastColumn="0" w:oddVBand="0" w:evenVBand="1" w:oddHBand="0" w:evenHBand="0" w:firstRowFirstColumn="0" w:firstRowLastColumn="0" w:lastRowFirstColumn="0" w:lastRowLastColumn="0"/>
            <w:tcW w:w="0" w:type="auto"/>
          </w:tcPr>
          <w:p w14:paraId="07120D30" w14:textId="19C44D0A" w:rsidR="007F3781" w:rsidRPr="003A332C" w:rsidRDefault="007F3781" w:rsidP="00A04103">
            <w:pPr>
              <w:keepNext/>
              <w:spacing w:after="60"/>
            </w:pPr>
            <w:r w:rsidRPr="003A332C">
              <w:rPr>
                <w:rFonts w:ascii="Calibri" w:hAnsi="Calibri"/>
                <w:sz w:val="20"/>
              </w:rPr>
              <w:t>Upostelle Tablet 1500mcg</w:t>
            </w:r>
          </w:p>
        </w:tc>
      </w:tr>
      <w:tr w:rsidR="007F3781" w:rsidRPr="0082047F" w14:paraId="79E6F84F" w14:textId="77777777" w:rsidTr="007F3781">
        <w:tc>
          <w:tcPr>
            <w:cnfStyle w:val="000010000000" w:firstRow="0" w:lastRow="0" w:firstColumn="0" w:lastColumn="0" w:oddVBand="1" w:evenVBand="0" w:oddHBand="0" w:evenHBand="0" w:firstRowFirstColumn="0" w:firstRowLastColumn="0" w:lastRowFirstColumn="0" w:lastRowLastColumn="0"/>
            <w:tcW w:w="0" w:type="auto"/>
          </w:tcPr>
          <w:p w14:paraId="7B73CFBE" w14:textId="77777777" w:rsidR="007F3781" w:rsidRPr="003A332C" w:rsidRDefault="007F3781" w:rsidP="00A04103">
            <w:pPr>
              <w:keepNext/>
              <w:spacing w:after="60"/>
            </w:pPr>
            <w:r w:rsidRPr="003A332C">
              <w:rPr>
                <w:rFonts w:ascii="Calibri" w:hAnsi="Calibri"/>
                <w:sz w:val="20"/>
              </w:rPr>
              <w:t>21040*</w:t>
            </w:r>
          </w:p>
        </w:tc>
        <w:tc>
          <w:tcPr>
            <w:cnfStyle w:val="000001000000" w:firstRow="0" w:lastRow="0" w:firstColumn="0" w:lastColumn="0" w:oddVBand="0" w:evenVBand="1" w:oddHBand="0" w:evenHBand="0" w:firstRowFirstColumn="0" w:firstRowLastColumn="0" w:lastRowFirstColumn="0" w:lastRowLastColumn="0"/>
            <w:tcW w:w="0" w:type="auto"/>
          </w:tcPr>
          <w:p w14:paraId="24F5A3FC" w14:textId="77777777" w:rsidR="007F3781" w:rsidRPr="003A332C" w:rsidRDefault="007F3781" w:rsidP="00A04103">
            <w:pPr>
              <w:keepNext/>
              <w:spacing w:after="60"/>
            </w:pPr>
            <w:r w:rsidRPr="003A332C">
              <w:rPr>
                <w:rFonts w:ascii="Calibri" w:hAnsi="Calibri"/>
                <w:sz w:val="20"/>
              </w:rPr>
              <w:t>IUD</w:t>
            </w:r>
          </w:p>
        </w:tc>
        <w:tc>
          <w:tcPr>
            <w:cnfStyle w:val="000010000000" w:firstRow="0" w:lastRow="0" w:firstColumn="0" w:lastColumn="0" w:oddVBand="1" w:evenVBand="0" w:oddHBand="0" w:evenHBand="0" w:firstRowFirstColumn="0" w:firstRowLastColumn="0" w:lastRowFirstColumn="0" w:lastRowLastColumn="0"/>
            <w:tcW w:w="0" w:type="auto"/>
          </w:tcPr>
          <w:p w14:paraId="46E3BA4B" w14:textId="12E50D11" w:rsidR="007F3781" w:rsidRPr="004513FA" w:rsidRDefault="007F3781" w:rsidP="00A04103">
            <w:pPr>
              <w:keepNext/>
              <w:spacing w:after="60"/>
              <w:rPr>
                <w:rFonts w:ascii="Calibri" w:hAnsi="Calibri"/>
                <w:sz w:val="20"/>
                <w:lang w:val="fr-FR"/>
              </w:rPr>
            </w:pPr>
            <w:r>
              <w:rPr>
                <w:rFonts w:ascii="Calibri" w:hAnsi="Calibri"/>
                <w:sz w:val="20"/>
              </w:rPr>
              <w:t>LARC</w:t>
            </w:r>
          </w:p>
        </w:tc>
        <w:tc>
          <w:tcPr>
            <w:cnfStyle w:val="000001000000" w:firstRow="0" w:lastRow="0" w:firstColumn="0" w:lastColumn="0" w:oddVBand="0" w:evenVBand="1" w:oddHBand="0" w:evenHBand="0" w:firstRowFirstColumn="0" w:firstRowLastColumn="0" w:lastRowFirstColumn="0" w:lastRowLastColumn="0"/>
            <w:tcW w:w="0" w:type="auto"/>
          </w:tcPr>
          <w:p w14:paraId="7EA0CD0A" w14:textId="250188A4" w:rsidR="007F3781" w:rsidRPr="004513FA" w:rsidRDefault="007F3781" w:rsidP="00A04103">
            <w:pPr>
              <w:keepNext/>
              <w:spacing w:after="60"/>
              <w:rPr>
                <w:lang w:val="fr-FR"/>
              </w:rPr>
            </w:pPr>
            <w:r w:rsidRPr="004513FA">
              <w:rPr>
                <w:rFonts w:ascii="Calibri" w:hAnsi="Calibri"/>
                <w:sz w:val="20"/>
                <w:lang w:val="fr-FR"/>
              </w:rPr>
              <w:t>T-Safe 380A QL Intra-uterine Contraceptive Device</w:t>
            </w:r>
          </w:p>
        </w:tc>
      </w:tr>
    </w:tbl>
    <w:p w14:paraId="35030125" w14:textId="7096151B" w:rsidR="00590F6E" w:rsidRPr="00590F6E" w:rsidRDefault="00590F6E" w:rsidP="000D730A">
      <w:pPr>
        <w:pStyle w:val="BodyText"/>
      </w:pPr>
      <w:r w:rsidRPr="00590F6E">
        <w:t>Spermicidal jelly (e.g. Nonoxinol) was removed from this analysis as it is not a contrace</w:t>
      </w:r>
      <w:r>
        <w:t xml:space="preserve">ptive in its own right as it needs to be employed with a barrier method </w:t>
      </w:r>
      <w:r>
        <w:fldChar w:fldCharType="begin"/>
      </w:r>
      <w:r>
        <w:instrText xml:space="preserve"> ADDIN ZOTERO_ITEM CSL_CITATION {"citationID":"aRxFHRv6","properties":{"formattedCitation":"[14]","plainCitation":"[14]","noteIndex":0},"citationItems":[{"id":711,"uris":["http://zotero.org/users/11849522/items/QZCVHZWE"],"itemData":{"id":711,"type":"book","event-place":"London, UK","publisher":"BMJ; Pharmaceutical Press","publisher-place":"London, UK","title":"Nonoxinol","URL":"https://bnf.nice.org.uk/drugs/nonoxinol/","author":[{"family":"Joint Formulary Committee","given":""}],"issued":{"date-parts":[["2023"]]},"citation-key":"jointformularycommitteeNonoxinol2023"}}],"schema":"https://github.com/citation-style-language/schema/raw/master/csl-citation.json"} </w:instrText>
      </w:r>
      <w:r>
        <w:fldChar w:fldCharType="separate"/>
      </w:r>
      <w:r>
        <w:rPr>
          <w:noProof/>
        </w:rPr>
        <w:t>[14]</w:t>
      </w:r>
      <w:r>
        <w:fldChar w:fldCharType="end"/>
      </w:r>
      <w:r>
        <w:t>.</w:t>
      </w:r>
    </w:p>
    <w:p w14:paraId="53847B8F" w14:textId="09B5438E" w:rsidR="001B480A" w:rsidRPr="003A332C" w:rsidRDefault="00000000" w:rsidP="000D730A">
      <w:pPr>
        <w:pStyle w:val="BodyText"/>
      </w:pPr>
      <w:r w:rsidRPr="003A332C">
        <w:t xml:space="preserve">Due to inherent differences in prescribing frequencies between contraceptive methods, a standardised metric </w:t>
      </w:r>
      <w:r w:rsidRPr="003A332C">
        <w:rPr>
          <w:i/>
          <w:iCs/>
        </w:rPr>
        <w:t>months of contraceptive coverage</w:t>
      </w:r>
      <w:r w:rsidR="00096F8E">
        <w:rPr>
          <w:i/>
          <w:iCs/>
        </w:rPr>
        <w:t xml:space="preserve"> </w:t>
      </w:r>
      <w:r w:rsidR="00096F8E">
        <w:t>(MCC)</w:t>
      </w:r>
      <w:r w:rsidRPr="003A332C">
        <w:t xml:space="preserve"> was calculated:</w:t>
      </w:r>
    </w:p>
    <w:p w14:paraId="0B1940B9" w14:textId="551B00B6" w:rsidR="00096F8E" w:rsidRPr="00096F8E" w:rsidRDefault="00000000" w:rsidP="00096F8E">
      <w:pPr>
        <w:pStyle w:val="BodyText"/>
        <w:rPr>
          <w:rFonts w:eastAsiaTheme="minorEastAsia"/>
          <w:sz w:val="18"/>
          <w:szCs w:val="18"/>
        </w:rPr>
      </w:pPr>
      <m:oMathPara>
        <m:oMath>
          <m:r>
            <w:rPr>
              <w:rFonts w:ascii="Cambria Math" w:hAnsi="Cambria Math"/>
              <w:sz w:val="18"/>
              <w:szCs w:val="18"/>
            </w:rPr>
            <m:t>Months</m:t>
          </m:r>
          <m:r>
            <m:rPr>
              <m:sty m:val="p"/>
            </m:rPr>
            <w:rPr>
              <w:rFonts w:ascii="Cambria Math" w:hAnsi="Cambria Math"/>
              <w:sz w:val="18"/>
              <w:szCs w:val="18"/>
            </w:rPr>
            <m:t> </m:t>
          </m:r>
          <m:r>
            <w:rPr>
              <w:rFonts w:ascii="Cambria Math" w:hAnsi="Cambria Math"/>
              <w:sz w:val="18"/>
              <w:szCs w:val="18"/>
            </w:rPr>
            <m:t>of</m:t>
          </m:r>
          <m:r>
            <m:rPr>
              <m:sty m:val="p"/>
            </m:rPr>
            <w:rPr>
              <w:rFonts w:ascii="Cambria Math" w:hAnsi="Cambria Math"/>
              <w:sz w:val="18"/>
              <w:szCs w:val="18"/>
            </w:rPr>
            <m:t> </m:t>
          </m:r>
          <m:r>
            <w:rPr>
              <w:rFonts w:ascii="Cambria Math" w:hAnsi="Cambria Math"/>
              <w:sz w:val="18"/>
              <w:szCs w:val="18"/>
            </w:rPr>
            <m:t>contraceptive</m:t>
          </m:r>
          <m:r>
            <m:rPr>
              <m:sty m:val="p"/>
            </m:rPr>
            <w:rPr>
              <w:rFonts w:ascii="Cambria Math" w:hAnsi="Cambria Math"/>
              <w:sz w:val="18"/>
              <w:szCs w:val="18"/>
            </w:rPr>
            <m:t> </m:t>
          </m:r>
          <m:r>
            <w:rPr>
              <w:rFonts w:ascii="Cambria Math" w:hAnsi="Cambria Math"/>
              <w:sz w:val="18"/>
              <w:szCs w:val="18"/>
            </w:rPr>
            <m:t>coverage</m:t>
          </m:r>
          <m:r>
            <m:rPr>
              <m:sty m:val="p"/>
            </m:rPr>
            <w:rPr>
              <w:rFonts w:ascii="Cambria Math" w:hAnsi="Cambria Math"/>
              <w:sz w:val="18"/>
              <w:szCs w:val="18"/>
            </w:rPr>
            <m:t> = </m:t>
          </m:r>
          <m:f>
            <m:fPr>
              <m:ctrlPr>
                <w:rPr>
                  <w:rFonts w:ascii="Cambria Math" w:hAnsi="Cambria Math"/>
                  <w:sz w:val="18"/>
                  <w:szCs w:val="18"/>
                </w:rPr>
              </m:ctrlPr>
            </m:fPr>
            <m:num>
              <m:r>
                <w:rPr>
                  <w:rFonts w:ascii="Cambria Math" w:hAnsi="Cambria Math"/>
                  <w:sz w:val="18"/>
                  <w:szCs w:val="18"/>
                </w:rPr>
                <m:t>Quantity</m:t>
              </m:r>
              <m:r>
                <m:rPr>
                  <m:sty m:val="p"/>
                </m:rPr>
                <w:rPr>
                  <w:rFonts w:ascii="Cambria Math" w:hAnsi="Cambria Math"/>
                  <w:sz w:val="18"/>
                  <w:szCs w:val="18"/>
                </w:rPr>
                <m:t> </m:t>
              </m:r>
              <m:r>
                <w:rPr>
                  <w:rFonts w:ascii="Cambria Math" w:hAnsi="Cambria Math"/>
                  <w:sz w:val="18"/>
                  <w:szCs w:val="18"/>
                </w:rPr>
                <m:t>of</m:t>
              </m:r>
              <m:r>
                <m:rPr>
                  <m:sty m:val="p"/>
                </m:rPr>
                <w:rPr>
                  <w:rFonts w:ascii="Cambria Math" w:hAnsi="Cambria Math"/>
                  <w:sz w:val="18"/>
                  <w:szCs w:val="18"/>
                </w:rPr>
                <m:t> </m:t>
              </m:r>
              <m:r>
                <w:rPr>
                  <w:rFonts w:ascii="Cambria Math" w:hAnsi="Cambria Math"/>
                  <w:sz w:val="18"/>
                  <w:szCs w:val="18"/>
                </w:rPr>
                <m:t>items</m:t>
              </m:r>
              <m:r>
                <m:rPr>
                  <m:sty m:val="p"/>
                </m:rPr>
                <w:rPr>
                  <w:rFonts w:ascii="Cambria Math" w:hAnsi="Cambria Math"/>
                  <w:sz w:val="18"/>
                  <w:szCs w:val="18"/>
                </w:rPr>
                <m:t> </m:t>
              </m:r>
              <m:r>
                <w:rPr>
                  <w:rFonts w:ascii="Cambria Math" w:hAnsi="Cambria Math"/>
                  <w:sz w:val="18"/>
                  <w:szCs w:val="18"/>
                </w:rPr>
                <m:t>dispensed</m:t>
              </m:r>
            </m:num>
            <m:den>
              <m:r>
                <w:rPr>
                  <w:rFonts w:ascii="Cambria Math" w:hAnsi="Cambria Math"/>
                  <w:sz w:val="18"/>
                  <w:szCs w:val="18"/>
                </w:rPr>
                <m:t>Item</m:t>
              </m:r>
              <m:r>
                <m:rPr>
                  <m:sty m:val="p"/>
                </m:rPr>
                <w:rPr>
                  <w:rFonts w:ascii="Cambria Math" w:hAnsi="Cambria Math"/>
                  <w:sz w:val="18"/>
                  <w:szCs w:val="18"/>
                </w:rPr>
                <m:t> </m:t>
              </m:r>
              <m:r>
                <w:rPr>
                  <w:rFonts w:ascii="Cambria Math" w:hAnsi="Cambria Math"/>
                  <w:sz w:val="18"/>
                  <w:szCs w:val="18"/>
                </w:rPr>
                <m:t>pack</m:t>
              </m:r>
              <m:r>
                <m:rPr>
                  <m:sty m:val="p"/>
                </m:rPr>
                <w:rPr>
                  <w:rFonts w:ascii="Cambria Math" w:hAnsi="Cambria Math"/>
                  <w:sz w:val="18"/>
                  <w:szCs w:val="18"/>
                </w:rPr>
                <m:t> </m:t>
              </m:r>
              <m:r>
                <w:rPr>
                  <w:rFonts w:ascii="Cambria Math" w:hAnsi="Cambria Math"/>
                  <w:sz w:val="18"/>
                  <w:szCs w:val="18"/>
                </w:rPr>
                <m:t>size</m:t>
              </m:r>
            </m:den>
          </m:f>
          <m:r>
            <m:rPr>
              <m:sty m:val="p"/>
            </m:rPr>
            <w:rPr>
              <w:rFonts w:ascii="Cambria Math" w:hAnsi="Cambria Math"/>
              <w:sz w:val="18"/>
              <w:szCs w:val="18"/>
            </w:rPr>
            <m:t> * </m:t>
          </m:r>
          <m:r>
            <w:rPr>
              <w:rFonts w:ascii="Cambria Math" w:hAnsi="Cambria Math"/>
              <w:sz w:val="18"/>
              <w:szCs w:val="18"/>
            </w:rPr>
            <m:t>Duration</m:t>
          </m:r>
          <m:r>
            <m:rPr>
              <m:sty m:val="p"/>
            </m:rPr>
            <w:rPr>
              <w:rFonts w:ascii="Cambria Math" w:hAnsi="Cambria Math"/>
              <w:sz w:val="18"/>
              <w:szCs w:val="18"/>
            </w:rPr>
            <m:t> </m:t>
          </m:r>
          <m:r>
            <w:rPr>
              <w:rFonts w:ascii="Cambria Math" w:hAnsi="Cambria Math"/>
              <w:sz w:val="18"/>
              <w:szCs w:val="18"/>
            </w:rPr>
            <m:t>of</m:t>
          </m:r>
          <m:r>
            <m:rPr>
              <m:sty m:val="p"/>
            </m:rPr>
            <w:rPr>
              <w:rFonts w:ascii="Cambria Math" w:hAnsi="Cambria Math"/>
              <w:sz w:val="18"/>
              <w:szCs w:val="18"/>
            </w:rPr>
            <m:t> </m:t>
          </m:r>
          <m:r>
            <w:rPr>
              <w:rFonts w:ascii="Cambria Math" w:hAnsi="Cambria Math"/>
              <w:sz w:val="18"/>
              <w:szCs w:val="18"/>
            </w:rPr>
            <m:t>contraceptive</m:t>
          </m:r>
          <m:r>
            <m:rPr>
              <m:sty m:val="p"/>
            </m:rPr>
            <w:rPr>
              <w:rFonts w:ascii="Cambria Math" w:hAnsi="Cambria Math"/>
              <w:sz w:val="18"/>
              <w:szCs w:val="18"/>
            </w:rPr>
            <m:t> </m:t>
          </m:r>
          <m:r>
            <w:rPr>
              <w:rFonts w:ascii="Cambria Math" w:hAnsi="Cambria Math"/>
              <w:sz w:val="18"/>
              <w:szCs w:val="18"/>
            </w:rPr>
            <m:t>action</m:t>
          </m:r>
        </m:oMath>
      </m:oMathPara>
    </w:p>
    <w:p w14:paraId="4004EA91" w14:textId="77777777" w:rsidR="00096F8E" w:rsidRDefault="00000000" w:rsidP="00096F8E">
      <w:pPr>
        <w:pStyle w:val="FirstParagraph"/>
      </w:pPr>
      <w:r w:rsidRPr="003A332C">
        <w:t>For example, an IUD with a five-year lifespan provides 60 months of contraceptive coverage (1/1 * 60)</w:t>
      </w:r>
      <w:r w:rsidR="00A04103" w:rsidRPr="003A332C">
        <w:t>. In contrast, a</w:t>
      </w:r>
      <w:r w:rsidRPr="003A332C">
        <w:t xml:space="preserve"> six-month prescription of a short-acting COCP </w:t>
      </w:r>
      <w:r w:rsidR="00A04103" w:rsidRPr="003A332C">
        <w:t>offers</w:t>
      </w:r>
      <w:r w:rsidRPr="003A332C">
        <w:t xml:space="preserve"> </w:t>
      </w:r>
      <w:r w:rsidR="00A04103" w:rsidRPr="003A332C">
        <w:t>six</w:t>
      </w:r>
      <w:r w:rsidRPr="003A332C">
        <w:t xml:space="preserve"> months of contraceptive coverage (126/21 * 1) despite 126 items being dispensed.</w:t>
      </w:r>
    </w:p>
    <w:p w14:paraId="08BE9C33" w14:textId="03F5076B" w:rsidR="00096F8E" w:rsidRPr="00096F8E" w:rsidRDefault="00096F8E" w:rsidP="00096F8E">
      <w:pPr>
        <w:pStyle w:val="FirstParagraph"/>
      </w:pPr>
      <w:r>
        <w:t>Mean</w:t>
      </w:r>
      <w:r w:rsidRPr="00096F8E">
        <w:t xml:space="preserve"> </w:t>
      </w:r>
      <w:r w:rsidRPr="003A332C">
        <w:t xml:space="preserve">months of contraceptive coverage </w:t>
      </w:r>
      <w:r>
        <w:t xml:space="preserve">dispensed </w:t>
      </w:r>
      <w:r w:rsidRPr="003A332C">
        <w:t>(</w:t>
      </w:r>
      <w:r>
        <w:t>M</w:t>
      </w:r>
      <w:r w:rsidRPr="003A332C">
        <w:t>MCC)</w:t>
      </w:r>
      <w:r>
        <w:t xml:space="preserve"> was calculated by dividing MCC by the number of months in each period to </w:t>
      </w:r>
      <w:r w:rsidR="00A62AC4">
        <w:t>facilitate comparison between forms of contraception</w:t>
      </w:r>
      <w:r>
        <w:t xml:space="preserve"> and periods of differing durations</w:t>
      </w:r>
      <w:r w:rsidR="00903CCF" w:rsidRPr="003A332C">
        <w:t>.</w:t>
      </w:r>
    </w:p>
    <w:p w14:paraId="143962CA" w14:textId="771DEBEC" w:rsidR="003A332C" w:rsidRPr="003A332C" w:rsidRDefault="0046556A" w:rsidP="009510EC">
      <w:pPr>
        <w:pStyle w:val="BodyText"/>
      </w:pPr>
      <w:r w:rsidRPr="003A332C">
        <w:t xml:space="preserve">Four different </w:t>
      </w:r>
      <w:r w:rsidR="00A04103" w:rsidRPr="003A332C">
        <w:t>periods</w:t>
      </w:r>
      <w:r w:rsidRPr="003A332C">
        <w:t xml:space="preserve"> </w:t>
      </w:r>
      <w:r w:rsidR="00A62AC4">
        <w:t xml:space="preserve">were defined. Firstly, </w:t>
      </w:r>
      <w:r w:rsidRPr="003A332C">
        <w:rPr>
          <w:i/>
          <w:iCs/>
        </w:rPr>
        <w:t>pre-</w:t>
      </w:r>
      <w:r w:rsidR="001A4E91">
        <w:rPr>
          <w:i/>
          <w:iCs/>
        </w:rPr>
        <w:t>COVID-19</w:t>
      </w:r>
      <w:r w:rsidR="00A62AC4">
        <w:rPr>
          <w:i/>
          <w:iCs/>
        </w:rPr>
        <w:t xml:space="preserve"> </w:t>
      </w:r>
      <w:r w:rsidR="00A62AC4">
        <w:t>(</w:t>
      </w:r>
      <w:r w:rsidRPr="003A332C">
        <w:t>01/01/2016-</w:t>
      </w:r>
      <w:r w:rsidR="00D81512">
        <w:t>23</w:t>
      </w:r>
      <w:r w:rsidRPr="003A332C">
        <w:t>/0</w:t>
      </w:r>
      <w:r w:rsidR="00D81512">
        <w:t>3</w:t>
      </w:r>
      <w:r w:rsidRPr="003A332C">
        <w:t>/2020</w:t>
      </w:r>
      <w:r w:rsidR="00A62AC4">
        <w:t xml:space="preserve">). </w:t>
      </w:r>
      <w:r w:rsidR="00A62AC4">
        <w:rPr>
          <w:i/>
          <w:iCs/>
        </w:rPr>
        <w:t xml:space="preserve">Lockdown </w:t>
      </w:r>
      <w:r w:rsidR="00A62AC4">
        <w:t>(</w:t>
      </w:r>
      <w:r w:rsidR="00A62AC4" w:rsidRPr="003A332C">
        <w:t>2</w:t>
      </w:r>
      <w:r w:rsidR="00A62AC4">
        <w:t>4</w:t>
      </w:r>
      <w:r w:rsidR="00A62AC4" w:rsidRPr="003A332C">
        <w:t>/03/2020-</w:t>
      </w:r>
      <w:r w:rsidR="00A62AC4">
        <w:t>2</w:t>
      </w:r>
      <w:r w:rsidR="00A62AC4" w:rsidRPr="003A332C">
        <w:t>9/0</w:t>
      </w:r>
      <w:r w:rsidR="00A62AC4">
        <w:t>5</w:t>
      </w:r>
      <w:r w:rsidR="00A62AC4" w:rsidRPr="003A332C">
        <w:t>/2020</w:t>
      </w:r>
      <w:r w:rsidR="00A62AC4">
        <w:t xml:space="preserve"> and 05/01/2021</w:t>
      </w:r>
      <w:r w:rsidR="00A62AC4" w:rsidRPr="003A332C">
        <w:t>-</w:t>
      </w:r>
      <w:r w:rsidR="00A62AC4">
        <w:t>2</w:t>
      </w:r>
      <w:r w:rsidR="00A62AC4" w:rsidRPr="003A332C">
        <w:t>6/04/2021</w:t>
      </w:r>
      <w:r w:rsidR="00A62AC4">
        <w:t xml:space="preserve"> ) when </w:t>
      </w:r>
      <w:r w:rsidR="00A62AC4" w:rsidRPr="003A332C">
        <w:t xml:space="preserve">Scotland </w:t>
      </w:r>
      <w:r w:rsidR="00A62AC4" w:rsidRPr="003A332C">
        <w:lastRenderedPageBreak/>
        <w:t xml:space="preserve">entered the highest level of restrictions on daily activities </w:t>
      </w:r>
      <w:r w:rsidR="00A62AC4">
        <w:fldChar w:fldCharType="begin"/>
      </w:r>
      <w:r w:rsidR="00590F6E">
        <w:instrText xml:space="preserve"> ADDIN ZOTERO_ITEM CSL_CITATION {"citationID":"hILqjGz0","properties":{"formattedCitation":"[15]","plainCitation":"[15]","noteIndex":0},"citationItems":[{"id":723,"uris":["http://zotero.org/users/11849522/items/CNQEV4SI"],"itemData":{"id":723,"type":"post-weblog","container-title":"SPICe Spotlight","title":"Timeline of Coronavirus (COVID-19) in Scotland","URL":"https://spice-spotlight.scot/2023/05/10/timeline-of-coronavirus-covid-19-in-scotland/","author":[{"family":"Scottish Parliament Information Centre","given":""}],"issued":{"date-parts":[["2023"]]},"citation-key":"scottishparliamentinformationcentreTimelineCoronavirusCOVID192023"}}],"schema":"https://github.com/citation-style-language/schema/raw/master/csl-citation.json"} </w:instrText>
      </w:r>
      <w:r w:rsidR="00A62AC4">
        <w:fldChar w:fldCharType="separate"/>
      </w:r>
      <w:r w:rsidR="00590F6E">
        <w:rPr>
          <w:noProof/>
        </w:rPr>
        <w:t>[15]</w:t>
      </w:r>
      <w:r w:rsidR="00A62AC4">
        <w:fldChar w:fldCharType="end"/>
      </w:r>
      <w:r w:rsidR="00A62AC4">
        <w:t>.</w:t>
      </w:r>
      <w:r w:rsidR="00DA3F00">
        <w:t xml:space="preserve"> Thirdly, </w:t>
      </w:r>
      <w:r w:rsidR="00DA3F00">
        <w:rPr>
          <w:i/>
          <w:iCs/>
        </w:rPr>
        <w:t>restrictions</w:t>
      </w:r>
      <w:r w:rsidR="00DA3F00">
        <w:t xml:space="preserve"> (30/05/2020-04/01/2021 and 2</w:t>
      </w:r>
      <w:r w:rsidR="009510EC">
        <w:t>7</w:t>
      </w:r>
      <w:r w:rsidR="00DA3F00">
        <w:t>/04/</w:t>
      </w:r>
      <w:r w:rsidR="009510EC">
        <w:t xml:space="preserve">2021-31/03/2022) </w:t>
      </w:r>
      <w:r w:rsidR="00DA3F00">
        <w:t>when - due to its geographic diversity - Scotland adopted a phased approach to restrictions based on local epidemiological data</w:t>
      </w:r>
      <w:r w:rsidR="00590F6E">
        <w:t xml:space="preserve"> </w:t>
      </w:r>
      <w:r w:rsidR="00590F6E">
        <w:fldChar w:fldCharType="begin"/>
      </w:r>
      <w:r w:rsidR="00674F56">
        <w:instrText xml:space="preserve"> ADDIN ZOTERO_ITEM CSL_CITATION {"citationID":"clnLCvaF","properties":{"formattedCitation":"[16]","plainCitation":"[16]","noteIndex":0},"citationItems":[{"id":727,"uris":["http://zotero.org/users/11849522/items/T3VTNY8K"],"itemData":{"id":727,"type":"document","language":"en","source":"Zotero","title":"Covid-19 Framework for Decision Making - Scotland's route map through and out of the crisis","URL":"https://www.gov.scot/binaries/content/documents/govscot/publications/strategy-plan/2020/05/coronavirus-covid-19-framework-decision-making-scotlands-route-map-through-out-crisis/documents/covid-19-framework-decision-making-scotlands-route-map-through-out-crisis/covid-19-framework-decision-making-scotlands-route-map-through-out-crisis/govscot%3Adocument/covid-19-framework-decision-making-scotlands-route-map-through-out-crisis.pdf","author":[{"family":"Scottish Government","given":""}],"issued":{"date-parts":[["2020",5]]},"citation-key":"scottishgovernmentCovid19FrameworkDecision2020"}}],"schema":"https://github.com/citation-style-language/schema/raw/master/csl-citation.json"} </w:instrText>
      </w:r>
      <w:r w:rsidR="00590F6E">
        <w:fldChar w:fldCharType="separate"/>
      </w:r>
      <w:r w:rsidR="00590F6E">
        <w:rPr>
          <w:noProof/>
        </w:rPr>
        <w:t>[16]</w:t>
      </w:r>
      <w:r w:rsidR="00590F6E">
        <w:fldChar w:fldCharType="end"/>
      </w:r>
      <w:r w:rsidR="00DA3F00">
        <w:t>. Thus, d</w:t>
      </w:r>
      <w:r w:rsidR="00DA3F00" w:rsidRPr="003A332C">
        <w:t>uring this period</w:t>
      </w:r>
      <w:r w:rsidR="00DA3F00">
        <w:t>,</w:t>
      </w:r>
      <w:r w:rsidR="00DA3F00" w:rsidRPr="003A332C">
        <w:t xml:space="preserve"> Scotland experienced a variety of restrictions on both local and national levels. </w:t>
      </w:r>
      <w:r w:rsidR="00DA3F00">
        <w:t xml:space="preserve">Finally, </w:t>
      </w:r>
      <w:r w:rsidR="00DA3F00">
        <w:rPr>
          <w:i/>
          <w:iCs/>
        </w:rPr>
        <w:t>post</w:t>
      </w:r>
      <w:r w:rsidRPr="003A332C">
        <w:rPr>
          <w:i/>
          <w:iCs/>
        </w:rPr>
        <w:t>-</w:t>
      </w:r>
      <w:r w:rsidR="001A4E91">
        <w:rPr>
          <w:i/>
          <w:iCs/>
        </w:rPr>
        <w:t>COVID-19</w:t>
      </w:r>
      <w:r w:rsidRPr="003A332C">
        <w:t xml:space="preserve"> </w:t>
      </w:r>
      <w:r w:rsidR="00DA3F00">
        <w:t>(</w:t>
      </w:r>
      <w:r w:rsidRPr="003A332C">
        <w:t>01/04/2022-01/01/2023</w:t>
      </w:r>
      <w:r w:rsidR="00DA3F00">
        <w:t>) when restrictions in Scotland were lifted</w:t>
      </w:r>
      <w:r w:rsidRPr="003A332C">
        <w:t>.</w:t>
      </w:r>
    </w:p>
    <w:p w14:paraId="5EBFF09E" w14:textId="157D7DDF" w:rsidR="001B480A" w:rsidRPr="003A332C" w:rsidRDefault="00000000" w:rsidP="009510EC">
      <w:pPr>
        <w:pStyle w:val="Heading1"/>
        <w:numPr>
          <w:ilvl w:val="0"/>
          <w:numId w:val="3"/>
        </w:numPr>
      </w:pPr>
      <w:bookmarkStart w:id="8" w:name="results"/>
      <w:bookmarkEnd w:id="7"/>
      <w:r w:rsidRPr="003A332C">
        <w:t>Results</w:t>
      </w:r>
      <w:r w:rsidR="00BE4D15">
        <w:t xml:space="preserve"> &amp; </w:t>
      </w:r>
      <w:r w:rsidR="00BE4D15" w:rsidRPr="003A332C">
        <w:t>Discussion</w:t>
      </w:r>
    </w:p>
    <w:p w14:paraId="047EC0C2" w14:textId="77777777" w:rsidR="001B480A" w:rsidRPr="003A332C" w:rsidRDefault="00000000" w:rsidP="00C3114B">
      <w:pPr>
        <w:pStyle w:val="Heading2"/>
        <w:numPr>
          <w:ilvl w:val="1"/>
          <w:numId w:val="3"/>
        </w:numPr>
      </w:pPr>
      <w:bookmarkStart w:id="9" w:name="overview"/>
      <w:r w:rsidRPr="003A332C">
        <w:t>Overview</w:t>
      </w:r>
    </w:p>
    <w:p w14:paraId="4DED58B9" w14:textId="31D9D06B" w:rsidR="009F0D01" w:rsidRDefault="00903CCF" w:rsidP="007F3781">
      <w:pPr>
        <w:pStyle w:val="BodyText"/>
      </w:pPr>
      <w:r w:rsidRPr="003A332C">
        <w:t>D</w:t>
      </w:r>
      <w:r w:rsidR="009F0D01" w:rsidRPr="003A332C">
        <w:t>uring periods of lockdown</w:t>
      </w:r>
      <w:r w:rsidR="00AE12A7">
        <w:t>,</w:t>
      </w:r>
      <w:r w:rsidR="009F0D01" w:rsidRPr="003A332C">
        <w:t xml:space="preserve"> contraceptive prescribing</w:t>
      </w:r>
      <w:r w:rsidR="00812C62">
        <w:t xml:space="preserve"> in Scotland</w:t>
      </w:r>
      <w:r w:rsidR="009F0D01" w:rsidRPr="003A332C">
        <w:t xml:space="preserve"> fell to</w:t>
      </w:r>
      <w:r w:rsidR="007F3781">
        <w:t xml:space="preserve"> 17.10% (mean 98,642 </w:t>
      </w:r>
      <w:r w:rsidR="00096F8E">
        <w:t>MMCC</w:t>
      </w:r>
      <w:r w:rsidR="007F3781">
        <w:t xml:space="preserve"> dispensed per month)</w:t>
      </w:r>
      <w:r w:rsidR="009F0D01" w:rsidRPr="003A332C">
        <w:t xml:space="preserve"> </w:t>
      </w:r>
      <w:r w:rsidRPr="003A332C">
        <w:t>of pre-</w:t>
      </w:r>
      <w:r w:rsidR="001A4E91">
        <w:t>COVID-19</w:t>
      </w:r>
      <w:r w:rsidRPr="003A332C">
        <w:t xml:space="preserve"> levels</w:t>
      </w:r>
      <w:r w:rsidR="007F3781">
        <w:t xml:space="preserve"> (576,986</w:t>
      </w:r>
      <w:r w:rsidR="00096F8E">
        <w:t xml:space="preserve"> MMCC</w:t>
      </w:r>
      <w:r w:rsidR="007F3781">
        <w:t>)</w:t>
      </w:r>
      <w:r w:rsidR="009F0D01" w:rsidRPr="003A332C">
        <w:t>. Between lockdowns</w:t>
      </w:r>
      <w:r w:rsidR="009D3C3C">
        <w:t>,</w:t>
      </w:r>
      <w:r w:rsidR="009F0D01" w:rsidRPr="003A332C">
        <w:t xml:space="preserve"> </w:t>
      </w:r>
      <w:r w:rsidR="007F3781">
        <w:t>contraceptive prescribing rose</w:t>
      </w:r>
      <w:r w:rsidR="009F0D01" w:rsidRPr="003A332C">
        <w:t xml:space="preserve"> to </w:t>
      </w:r>
      <w:r w:rsidR="007F3781">
        <w:t xml:space="preserve">76.96% (444,055 </w:t>
      </w:r>
      <w:r w:rsidR="00096F8E">
        <w:t>MMCC</w:t>
      </w:r>
      <w:r w:rsidR="007F3781">
        <w:t xml:space="preserve">) </w:t>
      </w:r>
      <w:r w:rsidR="009F0D01" w:rsidRPr="003A332C">
        <w:t>of pre-C</w:t>
      </w:r>
      <w:r w:rsidR="001A4E91">
        <w:t>OVID-</w:t>
      </w:r>
      <w:r w:rsidR="009F0D01" w:rsidRPr="003A332C">
        <w:t xml:space="preserve">19 </w:t>
      </w:r>
      <w:r w:rsidR="007F3781" w:rsidRPr="003A332C">
        <w:t>levels</w:t>
      </w:r>
      <w:r w:rsidR="007F3781">
        <w:t xml:space="preserve">. The post-COVID-19 period has seen an increase in contraceptive prescribing compared with pre-COVID-19 (108.23% / 624,474 </w:t>
      </w:r>
      <w:r w:rsidR="00096F8E">
        <w:t>MMCC</w:t>
      </w:r>
      <w:r w:rsidR="007F3781">
        <w:t>).</w:t>
      </w:r>
    </w:p>
    <w:p w14:paraId="0E4FA97A" w14:textId="20A5737C" w:rsidR="008562C4" w:rsidRPr="003A332C" w:rsidRDefault="008562C4" w:rsidP="007F3781">
      <w:pPr>
        <w:pStyle w:val="BodyText"/>
      </w:pPr>
      <w:r>
        <w:t>This large decrease was seen across all forms of contraception.</w:t>
      </w:r>
      <w:r w:rsidR="001B1918">
        <w:t xml:space="preserve"> LARC fell to 11.80% (19,424 </w:t>
      </w:r>
      <w:r w:rsidR="00096F8E">
        <w:t>MMCC</w:t>
      </w:r>
      <w:r w:rsidR="001B1918">
        <w:t xml:space="preserve">). Oral fell to 17.64% (54,852 </w:t>
      </w:r>
      <w:r w:rsidR="00096F8E">
        <w:t>MMCC</w:t>
      </w:r>
      <w:r w:rsidR="001B1918">
        <w:t xml:space="preserve">). Other 24.01% (24,366 </w:t>
      </w:r>
      <w:r w:rsidR="00096F8E">
        <w:t>MMCC</w:t>
      </w:r>
      <w:r w:rsidR="001B1918">
        <w:t xml:space="preserve">). EC also fell to 13.90% (1,118 dispensed). Restrictions outside </w:t>
      </w:r>
      <w:r w:rsidR="00AE12A7">
        <w:t xml:space="preserve">the </w:t>
      </w:r>
      <w:r w:rsidR="001B1918">
        <w:t xml:space="preserve">lockdown did allow the resumption of contraceptive dispensing, albeit at a lower rate than pre-COVID-19. LARC: 64.40% (105,964 </w:t>
      </w:r>
      <w:r w:rsidR="00096F8E">
        <w:t>MMCC</w:t>
      </w:r>
      <w:r w:rsidR="001B1918">
        <w:t xml:space="preserve">), Oral 74.91% (232,923 </w:t>
      </w:r>
      <w:r w:rsidR="00096F8E">
        <w:t>MMCC</w:t>
      </w:r>
      <w:r w:rsidR="001B1918">
        <w:t xml:space="preserve">), Other 103.62% (105,168 </w:t>
      </w:r>
      <w:r w:rsidR="00096F8E">
        <w:t>MMCC</w:t>
      </w:r>
      <w:r w:rsidR="001B1918">
        <w:t>). EC 84.60% (6,804 dispensed).</w:t>
      </w:r>
    </w:p>
    <w:p w14:paraId="070BFCE3" w14:textId="126572C7" w:rsidR="001B480A" w:rsidRPr="003A332C" w:rsidRDefault="00000000" w:rsidP="000D730A">
      <w:pPr>
        <w:pStyle w:val="BodyText"/>
      </w:pPr>
      <w:r w:rsidRPr="003A332C">
        <w:lastRenderedPageBreak/>
        <w:t xml:space="preserve">Overall, </w:t>
      </w:r>
      <w:r w:rsidR="007F3781">
        <w:t>oral contraceptives remained the most popular contraceptives prescribed throughout the period of this study</w:t>
      </w:r>
      <w:r w:rsidR="00AE12A7">
        <w:t>,</w:t>
      </w:r>
      <w:r w:rsidR="007F3781">
        <w:t xml:space="preserve"> with a mean of 52.67% (903,036 </w:t>
      </w:r>
      <w:r w:rsidR="00096F8E">
        <w:t>MMCC</w:t>
      </w:r>
      <w:r w:rsidR="007F3781">
        <w:t xml:space="preserve">) of the total </w:t>
      </w:r>
      <w:r w:rsidR="00096F8E">
        <w:t>MMCC</w:t>
      </w:r>
      <w:r w:rsidR="007F3781">
        <w:t xml:space="preserve"> dispensed (1,744,157 </w:t>
      </w:r>
      <w:r w:rsidR="00096F8E">
        <w:t>MMCC</w:t>
      </w:r>
      <w:r w:rsidR="007F3781">
        <w:t xml:space="preserve">). Behind this, LARC (24.48% / 451,312 </w:t>
      </w:r>
      <w:r w:rsidR="00096F8E">
        <w:t>MMCC</w:t>
      </w:r>
      <w:r w:rsidR="007F3781">
        <w:t>), and finally</w:t>
      </w:r>
      <w:r w:rsidR="00AE12A7">
        <w:t>,</w:t>
      </w:r>
      <w:r w:rsidR="007F3781">
        <w:t xml:space="preserve"> other methods</w:t>
      </w:r>
      <w:r w:rsidR="00AE12A7">
        <w:t>,</w:t>
      </w:r>
      <w:r w:rsidR="007F3781">
        <w:t xml:space="preserve"> including the contraceptive patch and ring (22.85% / 389,909 </w:t>
      </w:r>
      <w:r w:rsidR="00096F8E">
        <w:t>MMCC</w:t>
      </w:r>
      <w:r w:rsidR="007F3781">
        <w:t>).</w:t>
      </w:r>
      <w:r w:rsidR="0072485F">
        <w:t xml:space="preserve"> However, the proportions and types of contraceptives prescribed in each of the four periods of this study varied (Figure 1).</w:t>
      </w:r>
    </w:p>
    <w:p w14:paraId="71F1418A" w14:textId="77777777" w:rsidR="001B480A" w:rsidRPr="003A332C" w:rsidRDefault="00000000" w:rsidP="00A04103">
      <w:pPr>
        <w:pStyle w:val="CaptionedFigure"/>
      </w:pPr>
      <w:r w:rsidRPr="003A332C">
        <w:rPr>
          <w:noProof/>
        </w:rPr>
        <w:drawing>
          <wp:inline distT="0" distB="0" distL="0" distR="0" wp14:anchorId="66E01EB5" wp14:editId="33712613">
            <wp:extent cx="2515838" cy="3556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2" name="Pictur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15838" cy="3556000"/>
                    </a:xfrm>
                    <a:prstGeom prst="rect">
                      <a:avLst/>
                    </a:prstGeom>
                    <a:noFill/>
                    <a:ln w="9525">
                      <a:noFill/>
                      <a:headEnd/>
                      <a:tailEnd/>
                    </a:ln>
                  </pic:spPr>
                </pic:pic>
              </a:graphicData>
            </a:graphic>
          </wp:inline>
        </w:drawing>
      </w:r>
    </w:p>
    <w:p w14:paraId="20E918E8" w14:textId="57AAB5D6" w:rsidR="0072485F" w:rsidRPr="00590F6E" w:rsidRDefault="00590F6E" w:rsidP="0072485F">
      <w:pPr>
        <w:pStyle w:val="ImageCaption"/>
        <w:rPr>
          <w:rFonts w:ascii="Helvetica" w:hAnsi="Helvetica"/>
          <w:i w:val="0"/>
          <w:iCs/>
        </w:rPr>
      </w:pPr>
      <w:r w:rsidRPr="00590F6E">
        <w:rPr>
          <w:rFonts w:ascii="Helvetica" w:hAnsi="Helvetica"/>
          <w:b/>
          <w:bCs/>
          <w:i w:val="0"/>
          <w:iCs/>
        </w:rPr>
        <w:t xml:space="preserve">Figure 1. </w:t>
      </w:r>
      <w:r w:rsidR="001A4E91" w:rsidRPr="00590F6E">
        <w:rPr>
          <w:rFonts w:ascii="Helvetica" w:hAnsi="Helvetica"/>
          <w:i w:val="0"/>
          <w:iCs/>
        </w:rPr>
        <w:t>COVID-19</w:t>
      </w:r>
      <w:r w:rsidRPr="00590F6E">
        <w:rPr>
          <w:rFonts w:ascii="Helvetica" w:hAnsi="Helvetica"/>
          <w:i w:val="0"/>
          <w:iCs/>
        </w:rPr>
        <w:t xml:space="preserve"> restrictions changed the proportions of categories of contraception dispensed in Scotland. Prior to </w:t>
      </w:r>
      <w:r w:rsidR="001A4E91" w:rsidRPr="00590F6E">
        <w:rPr>
          <w:rFonts w:ascii="Helvetica" w:hAnsi="Helvetica"/>
          <w:i w:val="0"/>
          <w:iCs/>
        </w:rPr>
        <w:t>COVID-19</w:t>
      </w:r>
      <w:r w:rsidRPr="00590F6E">
        <w:rPr>
          <w:rFonts w:ascii="Helvetica" w:hAnsi="Helvetica"/>
          <w:i w:val="0"/>
          <w:iCs/>
        </w:rPr>
        <w:t xml:space="preserve">, the combined oral contraceptive pill (COCP), was the most dispensed form of contraception. However, during the </w:t>
      </w:r>
      <w:r w:rsidR="001A4E91" w:rsidRPr="00590F6E">
        <w:rPr>
          <w:rFonts w:ascii="Helvetica" w:hAnsi="Helvetica"/>
          <w:i w:val="0"/>
          <w:iCs/>
        </w:rPr>
        <w:t>COVID-19</w:t>
      </w:r>
      <w:r w:rsidRPr="00590F6E">
        <w:rPr>
          <w:rFonts w:ascii="Helvetica" w:hAnsi="Helvetica"/>
          <w:i w:val="0"/>
          <w:iCs/>
        </w:rPr>
        <w:t xml:space="preserve"> pandemic, this changed to the progesterone-only pill (POP), with dispensing of the contraceptive patch also increasing. Dispensing rates of long-acting reversible contraception (LARC) including the IUS, IUD, </w:t>
      </w:r>
      <w:proofErr w:type="gramStart"/>
      <w:r w:rsidRPr="00590F6E">
        <w:rPr>
          <w:rFonts w:ascii="Helvetica" w:hAnsi="Helvetica"/>
          <w:i w:val="0"/>
          <w:iCs/>
        </w:rPr>
        <w:t>injection</w:t>
      </w:r>
      <w:proofErr w:type="gramEnd"/>
      <w:r w:rsidRPr="00590F6E">
        <w:rPr>
          <w:rFonts w:ascii="Helvetica" w:hAnsi="Helvetica"/>
          <w:i w:val="0"/>
          <w:iCs/>
        </w:rPr>
        <w:t xml:space="preserve"> and implant decreased during </w:t>
      </w:r>
      <w:r w:rsidR="001A4E91" w:rsidRPr="00590F6E">
        <w:rPr>
          <w:rFonts w:ascii="Helvetica" w:hAnsi="Helvetica"/>
          <w:i w:val="0"/>
          <w:iCs/>
        </w:rPr>
        <w:t>COVID-19</w:t>
      </w:r>
      <w:r w:rsidRPr="00590F6E">
        <w:rPr>
          <w:rFonts w:ascii="Helvetica" w:hAnsi="Helvetica"/>
          <w:i w:val="0"/>
          <w:iCs/>
        </w:rPr>
        <w:t>, whilst the contraceptive ring remained relatively stable.</w:t>
      </w:r>
      <w:r>
        <w:rPr>
          <w:rFonts w:ascii="Helvetica" w:hAnsi="Helvetica"/>
          <w:i w:val="0"/>
          <w:iCs/>
        </w:rPr>
        <w:t xml:space="preserve"> Post-COVID-19 shows a lasting change in the prescribing of contraceptives in Scottish general practices.</w:t>
      </w:r>
    </w:p>
    <w:p w14:paraId="65BE03C8" w14:textId="5CFCC88F" w:rsidR="001B480A" w:rsidRDefault="00000000" w:rsidP="00C3114B">
      <w:pPr>
        <w:pStyle w:val="Heading2"/>
        <w:numPr>
          <w:ilvl w:val="1"/>
          <w:numId w:val="3"/>
        </w:numPr>
      </w:pPr>
      <w:bookmarkStart w:id="10" w:name="oral-contraception"/>
      <w:bookmarkEnd w:id="9"/>
      <w:r w:rsidRPr="003A332C">
        <w:lastRenderedPageBreak/>
        <w:t>Oral contraceptio</w:t>
      </w:r>
      <w:r w:rsidR="00190893" w:rsidRPr="003A332C">
        <w:t>n</w:t>
      </w:r>
    </w:p>
    <w:p w14:paraId="3FB1E8E5" w14:textId="7668A3E2" w:rsidR="008044BB" w:rsidRPr="003A332C" w:rsidRDefault="008044BB" w:rsidP="008044BB">
      <w:pPr>
        <w:pStyle w:val="FirstParagraph"/>
      </w:pPr>
      <w:r w:rsidRPr="003A332C">
        <w:t>Throughout this study, short-acting oral contraceptive pills, both</w:t>
      </w:r>
      <w:r w:rsidR="009974BB">
        <w:t xml:space="preserve"> </w:t>
      </w:r>
      <w:r w:rsidR="009974BB" w:rsidRPr="00590F6E">
        <w:rPr>
          <w:iCs/>
        </w:rPr>
        <w:t>combined oral contraceptive pill</w:t>
      </w:r>
      <w:r w:rsidR="009974BB">
        <w:rPr>
          <w:iCs/>
        </w:rPr>
        <w:t>s</w:t>
      </w:r>
      <w:r w:rsidRPr="003A332C">
        <w:t xml:space="preserve"> </w:t>
      </w:r>
      <w:r w:rsidR="009974BB">
        <w:t>(</w:t>
      </w:r>
      <w:r w:rsidRPr="003A332C">
        <w:t>COCP</w:t>
      </w:r>
      <w:r w:rsidR="009974BB">
        <w:t>)</w:t>
      </w:r>
      <w:r w:rsidRPr="003A332C">
        <w:t xml:space="preserve"> and </w:t>
      </w:r>
      <w:r w:rsidR="009974BB" w:rsidRPr="00590F6E">
        <w:rPr>
          <w:iCs/>
        </w:rPr>
        <w:t>progesterone-only pill</w:t>
      </w:r>
      <w:r w:rsidR="009974BB">
        <w:rPr>
          <w:iCs/>
        </w:rPr>
        <w:t>s</w:t>
      </w:r>
      <w:r w:rsidR="009974BB" w:rsidRPr="00590F6E">
        <w:rPr>
          <w:iCs/>
        </w:rPr>
        <w:t xml:space="preserve"> </w:t>
      </w:r>
      <w:r w:rsidR="009974BB">
        <w:rPr>
          <w:iCs/>
        </w:rPr>
        <w:t>(</w:t>
      </w:r>
      <w:r w:rsidRPr="003A332C">
        <w:t>POP</w:t>
      </w:r>
      <w:r w:rsidR="009974BB">
        <w:t>)</w:t>
      </w:r>
      <w:r w:rsidRPr="003A332C">
        <w:t xml:space="preserve"> remained the most dispensed form of contraception.</w:t>
      </w:r>
      <w:r w:rsidR="009974BB">
        <w:t xml:space="preserve"> This is true when</w:t>
      </w:r>
      <w:r w:rsidR="009974BB" w:rsidRPr="003A332C">
        <w:t xml:space="preserve"> measured by both months of contraceptive coverage dispensed per month and the total number of items dispensed</w:t>
      </w:r>
      <w:r w:rsidR="009974BB">
        <w:t>.</w:t>
      </w:r>
      <w:r w:rsidR="009974BB" w:rsidRPr="003A332C">
        <w:t xml:space="preserve"> </w:t>
      </w:r>
      <w:r w:rsidRPr="003A332C">
        <w:t xml:space="preserve">However, the contraceptive patch increased in popularity in Scotland during and after the </w:t>
      </w:r>
      <w:r>
        <w:t>COVID-19</w:t>
      </w:r>
      <w:r w:rsidRPr="003A332C">
        <w:t xml:space="preserve"> pandemic, </w:t>
      </w:r>
      <w:r w:rsidR="00AE12A7">
        <w:t>later</w:t>
      </w:r>
      <w:r w:rsidR="009974BB">
        <w:t xml:space="preserve"> </w:t>
      </w:r>
      <w:r w:rsidRPr="003A332C">
        <w:t>overtaking COCP (Figure 1).</w:t>
      </w:r>
    </w:p>
    <w:p w14:paraId="138F81BC" w14:textId="77777777" w:rsidR="0040070D" w:rsidRDefault="00000000" w:rsidP="000D730A">
      <w:pPr>
        <w:pStyle w:val="BodyText"/>
      </w:pPr>
      <w:r w:rsidRPr="003A332C">
        <w:t xml:space="preserve">Prior to the </w:t>
      </w:r>
      <w:r w:rsidR="001A4E91">
        <w:t>COVID-19</w:t>
      </w:r>
      <w:r w:rsidRPr="003A332C">
        <w:t xml:space="preserve"> pandemic, combined oral contraceptives were more frequently prescribed (mean percentage of total months of </w:t>
      </w:r>
      <w:r w:rsidR="006956F6">
        <w:t xml:space="preserve">oral </w:t>
      </w:r>
      <w:r w:rsidRPr="003A332C">
        <w:t>contraception dispensed per month 54.38%) than progesterone-only contraceptives (45.62%). However, during the period from April 2020 to April 2022, this trend was reversed (COCP: 4</w:t>
      </w:r>
      <w:r w:rsidR="006956F6">
        <w:t>4.03</w:t>
      </w:r>
      <w:r w:rsidRPr="003A332C">
        <w:t>%, POP: 5</w:t>
      </w:r>
      <w:r w:rsidR="006956F6">
        <w:t>5.97</w:t>
      </w:r>
      <w:r w:rsidRPr="003A332C">
        <w:t xml:space="preserve">%). </w:t>
      </w:r>
    </w:p>
    <w:p w14:paraId="3DE52BED" w14:textId="75C268D6" w:rsidR="001B480A" w:rsidRDefault="00000000" w:rsidP="000D730A">
      <w:pPr>
        <w:pStyle w:val="BodyText"/>
      </w:pPr>
      <w:r w:rsidRPr="003A332C">
        <w:t xml:space="preserve">Restrictions on face-to-face medical appointments during </w:t>
      </w:r>
      <w:r w:rsidR="001A4E91">
        <w:t>COVID-19</w:t>
      </w:r>
      <w:r w:rsidRPr="003A332C">
        <w:t xml:space="preserve"> meant that the regular monitoring of BMI and blood pressure </w:t>
      </w:r>
      <w:r w:rsidR="00AE12A7">
        <w:t>could not occur</w:t>
      </w:r>
      <w:r w:rsidRPr="003A332C">
        <w:t xml:space="preserve">. This likely lead to the decrease in COCP prescribing and the growth in dispensing of POPs instead (Figure 2), which do not require the same patient </w:t>
      </w:r>
      <w:r w:rsidR="004513FA" w:rsidRPr="003A332C">
        <w:t>monitoring</w:t>
      </w:r>
      <w:r w:rsidR="00101F47">
        <w:t xml:space="preserve"> </w:t>
      </w:r>
      <w:r w:rsidR="00101F47">
        <w:fldChar w:fldCharType="begin"/>
      </w:r>
      <w:r w:rsidR="00674F56">
        <w:instrText xml:space="preserve"> ADDIN ZOTERO_ITEM CSL_CITATION {"citationID":"QLAE44t2","properties":{"formattedCitation":"[17\\uc0\\u8211{}19]","plainCitation":"[17–19]","noteIndex":0},"citationItems":[{"id":732,"uris":["http://zotero.org/users/11849522/items/HGQRN6YI"],"itemData":{"id":732,"type":"document","title":"UK MEDICAL ELIGIBILITY CRITERIA FOR CONTRACEPTIVE USE | UKMEC 2016 (AMENDED SEPTEMBER 2019)","author":[{"family":"FSRH","given":""}],"issued":{"date-parts":[["2019",9]]},"citation-key":"fsrhUKMEDICALELIGIBILITY2019"}},{"id":731,"uris":["http://zotero.org/users/11849522/items/EK7XJPIU"],"itemData":{"id":731,"type":"article-journal","container-title":"BMJ Sexual &amp; Reproductive Health","DOI":"10.1136/bmjsrh-2018-CHC","ISSN":"2515-1991, 2515-2009","issue":"Suppl 1","journalAbbreviation":"BMJ Sex Reprod Health","language":"en","page":"1-93","source":"DOI.org (Crossref)","title":"FSRH Guideline (January 2019, amended November 2020) Combined Hormonal Contraception","URL":"https://jfprhc.bmj.com/lookup/doi/10.1136/bmjsrh-2018-CHC","volume":"45","author":[{"family":"FSRH","given":""}],"accessed":{"date-parts":[["2023",9,4]]},"issued":{"date-parts":[["2019",1]]},"citation-key":"fsrhFSRHGuidelineJanuary2019"}},{"id":734,"uris":["http://zotero.org/users/11849522/items/JLEAMLD6"],"itemData":{"id":734,"type":"article-journal","container-title":"BMJ Sexual &amp; Reproductive Health","DOI":"10.1136/bmjsrh-2022-PoP","ISSN":"2515-1991, 2515-2009","issue":"Suppl 1","journalAbbreviation":"BMJ Sex Reprod Health","language":"en","page":"1-75","source":"DOI.org (Crossref)","title":"FSRH Guideline (August 2022) Progestogen-only Pills","URL":"https://jfprhc.bmj.com/lookup/doi/10.1136/bmjsrh-2022-PoP","volume":"48","author":[{"family":"FSRH","given":""}],"accessed":{"date-parts":[["2023",9,4]]},"issued":{"date-parts":[["2022",8]]},"citation-key":"fsrhFSRHGuidelineAugust2022"}}],"schema":"https://github.com/citation-style-language/schema/raw/master/csl-citation.json"} </w:instrText>
      </w:r>
      <w:r w:rsidR="00101F47">
        <w:fldChar w:fldCharType="separate"/>
      </w:r>
      <w:r w:rsidR="00101F47" w:rsidRPr="00101F47">
        <w:rPr>
          <w:rFonts w:cs="Times New Roman"/>
        </w:rPr>
        <w:t>[17–19]</w:t>
      </w:r>
      <w:r w:rsidR="00101F47">
        <w:fldChar w:fldCharType="end"/>
      </w:r>
      <w:r w:rsidR="004513FA" w:rsidRPr="003A332C">
        <w:t>. After</w:t>
      </w:r>
      <w:r w:rsidRPr="003A332C">
        <w:t xml:space="preserve"> this period, the trend has not </w:t>
      </w:r>
      <w:r w:rsidR="00AE12A7">
        <w:t xml:space="preserve">been </w:t>
      </w:r>
      <w:r w:rsidRPr="003A332C">
        <w:t>restored to pre-</w:t>
      </w:r>
      <w:r w:rsidR="001A4E91">
        <w:t>COVID-19</w:t>
      </w:r>
      <w:r w:rsidRPr="003A332C">
        <w:t xml:space="preserve"> levels, but the dispensing of POP </w:t>
      </w:r>
      <w:r w:rsidR="00AE12A7">
        <w:t>has</w:t>
      </w:r>
      <w:r w:rsidRPr="003A332C">
        <w:t xml:space="preserve"> increased (COCP: 41.70%, POP: 58.30%). Intriguingly, the differences in the proportion of COCP versus POP dispensed per month in Scotland have widened even after the lifting of </w:t>
      </w:r>
      <w:r w:rsidR="00AE12A7">
        <w:t>COVID-19-associated</w:t>
      </w:r>
      <w:r w:rsidRPr="003A332C">
        <w:t xml:space="preserve"> restrictions (Figure 2).</w:t>
      </w:r>
    </w:p>
    <w:p w14:paraId="1BD308A1" w14:textId="77777777" w:rsidR="001B480A" w:rsidRPr="003A332C" w:rsidRDefault="00000000" w:rsidP="00A04103">
      <w:pPr>
        <w:pStyle w:val="CaptionedFigure"/>
      </w:pPr>
      <w:r w:rsidRPr="003A332C">
        <w:rPr>
          <w:noProof/>
        </w:rPr>
        <w:lastRenderedPageBreak/>
        <w:drawing>
          <wp:inline distT="0" distB="0" distL="0" distR="0" wp14:anchorId="0A1509D8" wp14:editId="31EAC391">
            <wp:extent cx="2135919" cy="3019005"/>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6" name="Picture"/>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135919" cy="3019005"/>
                    </a:xfrm>
                    <a:prstGeom prst="rect">
                      <a:avLst/>
                    </a:prstGeom>
                    <a:noFill/>
                    <a:ln w="9525">
                      <a:noFill/>
                      <a:headEnd/>
                      <a:tailEnd/>
                    </a:ln>
                  </pic:spPr>
                </pic:pic>
              </a:graphicData>
            </a:graphic>
          </wp:inline>
        </w:drawing>
      </w:r>
    </w:p>
    <w:p w14:paraId="32D8E608" w14:textId="3FC414E0" w:rsidR="005A6BA4" w:rsidRDefault="00A04103" w:rsidP="005A6BA4">
      <w:pPr>
        <w:pStyle w:val="ImageCaption"/>
        <w:rPr>
          <w:rFonts w:ascii="Helvetica" w:hAnsi="Helvetica"/>
          <w:i w:val="0"/>
          <w:iCs/>
        </w:rPr>
      </w:pPr>
      <w:r w:rsidRPr="009974BB">
        <w:rPr>
          <w:rFonts w:ascii="Helvetica" w:hAnsi="Helvetica"/>
          <w:b/>
          <w:bCs/>
          <w:i w:val="0"/>
          <w:iCs/>
        </w:rPr>
        <w:t>Figure 2.</w:t>
      </w:r>
      <w:r w:rsidR="009974BB">
        <w:rPr>
          <w:rFonts w:ascii="Helvetica" w:hAnsi="Helvetica"/>
          <w:b/>
          <w:bCs/>
          <w:i w:val="0"/>
          <w:iCs/>
        </w:rPr>
        <w:t xml:space="preserve"> </w:t>
      </w:r>
      <w:r w:rsidR="009974BB">
        <w:rPr>
          <w:rFonts w:ascii="Helvetica" w:hAnsi="Helvetica"/>
          <w:i w:val="0"/>
          <w:iCs/>
        </w:rPr>
        <w:t xml:space="preserve">Prior to COVID-19, </w:t>
      </w:r>
      <w:r w:rsidR="00AE12A7">
        <w:rPr>
          <w:rFonts w:ascii="Helvetica" w:hAnsi="Helvetica"/>
          <w:i w:val="0"/>
          <w:iCs/>
        </w:rPr>
        <w:t>COCPs</w:t>
      </w:r>
      <w:r w:rsidR="009974BB">
        <w:rPr>
          <w:rFonts w:ascii="Helvetica" w:hAnsi="Helvetica"/>
          <w:i w:val="0"/>
          <w:iCs/>
        </w:rPr>
        <w:t xml:space="preserve"> were more prescribed than POP</w:t>
      </w:r>
      <w:r w:rsidR="00AE12A7">
        <w:rPr>
          <w:rFonts w:ascii="Helvetica" w:hAnsi="Helvetica"/>
          <w:i w:val="0"/>
          <w:iCs/>
        </w:rPr>
        <w:t>s</w:t>
      </w:r>
      <w:r w:rsidR="009974BB">
        <w:rPr>
          <w:rFonts w:ascii="Helvetica" w:hAnsi="Helvetica"/>
          <w:i w:val="0"/>
          <w:iCs/>
        </w:rPr>
        <w:t xml:space="preserve">. However, there was a rough balance between the two methods. During lockdown, POPs were vastly more prescribed, and </w:t>
      </w:r>
      <w:r w:rsidR="005A6BA4">
        <w:rPr>
          <w:rFonts w:ascii="Helvetica" w:hAnsi="Helvetica"/>
          <w:i w:val="0"/>
          <w:iCs/>
        </w:rPr>
        <w:t>COCPs decreased. This trend continued during periods of restrictions</w:t>
      </w:r>
      <w:r w:rsidR="00AE12A7">
        <w:rPr>
          <w:rFonts w:ascii="Helvetica" w:hAnsi="Helvetica"/>
          <w:i w:val="0"/>
          <w:iCs/>
        </w:rPr>
        <w:t>,</w:t>
      </w:r>
      <w:r w:rsidR="005A6BA4">
        <w:rPr>
          <w:rFonts w:ascii="Helvetica" w:hAnsi="Helvetica"/>
          <w:i w:val="0"/>
          <w:iCs/>
        </w:rPr>
        <w:t xml:space="preserve"> and after COVID-19 this gap has only widened. </w:t>
      </w:r>
    </w:p>
    <w:p w14:paraId="74779EAD" w14:textId="77777777" w:rsidR="005A6BA4" w:rsidRPr="009974BB" w:rsidRDefault="005A6BA4" w:rsidP="005A6BA4">
      <w:pPr>
        <w:pStyle w:val="ImageCaption"/>
        <w:rPr>
          <w:rFonts w:ascii="Helvetica" w:hAnsi="Helvetica"/>
          <w:i w:val="0"/>
          <w:iCs/>
        </w:rPr>
      </w:pPr>
    </w:p>
    <w:p w14:paraId="712E3E7A" w14:textId="11C0DF47" w:rsidR="009974BB" w:rsidRPr="003A332C" w:rsidRDefault="009974BB" w:rsidP="009974BB">
      <w:pPr>
        <w:pStyle w:val="BodyText"/>
      </w:pPr>
      <w:r>
        <w:t xml:space="preserve">Some of this increase is likely due to </w:t>
      </w:r>
      <w:r w:rsidR="00AE12A7">
        <w:t xml:space="preserve">the </w:t>
      </w:r>
      <w:r>
        <w:t xml:space="preserve">addition of </w:t>
      </w:r>
      <w:proofErr w:type="spellStart"/>
      <w:r>
        <w:t>desoestrogel</w:t>
      </w:r>
      <w:proofErr w:type="spellEnd"/>
      <w:r>
        <w:t xml:space="preserve"> </w:t>
      </w:r>
      <w:r w:rsidR="005A6BA4">
        <w:t xml:space="preserve">(a </w:t>
      </w:r>
      <w:r>
        <w:t>POP</w:t>
      </w:r>
      <w:r w:rsidR="005A6BA4">
        <w:t>)</w:t>
      </w:r>
      <w:r>
        <w:t xml:space="preserve"> as a bridging method for those with extended use of LARC</w:t>
      </w:r>
      <w:r w:rsidR="005A6BA4">
        <w:t xml:space="preserve"> </w:t>
      </w:r>
      <w:r w:rsidR="005A6BA4">
        <w:fldChar w:fldCharType="begin"/>
      </w:r>
      <w:r w:rsidR="00674F56">
        <w:instrText xml:space="preserve"> ADDIN ZOTERO_ITEM CSL_CITATION {"citationID":"UP2ZhFTp","properties":{"formattedCitation":"[20]","plainCitation":"[20]","noteIndex":0},"citationItems":[{"id":743,"uris":["http://zotero.org/users/11849522/items/A9J8ZZSY"],"itemData":{"id":743,"type":"document","title":"FSRH CEU clinical advice to support provision of effective contraception during the COVID-19 outbreak","author":[{"family":"FSRH CEU","given":""}],"issued":{"date-parts":[["2020",3,20]]},"citation-key":"fsrhceuFSRHCEUClinical2020"}}],"schema":"https://github.com/citation-style-language/schema/raw/master/csl-citation.json"} </w:instrText>
      </w:r>
      <w:r w:rsidR="005A6BA4">
        <w:fldChar w:fldCharType="separate"/>
      </w:r>
      <w:r w:rsidR="005A6BA4">
        <w:rPr>
          <w:noProof/>
        </w:rPr>
        <w:t>[20]</w:t>
      </w:r>
      <w:r w:rsidR="005A6BA4">
        <w:fldChar w:fldCharType="end"/>
      </w:r>
      <w:r>
        <w:t>.</w:t>
      </w:r>
    </w:p>
    <w:p w14:paraId="667978E7" w14:textId="77777777" w:rsidR="009974BB" w:rsidRPr="003A332C" w:rsidRDefault="009974BB" w:rsidP="00A04103">
      <w:pPr>
        <w:pStyle w:val="ImageCaption"/>
      </w:pPr>
    </w:p>
    <w:p w14:paraId="73388BEB" w14:textId="77777777" w:rsidR="001B480A" w:rsidRPr="003A332C" w:rsidRDefault="00000000" w:rsidP="00C3114B">
      <w:pPr>
        <w:pStyle w:val="Heading2"/>
        <w:numPr>
          <w:ilvl w:val="1"/>
          <w:numId w:val="3"/>
        </w:numPr>
      </w:pPr>
      <w:bookmarkStart w:id="11" w:name="long-acting-reversible-contraception"/>
      <w:bookmarkEnd w:id="10"/>
      <w:r w:rsidRPr="003A332C">
        <w:t>Long-acting reversible contraception</w:t>
      </w:r>
    </w:p>
    <w:p w14:paraId="6A78E770" w14:textId="098ABC0A" w:rsidR="001B1918" w:rsidRDefault="00F3601B" w:rsidP="001B1918">
      <w:pPr>
        <w:pStyle w:val="FirstParagraph"/>
      </w:pPr>
      <w:r w:rsidRPr="003A332C">
        <w:t>Long-acting reversible contraception (LARC) requires administration by a healthcare professional</w:t>
      </w:r>
      <w:r w:rsidR="00903492">
        <w:t xml:space="preserve">  </w:t>
      </w:r>
      <w:r w:rsidR="00903492">
        <w:fldChar w:fldCharType="begin"/>
      </w:r>
      <w:r w:rsidR="00674F56">
        <w:instrText xml:space="preserve"> ADDIN ZOTERO_ITEM CSL_CITATION {"citationID":"wSbSnENl","properties":{"formattedCitation":"[18,21,22]","plainCitation":"[18,21,22]","noteIndex":0},"citationItems":[{"id":740,"uris":["http://zotero.org/users/11849522/items/RJAJ3SNC"],"itemData":{"id":740,"type":"document","title":"FSRH Guideline (December 2014, December 2014, amended July 2023) Progestogen-only Injectable Contraception","author":[{"family":"FSRH","given":""}],"issued":{"date-parts":[["2023",7]]},"citation-key":"fsrhFSRHGuidelineDecember2023"}},{"id":731,"uris":["http://zotero.org/users/11849522/items/EK7XJPIU"],"itemData":{"id":731,"type":"article-journal","container-title":"BMJ Sexual &amp; Reproductive Health","DOI":"10.1136/bmjsrh-2018-CHC","ISSN":"2515-1991, 2515-2009","issue":"Suppl 1","journalAbbreviation":"BMJ Sex Reprod Health","language":"en","page":"1-93","source":"DOI.org (Crossref)","title":"FSRH Guideline (January 2019, amended November 2020) Combined Hormonal Contraception","URL":"https://jfprhc.bmj.com/lookup/doi/10.1136/bmjsrh-2018-CHC","volume":"45","author":[{"family":"FSRH","given":""}],"accessed":{"date-parts":[["2023",9,4]]},"issued":{"date-parts":[["2019",1]]},"citation-key":"fsrhFSRHGuidelineJanuary2019"}},{"id":737,"uris":["http://zotero.org/users/11849522/items/872UCB4I"],"itemData":{"id":737,"type":"article-journal","container-title":"BMJ Sexual &amp; Reproductive Health","DOI":"10.1136/bmjsrh-2021-CHC","ISSN":"2515-1991, 2515-2009","issue":"Suppl 1","journalAbbreviation":"BMJ Sex Reprod Health","language":"en","page":"1-62","source":"DOI.org (Crossref)","title":"FSRH Guideline (February 2021) Progestogen-only Implant","URL":"https://jfprhc.bmj.com/lookup/doi/10.1136/bmjsrh-2021-CHC","volume":"47","author":[{"family":"FSRH","given":""}],"accessed":{"date-parts":[["2023",9,4]]},"issued":{"date-parts":[["2021",2]]},"citation-key":"fsrhFSRHGuidelineFebruary2021"}}],"schema":"https://github.com/citation-style-language/schema/raw/master/csl-citation.json"} </w:instrText>
      </w:r>
      <w:r w:rsidR="00903492">
        <w:fldChar w:fldCharType="separate"/>
      </w:r>
      <w:r w:rsidR="005A6BA4">
        <w:rPr>
          <w:noProof/>
        </w:rPr>
        <w:t>[18,21,22]</w:t>
      </w:r>
      <w:r w:rsidR="00903492">
        <w:fldChar w:fldCharType="end"/>
      </w:r>
      <w:r w:rsidR="00F97D12">
        <w:t xml:space="preserve"> </w:t>
      </w:r>
      <w:r w:rsidR="00903492">
        <w:t xml:space="preserve">– with the exception of Sayana-Press SC injection </w:t>
      </w:r>
      <w:r w:rsidR="00B26D2C">
        <w:fldChar w:fldCharType="begin"/>
      </w:r>
      <w:r w:rsidR="00674F56">
        <w:instrText xml:space="preserve"> ADDIN ZOTERO_ITEM CSL_CITATION {"citationID":"dmjFbmTi","properties":{"formattedCitation":"[23]","plainCitation":"[23]","noteIndex":0},"citationItems":[{"id":725,"uris":["http://zotero.org/users/11849522/items/K65KAWLX"],"itemData":{"id":725,"type":"post-weblog","container-title":"medicines.org.uk","title":"SAYANA PRESS 104 mg/0.65 ml suspension for injection SmPC","URL":"https://www.medicines.org.uk/emc/product/3148/smpc","author":[{"family":"Pfizer Limited","given":""}],"citation-key":"pfizerlimitedSAYANAPRESS104"}}],"schema":"https://github.com/citation-style-language/schema/raw/master/csl-citation.json"} </w:instrText>
      </w:r>
      <w:r w:rsidR="00B26D2C">
        <w:fldChar w:fldCharType="separate"/>
      </w:r>
      <w:r w:rsidR="005A6BA4">
        <w:rPr>
          <w:noProof/>
        </w:rPr>
        <w:t>[23]</w:t>
      </w:r>
      <w:r w:rsidR="00B26D2C">
        <w:fldChar w:fldCharType="end"/>
      </w:r>
      <w:r w:rsidR="00903492">
        <w:t xml:space="preserve"> - </w:t>
      </w:r>
      <w:r w:rsidRPr="003A332C">
        <w:t xml:space="preserve">unlike oral contraception. Due to the </w:t>
      </w:r>
      <w:r w:rsidR="00AE12A7" w:rsidRPr="003A332C">
        <w:t>restrictions</w:t>
      </w:r>
      <w:r w:rsidRPr="003A332C">
        <w:t xml:space="preserve"> on face-to-face appointments, LARC administration severely decreased throughout the </w:t>
      </w:r>
      <w:r w:rsidR="001A4E91">
        <w:t>COVID-19</w:t>
      </w:r>
      <w:r w:rsidRPr="003A332C">
        <w:t xml:space="preserve"> pandemic (Figure 3)</w:t>
      </w:r>
      <w:r w:rsidR="00B26D2C">
        <w:t xml:space="preserve">. </w:t>
      </w:r>
    </w:p>
    <w:p w14:paraId="16EC17AC" w14:textId="77777777" w:rsidR="00F14F79" w:rsidRPr="003A332C" w:rsidRDefault="00F14F79" w:rsidP="00F14F79">
      <w:pPr>
        <w:pStyle w:val="CaptionedFigure"/>
      </w:pPr>
      <w:r w:rsidRPr="003A332C">
        <w:rPr>
          <w:noProof/>
        </w:rPr>
        <w:lastRenderedPageBreak/>
        <w:drawing>
          <wp:inline distT="0" distB="0" distL="0" distR="0" wp14:anchorId="27492733" wp14:editId="3C719908">
            <wp:extent cx="4741333" cy="2370666"/>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0" name="Pictur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741333" cy="2370666"/>
                    </a:xfrm>
                    <a:prstGeom prst="rect">
                      <a:avLst/>
                    </a:prstGeom>
                    <a:noFill/>
                    <a:ln w="9525">
                      <a:noFill/>
                      <a:headEnd/>
                      <a:tailEnd/>
                    </a:ln>
                  </pic:spPr>
                </pic:pic>
              </a:graphicData>
            </a:graphic>
          </wp:inline>
        </w:drawing>
      </w:r>
    </w:p>
    <w:p w14:paraId="1D3FB293" w14:textId="697DEA29" w:rsidR="00F14F79" w:rsidRPr="00F14F79" w:rsidRDefault="00F14F79" w:rsidP="00F14F79">
      <w:pPr>
        <w:pStyle w:val="ImageCaption"/>
        <w:rPr>
          <w:rFonts w:ascii="Helvetica" w:hAnsi="Helvetica"/>
          <w:b/>
          <w:bCs/>
          <w:i w:val="0"/>
          <w:iCs/>
        </w:rPr>
      </w:pPr>
      <w:r w:rsidRPr="00FB17EF">
        <w:rPr>
          <w:rFonts w:ascii="Helvetica" w:hAnsi="Helvetica"/>
          <w:b/>
          <w:bCs/>
          <w:i w:val="0"/>
          <w:iCs/>
        </w:rPr>
        <w:t xml:space="preserve">Figure 3. </w:t>
      </w:r>
      <w:r>
        <w:rPr>
          <w:rFonts w:ascii="Helvetica" w:hAnsi="Helvetica"/>
          <w:i w:val="0"/>
          <w:iCs/>
        </w:rPr>
        <w:t xml:space="preserve">Long-acting reversible contraceptive (LARC) prescribing fell enormously during the first lockdown (red-shaded periods marked </w:t>
      </w:r>
      <w:r w:rsidRPr="00FB17EF">
        <w:rPr>
          <w:rFonts w:ascii="Helvetica" w:hAnsi="Helvetica"/>
          <w:i w:val="0"/>
          <w:iCs/>
        </w:rPr>
        <w:t>L</w:t>
      </w:r>
      <w:r>
        <w:rPr>
          <w:rFonts w:ascii="Helvetica" w:hAnsi="Helvetica"/>
          <w:i w:val="0"/>
          <w:iCs/>
        </w:rPr>
        <w:t>). During periods of restrictions (orange-shaded periods, R) still hampered access to LARC. Post-COVID-19, LARC prescribing is reduced compared with pre-COVID-19, particularly for non-hormonal copper IUDs.</w:t>
      </w:r>
    </w:p>
    <w:p w14:paraId="1A98E61A" w14:textId="01000A41" w:rsidR="00AB47D2" w:rsidRPr="00F14F79" w:rsidRDefault="00F97D12" w:rsidP="00AB47D2">
      <w:pPr>
        <w:pStyle w:val="FirstParagraph"/>
        <w:numPr>
          <w:ilvl w:val="2"/>
          <w:numId w:val="3"/>
        </w:numPr>
        <w:rPr>
          <w:b/>
          <w:bCs/>
        </w:rPr>
      </w:pPr>
      <w:r w:rsidRPr="00F14F79">
        <w:rPr>
          <w:b/>
          <w:bCs/>
        </w:rPr>
        <w:t>IUD &amp; IUS</w:t>
      </w:r>
    </w:p>
    <w:p w14:paraId="4A3A7C8B" w14:textId="7231F1D6" w:rsidR="00AB47D2" w:rsidRDefault="00DA54CB" w:rsidP="00DA54CB">
      <w:pPr>
        <w:pStyle w:val="BodyText"/>
      </w:pPr>
      <w:r>
        <w:t xml:space="preserve">During lockdowns, prescribing IUS sank to 11.07% (6,912 </w:t>
      </w:r>
      <w:r w:rsidR="00096F8E">
        <w:t>MMCC</w:t>
      </w:r>
      <w:r>
        <w:t xml:space="preserve">) of pre-COVID-19 levels, while </w:t>
      </w:r>
      <w:r w:rsidR="00AB47D2">
        <w:t>IUD</w:t>
      </w:r>
      <w:r>
        <w:t xml:space="preserve"> prescribing decreased to</w:t>
      </w:r>
      <w:r w:rsidR="00AB47D2">
        <w:t xml:space="preserve"> 9.48% (1,482</w:t>
      </w:r>
      <w:r>
        <w:t xml:space="preserve"> </w:t>
      </w:r>
      <w:r w:rsidR="00096F8E">
        <w:t>MMCC</w:t>
      </w:r>
      <w:r w:rsidR="00AB47D2">
        <w:t>)</w:t>
      </w:r>
      <w:r>
        <w:t>. Subsequently, during periods of COVID-19-associated restrictions</w:t>
      </w:r>
      <w:r w:rsidR="00614231">
        <w:t>,</w:t>
      </w:r>
      <w:r>
        <w:t xml:space="preserve"> IUS prescribing increased to </w:t>
      </w:r>
      <w:r w:rsidR="00AB47D2">
        <w:t>65.84% (41,102</w:t>
      </w:r>
      <w:r>
        <w:t xml:space="preserve"> </w:t>
      </w:r>
      <w:r w:rsidR="00096F8E">
        <w:t>MMCC</w:t>
      </w:r>
      <w:r w:rsidR="00AB47D2">
        <w:t xml:space="preserve">) </w:t>
      </w:r>
      <w:r>
        <w:t xml:space="preserve">and IUD </w:t>
      </w:r>
      <w:r w:rsidR="00614231">
        <w:t xml:space="preserve">to </w:t>
      </w:r>
      <w:r w:rsidR="00AB47D2">
        <w:t>60.45% (9,455</w:t>
      </w:r>
      <w:r>
        <w:t xml:space="preserve"> </w:t>
      </w:r>
      <w:r w:rsidR="00096F8E">
        <w:t>MMCC</w:t>
      </w:r>
      <w:r w:rsidR="00AB47D2">
        <w:t>)</w:t>
      </w:r>
      <w:r>
        <w:t xml:space="preserve">. Post-COVID-19, IUD prescribing continued to climb to 83.63% (13,080 </w:t>
      </w:r>
      <w:r w:rsidR="00096F8E">
        <w:t>MMCC</w:t>
      </w:r>
      <w:r>
        <w:t xml:space="preserve">) of </w:t>
      </w:r>
      <w:r w:rsidR="00614231">
        <w:t>pre-COVID-19</w:t>
      </w:r>
      <w:r>
        <w:t xml:space="preserve"> levels. Conversely, IUS prescribing post-COVID-19 has exceeded that before the pandemic, reaching </w:t>
      </w:r>
      <w:r w:rsidR="00AB47D2">
        <w:t>112.54% (70,260</w:t>
      </w:r>
      <w:r>
        <w:t xml:space="preserve"> </w:t>
      </w:r>
      <w:r w:rsidR="00096F8E">
        <w:t>MMCC</w:t>
      </w:r>
      <w:r w:rsidR="00AB47D2">
        <w:t xml:space="preserve">) </w:t>
      </w:r>
      <w:r>
        <w:t>of pre-COVID-19 levels.</w:t>
      </w:r>
    </w:p>
    <w:p w14:paraId="5819BE77" w14:textId="1A01ADA6" w:rsidR="00AB47D2" w:rsidRDefault="00AB47D2" w:rsidP="00F97D12">
      <w:pPr>
        <w:pStyle w:val="BodyText"/>
      </w:pPr>
      <w:r>
        <w:t xml:space="preserve">Whilst there is a correlation between the decrease shown in </w:t>
      </w:r>
      <w:r w:rsidR="00AE12A7">
        <w:t xml:space="preserve">the </w:t>
      </w:r>
      <w:r>
        <w:t>prescribing of certain forms of contraception post-COVID-19</w:t>
      </w:r>
      <w:r w:rsidR="00614231">
        <w:t>,</w:t>
      </w:r>
      <w:r>
        <w:t xml:space="preserve"> it is not possible to say that this is a causational relationship. It may be the case that the pandemic accelerated changes already happening before.</w:t>
      </w:r>
      <w:r w:rsidR="009C1B14">
        <w:t xml:space="preserve"> Women may prefer the added hormonal benefits of IUS such as </w:t>
      </w:r>
      <w:r w:rsidR="009C1B14">
        <w:lastRenderedPageBreak/>
        <w:t>reducing heavy menstrual bleeding, or its marginally greater contraceptive effectiveness versus Cu-IUDs.</w:t>
      </w:r>
    </w:p>
    <w:p w14:paraId="06B2F1DE" w14:textId="7BDDB94F" w:rsidR="00F97D12" w:rsidRPr="00F14F79" w:rsidRDefault="00F97D12" w:rsidP="00F97D12">
      <w:pPr>
        <w:pStyle w:val="BodyText"/>
        <w:numPr>
          <w:ilvl w:val="2"/>
          <w:numId w:val="3"/>
        </w:numPr>
        <w:rPr>
          <w:b/>
          <w:bCs/>
        </w:rPr>
      </w:pPr>
      <w:r w:rsidRPr="00F14F79">
        <w:rPr>
          <w:b/>
          <w:bCs/>
        </w:rPr>
        <w:t>Implant</w:t>
      </w:r>
    </w:p>
    <w:p w14:paraId="26D63F18" w14:textId="023DE076" w:rsidR="00F97D12" w:rsidRDefault="00F97D12" w:rsidP="00F97D12">
      <w:pPr>
        <w:pStyle w:val="BodyText"/>
      </w:pPr>
      <w:r>
        <w:t xml:space="preserve">Fell to 10.02% during lockdown. And rebounded to 57.17% and 81.10%. The lack of rebound may indicate women choosing other forms of contraception. Pre-COVID-19 implants (59,004 </w:t>
      </w:r>
      <w:r w:rsidR="00096F8E">
        <w:t>MMCC</w:t>
      </w:r>
      <w:r>
        <w:t xml:space="preserve">) were comparable with IUS (62,432 </w:t>
      </w:r>
      <w:r w:rsidR="00096F8E">
        <w:t>MMCC</w:t>
      </w:r>
      <w:r>
        <w:t xml:space="preserve">) in terms of </w:t>
      </w:r>
      <w:r w:rsidR="00096F8E">
        <w:t>MMCC</w:t>
      </w:r>
      <w:r>
        <w:t>. However, post-COVID-19</w:t>
      </w:r>
      <w:r w:rsidR="00AE12A7">
        <w:t>,</w:t>
      </w:r>
      <w:r>
        <w:t xml:space="preserve"> this has not resumed: IUS 70,260</w:t>
      </w:r>
      <w:r w:rsidR="00096F8E">
        <w:t>MMCC</w:t>
      </w:r>
      <w:r>
        <w:t xml:space="preserve">, </w:t>
      </w:r>
      <w:r w:rsidR="001B1918">
        <w:t>implant</w:t>
      </w:r>
      <w:r>
        <w:t xml:space="preserve"> 47,853. </w:t>
      </w:r>
      <w:r w:rsidR="00AE12A7">
        <w:t>This could</w:t>
      </w:r>
      <w:r>
        <w:t xml:space="preserve"> be an </w:t>
      </w:r>
      <w:r w:rsidR="00AE12A7">
        <w:t>artefact</w:t>
      </w:r>
      <w:r>
        <w:t xml:space="preserve"> of the lengthy times between prescriptions needed for LARC – may be worth investigating over a longer </w:t>
      </w:r>
      <w:r w:rsidR="00AE12A7">
        <w:t>period</w:t>
      </w:r>
      <w:r>
        <w:t>.</w:t>
      </w:r>
    </w:p>
    <w:p w14:paraId="38351069" w14:textId="74AFC11C" w:rsidR="00F97D12" w:rsidRPr="00F14F79" w:rsidRDefault="00F97D12" w:rsidP="00F97D12">
      <w:pPr>
        <w:pStyle w:val="BodyText"/>
        <w:numPr>
          <w:ilvl w:val="2"/>
          <w:numId w:val="3"/>
        </w:numPr>
        <w:rPr>
          <w:b/>
          <w:bCs/>
        </w:rPr>
      </w:pPr>
      <w:r w:rsidRPr="00F14F79">
        <w:rPr>
          <w:b/>
          <w:bCs/>
        </w:rPr>
        <w:t>Injection</w:t>
      </w:r>
    </w:p>
    <w:p w14:paraId="707EF55C" w14:textId="24E4AF4C" w:rsidR="00A55E03" w:rsidRPr="003A332C" w:rsidRDefault="00000000" w:rsidP="00F14F79">
      <w:pPr>
        <w:pStyle w:val="BodyText"/>
      </w:pPr>
      <w:r w:rsidRPr="003A332C">
        <w:t xml:space="preserve">The decrease in injection dispensing throughout </w:t>
      </w:r>
      <w:r w:rsidR="001A4E91">
        <w:t>COVID-19</w:t>
      </w:r>
      <w:r w:rsidRPr="003A332C">
        <w:t xml:space="preserve"> is less severe than other forms of LARC</w:t>
      </w:r>
      <w:r w:rsidR="00D8234C">
        <w:t>,</w:t>
      </w:r>
      <w:r w:rsidRPr="003A332C">
        <w:t xml:space="preserve"> which cannot be self-administered. </w:t>
      </w:r>
      <w:r w:rsidR="008044BB">
        <w:t>Whilst subcutaneous injections are licenced for self-administration</w:t>
      </w:r>
      <w:r w:rsidR="00590F6E">
        <w:t xml:space="preserve"> </w:t>
      </w:r>
      <w:r w:rsidR="00590F6E">
        <w:fldChar w:fldCharType="begin"/>
      </w:r>
      <w:r w:rsidR="00674F56">
        <w:instrText xml:space="preserve"> ADDIN ZOTERO_ITEM CSL_CITATION {"citationID":"2BW8Ryb6","properties":{"formattedCitation":"[23]","plainCitation":"[23]","noteIndex":0},"citationItems":[{"id":725,"uris":["http://zotero.org/users/11849522/items/K65KAWLX"],"itemData":{"id":725,"type":"post-weblog","container-title":"medicines.org.uk","title":"SAYANA PRESS 104 mg/0.65 ml suspension for injection SmPC","URL":"https://www.medicines.org.uk/emc/product/3148/smpc","author":[{"family":"Pfizer Limited","given":""}],"citation-key":"pfizerlimitedSAYANAPRESS104"}}],"schema":"https://github.com/citation-style-language/schema/raw/master/csl-citation.json"} </w:instrText>
      </w:r>
      <w:r w:rsidR="00590F6E">
        <w:fldChar w:fldCharType="separate"/>
      </w:r>
      <w:r w:rsidR="005A6BA4">
        <w:rPr>
          <w:noProof/>
        </w:rPr>
        <w:t>[23]</w:t>
      </w:r>
      <w:r w:rsidR="00590F6E">
        <w:fldChar w:fldCharType="end"/>
      </w:r>
      <w:r w:rsidR="008044BB">
        <w:t xml:space="preserve">. </w:t>
      </w:r>
      <w:r w:rsidRPr="003A332C">
        <w:t>There was a change in dispensing type, with Depo-Provera (</w:t>
      </w:r>
      <w:r w:rsidR="004513FA">
        <w:t>an intramuscular injection</w:t>
      </w:r>
      <w:r w:rsidRPr="003A332C">
        <w:t>) decreasing to</w:t>
      </w:r>
      <w:r w:rsidR="00EA53FB">
        <w:t xml:space="preserve"> 15.12% (3927 </w:t>
      </w:r>
      <w:r w:rsidR="00096F8E">
        <w:t>MMCC</w:t>
      </w:r>
      <w:r w:rsidR="00EA53FB">
        <w:t>)</w:t>
      </w:r>
      <w:r w:rsidRPr="003A332C">
        <w:t xml:space="preserve"> of pre-pandemic levels </w:t>
      </w:r>
      <w:r w:rsidR="00EA53FB">
        <w:t xml:space="preserve">(25979 </w:t>
      </w:r>
      <w:r w:rsidR="00096F8E">
        <w:t>MMCC</w:t>
      </w:r>
      <w:r w:rsidR="00EA53FB">
        <w:t xml:space="preserve">) </w:t>
      </w:r>
      <w:r w:rsidRPr="003A332C">
        <w:t>during periods of lockdown, and Sayana Press (</w:t>
      </w:r>
      <w:r w:rsidR="004513FA">
        <w:t>a subcutaneous injection</w:t>
      </w:r>
      <w:r w:rsidRPr="003A332C">
        <w:t xml:space="preserve">) </w:t>
      </w:r>
      <w:r w:rsidR="00EA53FB">
        <w:t>decreasing</w:t>
      </w:r>
      <w:r w:rsidRPr="003A332C">
        <w:t xml:space="preserve"> to</w:t>
      </w:r>
      <w:r w:rsidR="00F97D12">
        <w:t xml:space="preserve"> </w:t>
      </w:r>
      <w:r w:rsidR="00EA53FB">
        <w:t xml:space="preserve">80.06% (1189 </w:t>
      </w:r>
      <w:r w:rsidR="00096F8E">
        <w:t>MMCC</w:t>
      </w:r>
      <w:r w:rsidR="00EA53FB">
        <w:t xml:space="preserve">) versus 1485 </w:t>
      </w:r>
      <w:r w:rsidR="00096F8E">
        <w:t>MMCC</w:t>
      </w:r>
      <w:r w:rsidR="00F97D12">
        <w:t>.</w:t>
      </w:r>
      <w:r w:rsidR="00EA53FB">
        <w:t xml:space="preserve"> However, during periods of restrictions</w:t>
      </w:r>
      <w:r w:rsidR="00D8234C">
        <w:t>,</w:t>
      </w:r>
      <w:r w:rsidR="00EA53FB">
        <w:t xml:space="preserve"> the difference becomes apparent: 63.83% (16583 </w:t>
      </w:r>
      <w:r w:rsidR="00096F8E">
        <w:t>MMCC</w:t>
      </w:r>
      <w:r w:rsidR="00EA53FB">
        <w:t>) versus 343.04% (5092.5)</w:t>
      </w:r>
      <w:r w:rsidR="00D8234C">
        <w:t>;</w:t>
      </w:r>
      <w:r w:rsidR="00EA53FB">
        <w:t xml:space="preserve"> 87.68% (22779 </w:t>
      </w:r>
      <w:r w:rsidR="00096F8E">
        <w:t>MMCC</w:t>
      </w:r>
      <w:r w:rsidR="00EA53FB">
        <w:t xml:space="preserve">), 499.05% (7408.5). There has been a rise in mean months of contraceptive coverage dispensed by injection post-COVID-19 (109.91% / 30188 </w:t>
      </w:r>
      <w:r w:rsidR="00096F8E">
        <w:t>MMCC</w:t>
      </w:r>
      <w:r w:rsidR="00EA53FB">
        <w:t>)</w:t>
      </w:r>
      <w:r w:rsidR="00F14F79">
        <w:t>.</w:t>
      </w:r>
    </w:p>
    <w:p w14:paraId="66B036DF" w14:textId="76E4CF5C" w:rsidR="00F27E0C" w:rsidRDefault="00F27E0C" w:rsidP="00C3114B">
      <w:pPr>
        <w:pStyle w:val="Heading2"/>
        <w:numPr>
          <w:ilvl w:val="1"/>
          <w:numId w:val="3"/>
        </w:numPr>
      </w:pPr>
      <w:bookmarkStart w:id="12" w:name="emergency-contraception"/>
      <w:bookmarkEnd w:id="11"/>
      <w:r>
        <w:lastRenderedPageBreak/>
        <w:t>Ring and Patch</w:t>
      </w:r>
    </w:p>
    <w:p w14:paraId="0EC37C84" w14:textId="409C54E4" w:rsidR="00F27E0C" w:rsidRDefault="00F27E0C" w:rsidP="00F27E0C">
      <w:pPr>
        <w:pStyle w:val="BodyText"/>
      </w:pPr>
      <w:r>
        <w:t>The contraceptive ring remains the least-used form of prescribed contraception within Scotland throughout this study (Table S1, S2). It</w:t>
      </w:r>
      <w:r w:rsidR="00CA547C">
        <w:t>,</w:t>
      </w:r>
      <w:r>
        <w:t xml:space="preserve"> too</w:t>
      </w:r>
      <w:r w:rsidR="00CA547C">
        <w:t>,</w:t>
      </w:r>
      <w:r>
        <w:t xml:space="preserve"> was subject to the same trends as found with all other forms of contraception as previously described.</w:t>
      </w:r>
    </w:p>
    <w:p w14:paraId="15D8BDEA" w14:textId="378B0198" w:rsidR="00F27E0C" w:rsidRPr="00F27E0C" w:rsidRDefault="00F27E0C" w:rsidP="00F27E0C">
      <w:pPr>
        <w:pStyle w:val="BodyText"/>
      </w:pPr>
      <w:r>
        <w:t xml:space="preserve">The contraceptive patch is a different story. </w:t>
      </w:r>
      <w:r w:rsidR="005821D8">
        <w:t>The patch is unique amongst the categories of contraception assessed here as it increased in popularity (</w:t>
      </w:r>
      <w:r w:rsidR="005821D8" w:rsidRPr="005821D8">
        <w:t>107.89</w:t>
      </w:r>
      <w:r w:rsidR="005821D8">
        <w:t>% / 95,311 MMCC) compared with pre-COVID-19 levels during the period of restrictions and has increased again in the post-COVID-19 period (165.09% / 145,840 MMCC).</w:t>
      </w:r>
    </w:p>
    <w:p w14:paraId="4E7EB01A" w14:textId="4BD5DDF1" w:rsidR="001B480A" w:rsidRPr="003A332C" w:rsidRDefault="00000000" w:rsidP="00C3114B">
      <w:pPr>
        <w:pStyle w:val="Heading2"/>
        <w:numPr>
          <w:ilvl w:val="1"/>
          <w:numId w:val="3"/>
        </w:numPr>
      </w:pPr>
      <w:r w:rsidRPr="003A332C">
        <w:t>Emergency contraception</w:t>
      </w:r>
    </w:p>
    <w:p w14:paraId="6D36A744" w14:textId="2B649FAF" w:rsidR="001B480A" w:rsidRPr="003A332C" w:rsidRDefault="00000000" w:rsidP="000D730A">
      <w:pPr>
        <w:pStyle w:val="FirstParagraph"/>
      </w:pPr>
      <w:r w:rsidRPr="003A332C">
        <w:t>Emergency contraception is</w:t>
      </w:r>
      <w:r w:rsidR="00CA547C">
        <w:t xml:space="preserve"> available</w:t>
      </w:r>
      <w:r w:rsidRPr="003A332C">
        <w:t xml:space="preserve"> </w:t>
      </w:r>
      <w:r w:rsidR="00CA547C">
        <w:t>free of charge without a prescription from most</w:t>
      </w:r>
      <w:r w:rsidRPr="003A332C">
        <w:t xml:space="preserve"> Scottish community pharmacies</w:t>
      </w:r>
      <w:r w:rsidR="00725CAE" w:rsidRPr="003A332C">
        <w:t xml:space="preserve"> </w:t>
      </w:r>
      <w:r w:rsidR="00725CAE" w:rsidRPr="003A332C">
        <w:fldChar w:fldCharType="begin"/>
      </w:r>
      <w:r w:rsidR="00674F56">
        <w:instrText xml:space="preserve"> ADDIN ZOTERO_ITEM CSL_CITATION {"citationID":"GCV2Befl","properties":{"formattedCitation":"[24]","plainCitation":"[24]","noteIndex":0},"citationItems":[{"id":722,"uris":["http://zotero.org/users/11849522/items/C9DV4E93"],"itemData":{"id":722,"type":"document","publisher":"Community Pharmacy Scotland","title":"Emergency Hormonal Contraception (EHC) Service Service Specification","URL":"https://members.cps.scot/media/e5fbbpn3/109813-ehcservicespec_17sep2015.pdf","author":[{"family":"MacCrimmon","given":"Suzanne"}],"issued":{"date-parts":[["2015"]]},"citation-key":"maccrimmonEmergencyHormonalContraception2015"}}],"schema":"https://github.com/citation-style-language/schema/raw/master/csl-citation.json"} </w:instrText>
      </w:r>
      <w:r w:rsidR="00725CAE" w:rsidRPr="003A332C">
        <w:fldChar w:fldCharType="separate"/>
      </w:r>
      <w:r w:rsidR="005A6BA4">
        <w:rPr>
          <w:noProof/>
        </w:rPr>
        <w:t>[24]</w:t>
      </w:r>
      <w:r w:rsidR="00725CAE" w:rsidRPr="003A332C">
        <w:fldChar w:fldCharType="end"/>
      </w:r>
      <w:r w:rsidRPr="003A332C">
        <w:t xml:space="preserve">. Due to social restrictions present in Scotland, </w:t>
      </w:r>
      <w:r w:rsidR="00CA547C">
        <w:t>emergency contraception dispensing was expected to decrease</w:t>
      </w:r>
      <w:r w:rsidR="00341C56">
        <w:t xml:space="preserve">. Indeed, </w:t>
      </w:r>
      <w:r w:rsidR="00CA547C">
        <w:t>this was the case during both periods of restrictions and lockdowns</w:t>
      </w:r>
      <w:r w:rsidRPr="003A332C">
        <w:t xml:space="preserve"> (Figure 4).</w:t>
      </w:r>
      <w:r w:rsidR="00341C56">
        <w:t xml:space="preserve"> </w:t>
      </w:r>
    </w:p>
    <w:p w14:paraId="64BBC307" w14:textId="77777777" w:rsidR="001B480A" w:rsidRPr="003A332C" w:rsidRDefault="00000000" w:rsidP="00A04103">
      <w:pPr>
        <w:pStyle w:val="CaptionedFigure"/>
      </w:pPr>
      <w:r w:rsidRPr="003A332C">
        <w:rPr>
          <w:noProof/>
        </w:rPr>
        <w:lastRenderedPageBreak/>
        <w:drawing>
          <wp:inline distT="0" distB="0" distL="0" distR="0" wp14:anchorId="46D3B984" wp14:editId="15196B47">
            <wp:extent cx="2669899" cy="3773757"/>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4" name="Pictur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669899" cy="3773757"/>
                    </a:xfrm>
                    <a:prstGeom prst="rect">
                      <a:avLst/>
                    </a:prstGeom>
                    <a:noFill/>
                    <a:ln w="9525">
                      <a:noFill/>
                      <a:headEnd/>
                      <a:tailEnd/>
                    </a:ln>
                  </pic:spPr>
                </pic:pic>
              </a:graphicData>
            </a:graphic>
          </wp:inline>
        </w:drawing>
      </w:r>
    </w:p>
    <w:p w14:paraId="1235CFF8" w14:textId="65B9E52F" w:rsidR="001B480A" w:rsidRPr="00024135" w:rsidRDefault="00A04103" w:rsidP="00A04103">
      <w:pPr>
        <w:pStyle w:val="ImageCaption"/>
        <w:rPr>
          <w:rFonts w:ascii="Helvetica" w:hAnsi="Helvetica"/>
          <w:i w:val="0"/>
          <w:iCs/>
        </w:rPr>
      </w:pPr>
      <w:r w:rsidRPr="00024135">
        <w:rPr>
          <w:rFonts w:ascii="Helvetica" w:hAnsi="Helvetica"/>
          <w:b/>
          <w:bCs/>
          <w:i w:val="0"/>
          <w:iCs/>
        </w:rPr>
        <w:t>Figure 4.</w:t>
      </w:r>
      <w:r w:rsidRPr="00024135">
        <w:rPr>
          <w:rFonts w:ascii="Helvetica" w:hAnsi="Helvetica"/>
          <w:i w:val="0"/>
          <w:iCs/>
        </w:rPr>
        <w:t xml:space="preserve"> </w:t>
      </w:r>
      <w:r w:rsidR="004513FA" w:rsidRPr="00024135">
        <w:rPr>
          <w:rFonts w:ascii="Helvetica" w:hAnsi="Helvetica"/>
          <w:i w:val="0"/>
          <w:iCs/>
        </w:rPr>
        <w:t>Total e</w:t>
      </w:r>
      <w:r w:rsidRPr="00024135">
        <w:rPr>
          <w:rFonts w:ascii="Helvetica" w:hAnsi="Helvetica"/>
          <w:i w:val="0"/>
          <w:iCs/>
        </w:rPr>
        <w:t>mergency contraception</w:t>
      </w:r>
      <w:r w:rsidR="004513FA" w:rsidRPr="00024135">
        <w:rPr>
          <w:rFonts w:ascii="Helvetica" w:hAnsi="Helvetica"/>
          <w:i w:val="0"/>
          <w:iCs/>
        </w:rPr>
        <w:t xml:space="preserve"> dispensing declined drastically during periods of lockdown. In the periods between lockdowns</w:t>
      </w:r>
      <w:r w:rsidR="00D8234C">
        <w:rPr>
          <w:rFonts w:ascii="Helvetica" w:hAnsi="Helvetica"/>
          <w:i w:val="0"/>
          <w:iCs/>
        </w:rPr>
        <w:t>,</w:t>
      </w:r>
      <w:r w:rsidR="004513FA" w:rsidRPr="00024135">
        <w:rPr>
          <w:rFonts w:ascii="Helvetica" w:hAnsi="Helvetica"/>
          <w:i w:val="0"/>
          <w:iCs/>
        </w:rPr>
        <w:t xml:space="preserve"> there was still a marked decline in total emergency contraceptive provision. Conversely, after </w:t>
      </w:r>
      <w:r w:rsidR="001A4E91" w:rsidRPr="00024135">
        <w:rPr>
          <w:rFonts w:ascii="Helvetica" w:hAnsi="Helvetica"/>
          <w:i w:val="0"/>
          <w:iCs/>
        </w:rPr>
        <w:t>COVID-19</w:t>
      </w:r>
      <w:r w:rsidR="004513FA" w:rsidRPr="00024135">
        <w:rPr>
          <w:rFonts w:ascii="Helvetica" w:hAnsi="Helvetica"/>
          <w:i w:val="0"/>
          <w:iCs/>
        </w:rPr>
        <w:t xml:space="preserve"> restrictions were lifted</w:t>
      </w:r>
      <w:r w:rsidR="00FB17EF" w:rsidRPr="00024135">
        <w:rPr>
          <w:rFonts w:ascii="Helvetica" w:hAnsi="Helvetica"/>
          <w:i w:val="0"/>
          <w:iCs/>
        </w:rPr>
        <w:t>,</w:t>
      </w:r>
      <w:r w:rsidR="004513FA" w:rsidRPr="00024135">
        <w:rPr>
          <w:rFonts w:ascii="Helvetica" w:hAnsi="Helvetica"/>
          <w:i w:val="0"/>
          <w:iCs/>
        </w:rPr>
        <w:t xml:space="preserve"> </w:t>
      </w:r>
      <w:r w:rsidR="00BE4D15" w:rsidRPr="00024135">
        <w:rPr>
          <w:rFonts w:ascii="Helvetica" w:hAnsi="Helvetica"/>
          <w:i w:val="0"/>
          <w:iCs/>
        </w:rPr>
        <w:t>total EC dispensing has exceeded pre-</w:t>
      </w:r>
      <w:r w:rsidR="001A4E91" w:rsidRPr="00024135">
        <w:rPr>
          <w:rFonts w:ascii="Helvetica" w:hAnsi="Helvetica"/>
          <w:i w:val="0"/>
          <w:iCs/>
        </w:rPr>
        <w:t>COVID-19</w:t>
      </w:r>
      <w:r w:rsidR="00BE4D15" w:rsidRPr="00024135">
        <w:rPr>
          <w:rFonts w:ascii="Helvetica" w:hAnsi="Helvetica"/>
          <w:i w:val="0"/>
          <w:iCs/>
        </w:rPr>
        <w:t xml:space="preserve"> levels. The proportions of </w:t>
      </w:r>
      <w:r w:rsidR="00FB17EF" w:rsidRPr="00024135">
        <w:rPr>
          <w:rFonts w:ascii="Helvetica" w:hAnsi="Helvetica"/>
          <w:i w:val="0"/>
          <w:iCs/>
        </w:rPr>
        <w:t>ulipristal</w:t>
      </w:r>
      <w:r w:rsidR="00BE4D15" w:rsidRPr="00024135">
        <w:rPr>
          <w:rFonts w:ascii="Helvetica" w:hAnsi="Helvetica"/>
          <w:i w:val="0"/>
          <w:iCs/>
        </w:rPr>
        <w:t xml:space="preserve"> acetate and </w:t>
      </w:r>
      <w:r w:rsidR="00FB17EF" w:rsidRPr="00024135">
        <w:rPr>
          <w:rFonts w:ascii="Helvetica" w:hAnsi="Helvetica"/>
          <w:i w:val="0"/>
          <w:iCs/>
        </w:rPr>
        <w:t>levonorgestrel</w:t>
      </w:r>
      <w:r w:rsidR="00BE4D15" w:rsidRPr="00024135">
        <w:rPr>
          <w:rFonts w:ascii="Helvetica" w:hAnsi="Helvetica"/>
          <w:i w:val="0"/>
          <w:iCs/>
        </w:rPr>
        <w:t xml:space="preserve"> dispensing have reversed. </w:t>
      </w:r>
    </w:p>
    <w:p w14:paraId="0524176F" w14:textId="77777777" w:rsidR="00BE4D15" w:rsidRDefault="00BE4D15">
      <w:bookmarkStart w:id="13" w:name="discussion"/>
      <w:bookmarkEnd w:id="8"/>
      <w:bookmarkEnd w:id="12"/>
    </w:p>
    <w:p w14:paraId="688A3F61" w14:textId="77777777" w:rsidR="00341C56" w:rsidRDefault="00BE4D15" w:rsidP="00341C56">
      <w:pPr>
        <w:pStyle w:val="BodyText"/>
      </w:pPr>
      <w:r w:rsidRPr="00024135">
        <w:t xml:space="preserve">The increase in EC dispensing </w:t>
      </w:r>
      <w:r w:rsidR="00341C56">
        <w:t xml:space="preserve">post-COVID-19 </w:t>
      </w:r>
      <w:r w:rsidRPr="00024135">
        <w:t>versus pre-</w:t>
      </w:r>
      <w:r w:rsidR="001A4E91" w:rsidRPr="00024135">
        <w:t>COVID-19</w:t>
      </w:r>
      <w:r w:rsidRPr="00024135">
        <w:t xml:space="preserve"> levels</w:t>
      </w:r>
      <w:r w:rsidR="00341C56">
        <w:t xml:space="preserve"> potentially</w:t>
      </w:r>
      <w:r w:rsidRPr="00024135">
        <w:t xml:space="preserve"> points to a lack of effective regular contraception due to disrupted access during </w:t>
      </w:r>
      <w:r w:rsidR="001A4E91" w:rsidRPr="00024135">
        <w:t>COVID-19</w:t>
      </w:r>
      <w:r w:rsidRPr="00024135">
        <w:t xml:space="preserve">. However, it is not possible to state this with </w:t>
      </w:r>
      <w:r w:rsidR="00FB17EF" w:rsidRPr="00024135">
        <w:t>certainty</w:t>
      </w:r>
      <w:r w:rsidRPr="00024135">
        <w:t>, as other social factors may underlie this trend.</w:t>
      </w:r>
    </w:p>
    <w:p w14:paraId="32B56A83" w14:textId="59C78D7F" w:rsidR="00BE4D15" w:rsidRDefault="00341C56" w:rsidP="00341C56">
      <w:pPr>
        <w:pStyle w:val="BodyText"/>
      </w:pPr>
      <w:r>
        <w:t xml:space="preserve">Another interesting observation is the change in the most dispensed form of EC from levonorgestrel to ulipristal acetate post-COVID-19. There are a variety of factors which may have led to this change. </w:t>
      </w:r>
      <w:r w:rsidR="00BE4D15" w:rsidRPr="00024135">
        <w:t xml:space="preserve">Potentially </w:t>
      </w:r>
      <w:r w:rsidR="00573E3C" w:rsidRPr="00024135">
        <w:t>patients</w:t>
      </w:r>
      <w:r w:rsidR="00BE4D15" w:rsidRPr="00024135">
        <w:t xml:space="preserve"> presenting later after UPSI means </w:t>
      </w:r>
      <w:r w:rsidR="00BE4D15" w:rsidRPr="00024135">
        <w:lastRenderedPageBreak/>
        <w:t>more likely to be given UP</w:t>
      </w:r>
      <w:r>
        <w:t xml:space="preserve">A. </w:t>
      </w:r>
      <w:r w:rsidR="00166DAD" w:rsidRPr="00024135">
        <w:t>UPA is a P medicine, no need to rely on PGD for POM 1.5mg LEVO</w:t>
      </w:r>
      <w:r>
        <w:t>. However, t</w:t>
      </w:r>
      <w:r w:rsidR="00BD715C" w:rsidRPr="00024135">
        <w:t>his warrants further investigation.</w:t>
      </w:r>
    </w:p>
    <w:p w14:paraId="531B84CC" w14:textId="2C12AD29" w:rsidR="00341C56" w:rsidRDefault="00341C56" w:rsidP="00C3114B">
      <w:pPr>
        <w:pStyle w:val="Heading2"/>
        <w:numPr>
          <w:ilvl w:val="1"/>
          <w:numId w:val="3"/>
        </w:numPr>
      </w:pPr>
      <w:r>
        <w:t>Conclusions</w:t>
      </w:r>
    </w:p>
    <w:p w14:paraId="592C2DB4" w14:textId="022D8EF3" w:rsidR="001B480A" w:rsidRDefault="00000000" w:rsidP="000D730A">
      <w:pPr>
        <w:pStyle w:val="FirstParagraph"/>
      </w:pPr>
      <w:r w:rsidRPr="003A332C">
        <w:t xml:space="preserve">The clear decreases in all forms of prescribed contraceptive provision in Scotland during </w:t>
      </w:r>
      <w:r w:rsidR="001A4E91">
        <w:t>COVID-19</w:t>
      </w:r>
      <w:r w:rsidR="00F27E0C">
        <w:t xml:space="preserve"> lockdowns</w:t>
      </w:r>
      <w:r w:rsidRPr="003A332C">
        <w:t xml:space="preserve"> </w:t>
      </w:r>
      <w:r w:rsidR="00AE12A7">
        <w:t>present</w:t>
      </w:r>
      <w:r w:rsidRPr="003A332C">
        <w:t xml:space="preserve"> a myriad of possible outcomes ranging from </w:t>
      </w:r>
      <w:r w:rsidR="00F27E0C">
        <w:t>unintended</w:t>
      </w:r>
      <w:r w:rsidRPr="003A332C">
        <w:t xml:space="preserve"> pregnancies to</w:t>
      </w:r>
      <w:r w:rsidR="00F27E0C">
        <w:t xml:space="preserve"> increases in terminations.</w:t>
      </w:r>
    </w:p>
    <w:p w14:paraId="0C33EBCE" w14:textId="15EA6778" w:rsidR="00F27E0C" w:rsidRPr="00F27E0C" w:rsidRDefault="00F27E0C" w:rsidP="00F27E0C">
      <w:pPr>
        <w:pStyle w:val="BodyText"/>
      </w:pPr>
      <w:r w:rsidRPr="003A332C">
        <w:t xml:space="preserve">The effects of these restrictions appear to have altered trends in contraceptive prescribing within Scottish general practice. For example, the increasing role of progesterone-only oral contraception </w:t>
      </w:r>
      <w:r>
        <w:t>is</w:t>
      </w:r>
      <w:r w:rsidRPr="003A332C">
        <w:t xml:space="preserve"> </w:t>
      </w:r>
      <w:r>
        <w:t>clearly</w:t>
      </w:r>
      <w:r w:rsidRPr="003A332C">
        <w:t xml:space="preserve"> visible. This is also supported by access to </w:t>
      </w:r>
      <w:r>
        <w:t xml:space="preserve">short-term supplies of </w:t>
      </w:r>
      <w:r w:rsidRPr="003A332C">
        <w:t xml:space="preserve">POPs </w:t>
      </w:r>
      <w:r>
        <w:t xml:space="preserve">without a prescription </w:t>
      </w:r>
      <w:r w:rsidRPr="003A332C">
        <w:t>within community pharmacies in Scotland.</w:t>
      </w:r>
    </w:p>
    <w:p w14:paraId="1676FD38" w14:textId="7195B36D" w:rsidR="001B480A" w:rsidRDefault="00000000" w:rsidP="00F27E0C">
      <w:pPr>
        <w:pStyle w:val="BodyText"/>
      </w:pPr>
      <w:r w:rsidRPr="003A332C">
        <w:t>Telemedicine</w:t>
      </w:r>
      <w:r w:rsidR="00F27E0C">
        <w:t xml:space="preserve">-based contraceptive prescribing has been demonstrated to be effective and safe at a scale unthought-of before COVID-19. Within Scotland, this has the principal advantage of </w:t>
      </w:r>
      <w:r w:rsidRPr="003A332C">
        <w:t xml:space="preserve">easier </w:t>
      </w:r>
      <w:r w:rsidR="00F27E0C">
        <w:t>access to</w:t>
      </w:r>
      <w:r w:rsidRPr="003A332C">
        <w:t xml:space="preserve"> </w:t>
      </w:r>
      <w:r w:rsidR="00F27E0C">
        <w:t xml:space="preserve">sexual and reproductive healthcare professionals for those women living in island and rural communities. Additionally, this may increase </w:t>
      </w:r>
      <w:r w:rsidR="00D936A8">
        <w:t xml:space="preserve">the </w:t>
      </w:r>
      <w:r w:rsidR="00F27E0C">
        <w:t>ease of access to Gaelic-speaking healthcare providers.</w:t>
      </w:r>
    </w:p>
    <w:p w14:paraId="33D43862" w14:textId="6D6C42D0" w:rsidR="00F27E0C" w:rsidRPr="003A332C" w:rsidRDefault="00F27E0C" w:rsidP="00F27E0C">
      <w:pPr>
        <w:pStyle w:val="BodyText"/>
      </w:pPr>
      <w:r>
        <w:t xml:space="preserve">However, the lack of autonomy regarding </w:t>
      </w:r>
      <w:proofErr w:type="gramStart"/>
      <w:r>
        <w:t>LARC</w:t>
      </w:r>
      <w:proofErr w:type="gramEnd"/>
      <w:r>
        <w:t xml:space="preserve"> </w:t>
      </w:r>
    </w:p>
    <w:p w14:paraId="54F64D1F" w14:textId="77777777" w:rsidR="001B480A" w:rsidRPr="003A332C" w:rsidRDefault="00000000" w:rsidP="00C3114B">
      <w:pPr>
        <w:pStyle w:val="Heading2"/>
        <w:numPr>
          <w:ilvl w:val="1"/>
          <w:numId w:val="3"/>
        </w:numPr>
      </w:pPr>
      <w:bookmarkStart w:id="14" w:name="limitations"/>
      <w:r w:rsidRPr="003A332C">
        <w:t>Limitations</w:t>
      </w:r>
    </w:p>
    <w:p w14:paraId="07F97974" w14:textId="77777777" w:rsidR="001B480A" w:rsidRPr="003A332C" w:rsidRDefault="00000000" w:rsidP="000D730A">
      <w:pPr>
        <w:pStyle w:val="FirstParagraph"/>
      </w:pPr>
      <w:r w:rsidRPr="003A332C">
        <w:t>Assumption that any changes observed between 2016 etc are due to lockdown and other restrictions, not due to other unknown factors.</w:t>
      </w:r>
    </w:p>
    <w:p w14:paraId="08B50CCB" w14:textId="2BCD549E" w:rsidR="001B480A" w:rsidRDefault="00000000" w:rsidP="000D730A">
      <w:pPr>
        <w:pStyle w:val="BodyText"/>
      </w:pPr>
      <w:r w:rsidRPr="003A332C">
        <w:lastRenderedPageBreak/>
        <w:t xml:space="preserve">A further assumption is made that the patient population seeking contraception from general </w:t>
      </w:r>
      <w:r w:rsidR="00AE12A7" w:rsidRPr="003A332C">
        <w:t>practi</w:t>
      </w:r>
      <w:r w:rsidR="00AE12A7">
        <w:t>t</w:t>
      </w:r>
      <w:r w:rsidR="00AE12A7" w:rsidRPr="003A332C">
        <w:t>ioners</w:t>
      </w:r>
      <w:r w:rsidRPr="003A332C">
        <w:t xml:space="preserve"> is constant throughout the period of this study, and consequently, variances in prescribing rates between pre and post covid are due to changes in contraceptive prescribing rather than </w:t>
      </w:r>
      <w:r w:rsidR="00AE12A7">
        <w:t>population-level</w:t>
      </w:r>
      <w:r w:rsidRPr="003A332C">
        <w:t xml:space="preserve"> alterations.</w:t>
      </w:r>
      <w:r w:rsidR="004F7FD2" w:rsidRPr="003A332C">
        <w:t xml:space="preserve"> The female population in Scotland is estimated to have increased by ~ 30</w:t>
      </w:r>
      <w:r w:rsidR="00AE12A7">
        <w:t>,</w:t>
      </w:r>
      <w:r w:rsidR="004F7FD2" w:rsidRPr="003A332C">
        <w:t xml:space="preserve">000 people from 2016 to 2021 </w:t>
      </w:r>
      <w:r w:rsidR="00B26D2C">
        <w:fldChar w:fldCharType="begin"/>
      </w:r>
      <w:r w:rsidR="005A6BA4">
        <w:instrText xml:space="preserve"> ADDIN ZOTERO_ITEM CSL_CITATION {"citationID":"wY413GOq","properties":{"formattedCitation":"[25]","plainCitation":"[25]","noteIndex":0},"citationItems":[{"id":741,"uris":["http://zotero.org/users/11849522/items/8EXBQVNM"],"itemData":{"id":741,"type":"post-weblog","URL":"[https://www.nrscotland.gov.uk/statistics-and-data/statistics/statistics-by-theme/population/population-estimates/mid-year-population-estimates/population-estimates-time-series-data]","author":[{"family":"National Records of Scotland","given":""}],"citation-key":"nationalrecordsofscotland"}}],"schema":"https://github.com/citation-style-language/schema/raw/master/csl-citation.json"} </w:instrText>
      </w:r>
      <w:r w:rsidR="00B26D2C">
        <w:fldChar w:fldCharType="separate"/>
      </w:r>
      <w:r w:rsidR="005A6BA4">
        <w:rPr>
          <w:noProof/>
        </w:rPr>
        <w:t>[25]</w:t>
      </w:r>
      <w:r w:rsidR="00B26D2C">
        <w:fldChar w:fldCharType="end"/>
      </w:r>
      <w:r w:rsidR="00B26D2C">
        <w:t xml:space="preserve">. </w:t>
      </w:r>
    </w:p>
    <w:p w14:paraId="39B5F82B" w14:textId="1AC86C91" w:rsidR="00B26D2C" w:rsidRPr="00B26D2C" w:rsidRDefault="00B26D2C" w:rsidP="000D730A">
      <w:pPr>
        <w:pStyle w:val="BodyText"/>
        <w:rPr>
          <w:color w:val="FF0000"/>
        </w:rPr>
      </w:pPr>
      <w:r w:rsidRPr="00B26D2C">
        <w:rPr>
          <w:color w:val="FF0000"/>
        </w:rPr>
        <w:t>Census results come out 14/09. 20 March 2022 = census day.</w:t>
      </w:r>
    </w:p>
    <w:p w14:paraId="24B87D52" w14:textId="3A31DCF1" w:rsidR="001B480A" w:rsidRDefault="00000000" w:rsidP="000D730A">
      <w:pPr>
        <w:pStyle w:val="BodyText"/>
      </w:pPr>
      <w:r w:rsidRPr="003A332C">
        <w:t xml:space="preserve">Finally, it also assumed that the drugs </w:t>
      </w:r>
      <w:r w:rsidR="004F7FD2" w:rsidRPr="003A332C">
        <w:t>dispensed</w:t>
      </w:r>
      <w:r w:rsidRPr="003A332C">
        <w:t xml:space="preserve"> here are used purely for their licenced indication of contraception, not any alternative</w:t>
      </w:r>
      <w:r w:rsidR="003672B5">
        <w:t xml:space="preserve"> </w:t>
      </w:r>
      <w:r w:rsidRPr="003A332C">
        <w:t>off-label uses</w:t>
      </w:r>
      <w:r w:rsidR="003672B5">
        <w:t>. However, it is not possible to exclude medicines dispensed for non-contraceptive uses. Regardless, off-label use likely constitutes a minute proportion of this dataset.</w:t>
      </w:r>
    </w:p>
    <w:p w14:paraId="3646D744" w14:textId="289684C4" w:rsidR="00341C56" w:rsidRPr="003A332C" w:rsidRDefault="00341C56" w:rsidP="00C3114B">
      <w:pPr>
        <w:pStyle w:val="Heading2"/>
        <w:numPr>
          <w:ilvl w:val="1"/>
          <w:numId w:val="3"/>
        </w:numPr>
      </w:pPr>
      <w:r>
        <w:t>Future directions</w:t>
      </w:r>
    </w:p>
    <w:p w14:paraId="23A47B50" w14:textId="0E7A6EC1" w:rsidR="00167A13" w:rsidRPr="00341C56" w:rsidRDefault="00000000" w:rsidP="00341C56">
      <w:pPr>
        <w:pStyle w:val="BodyText"/>
      </w:pPr>
      <w:r w:rsidRPr="003A332C">
        <w:t xml:space="preserve">Only data from Scotland were included in this study. Future work may explore if these impacts were similar in the other nations of the UK or whether the devolved nature of healthcare policy within the UK created disparities in access to </w:t>
      </w:r>
      <w:r w:rsidR="004F7FD2" w:rsidRPr="003A332C">
        <w:t>contraception</w:t>
      </w:r>
      <w:r w:rsidRPr="003A332C">
        <w:t xml:space="preserve"> during </w:t>
      </w:r>
      <w:r w:rsidR="001A4E91">
        <w:t>COVID-19</w:t>
      </w:r>
      <w:r w:rsidRPr="003A332C">
        <w:t xml:space="preserve"> restrictions.</w:t>
      </w:r>
      <w:r w:rsidR="003672B5">
        <w:t xml:space="preserve"> It would be intriguing </w:t>
      </w:r>
      <w:r w:rsidR="00AE12A7">
        <w:t xml:space="preserve">to see </w:t>
      </w:r>
      <w:r w:rsidR="003672B5">
        <w:t>whether other countries have experienced similar shifts in contraceptive prescribing due to COVID-19.</w:t>
      </w:r>
      <w:bookmarkStart w:id="15" w:name="reference-list"/>
      <w:bookmarkEnd w:id="13"/>
      <w:bookmarkEnd w:id="14"/>
      <w:r w:rsidR="00AE12A7">
        <w:t>x</w:t>
      </w:r>
      <w:r w:rsidR="00167A13">
        <w:br w:type="page"/>
      </w:r>
    </w:p>
    <w:p w14:paraId="05AEBAF4" w14:textId="1943D74B" w:rsidR="009D2113" w:rsidRDefault="00024135" w:rsidP="009D2113">
      <w:pPr>
        <w:pStyle w:val="Heading1"/>
        <w:numPr>
          <w:ilvl w:val="0"/>
          <w:numId w:val="3"/>
        </w:numPr>
      </w:pPr>
      <w:r>
        <w:lastRenderedPageBreak/>
        <w:t>Acknowledgements</w:t>
      </w:r>
    </w:p>
    <w:p w14:paraId="36C10ABC" w14:textId="1591FB79" w:rsidR="00B312EB" w:rsidRPr="00B312EB" w:rsidRDefault="00B312EB" w:rsidP="00B312EB">
      <w:pPr>
        <w:pStyle w:val="BodyText"/>
      </w:pPr>
      <w:r>
        <w:t>With thanks to Dr Kasia Banas at the University of Edinburgh</w:t>
      </w:r>
      <w:r w:rsidR="00024135">
        <w:t>,</w:t>
      </w:r>
      <w:r>
        <w:t xml:space="preserve"> whose excellent data science course inspired this article.</w:t>
      </w:r>
    </w:p>
    <w:p w14:paraId="1D207781" w14:textId="44E44EC5" w:rsidR="009D2113" w:rsidRPr="003A332C" w:rsidRDefault="009D2113" w:rsidP="00C3114B">
      <w:pPr>
        <w:pStyle w:val="Heading2"/>
        <w:numPr>
          <w:ilvl w:val="1"/>
          <w:numId w:val="3"/>
        </w:numPr>
      </w:pPr>
      <w:r w:rsidRPr="003A332C">
        <w:t>Funding</w:t>
      </w:r>
    </w:p>
    <w:p w14:paraId="0FE43796" w14:textId="1461724F" w:rsidR="00A04103" w:rsidRPr="00B312EB" w:rsidRDefault="009D2113" w:rsidP="00B312EB">
      <w:pPr>
        <w:pStyle w:val="BodyText"/>
      </w:pPr>
      <w:r w:rsidRPr="00B312EB">
        <w:t>This research did not receive any specific grant from funding agencies in the public, commercial, or not-for-profit sectors.</w:t>
      </w:r>
      <w:r w:rsidR="00A04103" w:rsidRPr="00B312EB">
        <w:br w:type="page"/>
      </w:r>
    </w:p>
    <w:p w14:paraId="080A1F77" w14:textId="7104AC53" w:rsidR="00E6639F" w:rsidRPr="003A332C" w:rsidRDefault="00000000" w:rsidP="00190893">
      <w:pPr>
        <w:pStyle w:val="Heading1"/>
      </w:pPr>
      <w:r w:rsidRPr="003A332C">
        <w:lastRenderedPageBreak/>
        <w:t>Reference List</w:t>
      </w:r>
    </w:p>
    <w:p w14:paraId="43A1A4F0" w14:textId="77777777" w:rsidR="00674F56" w:rsidRPr="00674F56" w:rsidRDefault="00190893" w:rsidP="00674F56">
      <w:pPr>
        <w:pStyle w:val="Bibliography"/>
        <w:rPr>
          <w:rFonts w:cs="Times New Roman"/>
        </w:rPr>
      </w:pPr>
      <w:r w:rsidRPr="003A332C">
        <w:fldChar w:fldCharType="begin"/>
      </w:r>
      <w:r w:rsidR="00674F56">
        <w:instrText xml:space="preserve"> ADDIN ZOTERO_BIBL {"uncited":[],"omitted":[],"custom":[]} CSL_BIBLIOGRAPHY </w:instrText>
      </w:r>
      <w:r w:rsidRPr="003A332C">
        <w:fldChar w:fldCharType="separate"/>
      </w:r>
      <w:r w:rsidR="00674F56" w:rsidRPr="00674F56">
        <w:rPr>
          <w:rFonts w:cs="Times New Roman"/>
        </w:rPr>
        <w:t>[1]</w:t>
      </w:r>
      <w:r w:rsidR="00674F56" w:rsidRPr="00674F56">
        <w:rPr>
          <w:rFonts w:cs="Times New Roman"/>
        </w:rPr>
        <w:tab/>
        <w:t>Yousaf H. NHS Recovery Plan 2021-2026 2021.</w:t>
      </w:r>
    </w:p>
    <w:p w14:paraId="2B415392" w14:textId="77777777" w:rsidR="00674F56" w:rsidRPr="00674F56" w:rsidRDefault="00674F56" w:rsidP="00674F56">
      <w:pPr>
        <w:pStyle w:val="Bibliography"/>
        <w:rPr>
          <w:rFonts w:cs="Times New Roman"/>
        </w:rPr>
      </w:pPr>
      <w:r w:rsidRPr="00674F56">
        <w:rPr>
          <w:rFonts w:cs="Times New Roman"/>
        </w:rPr>
        <w:t>[2]</w:t>
      </w:r>
      <w:r w:rsidRPr="00674F56">
        <w:rPr>
          <w:rFonts w:cs="Times New Roman"/>
        </w:rPr>
        <w:tab/>
        <w:t>Wherton J, Greenhalgh T, Shaw SE. Expanding Video Consultation Services at Pace and Scale in Scotland During the COVID-19 Pandemic: National Mixed Methods Case Study. J Med Internet Res 2021;23:e31374. https://doi.org/10.2196/31374.</w:t>
      </w:r>
    </w:p>
    <w:p w14:paraId="042FCD5A" w14:textId="77777777" w:rsidR="00674F56" w:rsidRPr="00674F56" w:rsidRDefault="00674F56" w:rsidP="00674F56">
      <w:pPr>
        <w:pStyle w:val="Bibliography"/>
        <w:rPr>
          <w:rFonts w:cs="Times New Roman"/>
        </w:rPr>
      </w:pPr>
      <w:r w:rsidRPr="00674F56">
        <w:rPr>
          <w:rFonts w:cs="Times New Roman"/>
        </w:rPr>
        <w:t>[3]</w:t>
      </w:r>
      <w:r w:rsidRPr="00674F56">
        <w:rPr>
          <w:rFonts w:cs="Times New Roman"/>
        </w:rPr>
        <w:tab/>
        <w:t>Lewis R, Blake C, McMellon C, Riddell J, Graham C, Mitchell K. Understanding young people’s use and non-use of condoms and contraception. A co-developed, mixed-methods study with 16-24 year olds in Scotland. Final report from CONUNDRUM (CONdom and CONtraception UNDerstandings: Researching Uptake and Motivations) young people’s use and non-use of condoms and contraception. 2021.</w:t>
      </w:r>
    </w:p>
    <w:p w14:paraId="38E5A9D9" w14:textId="77777777" w:rsidR="00674F56" w:rsidRPr="00674F56" w:rsidRDefault="00674F56" w:rsidP="00674F56">
      <w:pPr>
        <w:pStyle w:val="Bibliography"/>
        <w:rPr>
          <w:rFonts w:cs="Times New Roman"/>
        </w:rPr>
      </w:pPr>
      <w:r w:rsidRPr="00674F56">
        <w:rPr>
          <w:rFonts w:cs="Times New Roman"/>
        </w:rPr>
        <w:t>[4]</w:t>
      </w:r>
      <w:r w:rsidRPr="00674F56">
        <w:rPr>
          <w:rFonts w:cs="Times New Roman"/>
        </w:rPr>
        <w:tab/>
        <w:t>Grisewood A. Covid-19: Guidance on Planning and Responding to Primary Care GP Practice Capacity Challenges 2020.</w:t>
      </w:r>
    </w:p>
    <w:p w14:paraId="5DB1AD7E" w14:textId="77777777" w:rsidR="00674F56" w:rsidRPr="00674F56" w:rsidRDefault="00674F56" w:rsidP="00674F56">
      <w:pPr>
        <w:pStyle w:val="Bibliography"/>
        <w:rPr>
          <w:rFonts w:cs="Times New Roman"/>
        </w:rPr>
      </w:pPr>
      <w:r w:rsidRPr="00674F56">
        <w:rPr>
          <w:rFonts w:cs="Times New Roman"/>
        </w:rPr>
        <w:t>[5]</w:t>
      </w:r>
      <w:r w:rsidRPr="00674F56">
        <w:rPr>
          <w:rFonts w:cs="Times New Roman"/>
        </w:rPr>
        <w:tab/>
        <w:t>FSRH. Essential Services in Sexual and Reproductive Healthcare 2020.</w:t>
      </w:r>
    </w:p>
    <w:p w14:paraId="04599571" w14:textId="77777777" w:rsidR="00674F56" w:rsidRPr="00674F56" w:rsidRDefault="00674F56" w:rsidP="00674F56">
      <w:pPr>
        <w:pStyle w:val="Bibliography"/>
        <w:rPr>
          <w:rFonts w:cs="Times New Roman"/>
        </w:rPr>
      </w:pPr>
      <w:r w:rsidRPr="00674F56">
        <w:rPr>
          <w:rFonts w:cs="Times New Roman"/>
        </w:rPr>
        <w:t>[6]</w:t>
      </w:r>
      <w:r w:rsidRPr="00674F56">
        <w:rPr>
          <w:rFonts w:cs="Times New Roman"/>
        </w:rPr>
        <w:tab/>
        <w:t>Walker SH. Effect of the COVID-19 pandemic on contraceptive prescribing in general practice: a retrospective analysis of English prescribing data between 2019 and 2020. Contracept Reprod Med 2022;7:3. https://doi.org/10.1186/s40834-022-00169-w.</w:t>
      </w:r>
    </w:p>
    <w:p w14:paraId="7BC6BB48" w14:textId="77777777" w:rsidR="00674F56" w:rsidRPr="00674F56" w:rsidRDefault="00674F56" w:rsidP="00674F56">
      <w:pPr>
        <w:pStyle w:val="Bibliography"/>
        <w:rPr>
          <w:rFonts w:cs="Times New Roman"/>
        </w:rPr>
      </w:pPr>
      <w:r w:rsidRPr="00674F56">
        <w:rPr>
          <w:rFonts w:cs="Times New Roman"/>
        </w:rPr>
        <w:t>[7]</w:t>
      </w:r>
      <w:r w:rsidRPr="00674F56">
        <w:rPr>
          <w:rFonts w:cs="Times New Roman"/>
        </w:rPr>
        <w:tab/>
        <w:t>Balachandren N, Barrett G, Stephenson JM, Yasmin E, Mavrelos D, Davies M, et al. Impact of the SARS-CoV-2 pandemic on access to contraception and pregnancy intentions: a national prospective cohort study of the UK population. BMJ Sex Reprod Health 2022;48:60–5. https://doi.org/10.1136/bmjsrh-2021-201164.</w:t>
      </w:r>
    </w:p>
    <w:p w14:paraId="120BB1F2" w14:textId="77777777" w:rsidR="00674F56" w:rsidRPr="00674F56" w:rsidRDefault="00674F56" w:rsidP="00674F56">
      <w:pPr>
        <w:pStyle w:val="Bibliography"/>
        <w:rPr>
          <w:rFonts w:cs="Times New Roman"/>
        </w:rPr>
      </w:pPr>
      <w:r w:rsidRPr="00674F56">
        <w:rPr>
          <w:rFonts w:cs="Times New Roman"/>
        </w:rPr>
        <w:t>[8]</w:t>
      </w:r>
      <w:r w:rsidRPr="00674F56">
        <w:rPr>
          <w:rFonts w:cs="Times New Roman"/>
        </w:rPr>
        <w:tab/>
        <w:t>Hammond N, Steels S, King G. Contraceptive and pregnancy concerns in the UK during the first COVID-19 lockdown: A rapid study. Sex Reprod Healthc Off J Swed Assoc Midwives 2022;33:100754. https://doi.org/10.1016/j.srhc.2022.100754.</w:t>
      </w:r>
    </w:p>
    <w:p w14:paraId="65B63CE5" w14:textId="77777777" w:rsidR="00674F56" w:rsidRPr="00674F56" w:rsidRDefault="00674F56" w:rsidP="00674F56">
      <w:pPr>
        <w:pStyle w:val="Bibliography"/>
        <w:rPr>
          <w:rFonts w:cs="Times New Roman"/>
        </w:rPr>
      </w:pPr>
      <w:r w:rsidRPr="00674F56">
        <w:rPr>
          <w:rFonts w:cs="Times New Roman"/>
        </w:rPr>
        <w:t>[9]</w:t>
      </w:r>
      <w:r w:rsidRPr="00674F56">
        <w:rPr>
          <w:rFonts w:cs="Times New Roman"/>
        </w:rPr>
        <w:tab/>
        <w:t>Wood SN, Milkovich R, Thiongo M, Gichangi P, Byrne ME, Devoto B, et al. Disruptions to youth contraceptive use during COVID-19: Mixed-methods results from Nairobi, Kenya. PLOS Glob Public Health 2023;3:e0001005. https://doi.org/10.1371/journal.pgph.0001005.</w:t>
      </w:r>
    </w:p>
    <w:p w14:paraId="1B4B0EEF" w14:textId="77777777" w:rsidR="00674F56" w:rsidRPr="00674F56" w:rsidRDefault="00674F56" w:rsidP="00674F56">
      <w:pPr>
        <w:pStyle w:val="Bibliography"/>
        <w:rPr>
          <w:rFonts w:cs="Times New Roman"/>
        </w:rPr>
      </w:pPr>
      <w:r w:rsidRPr="00674F56">
        <w:rPr>
          <w:rFonts w:cs="Times New Roman"/>
          <w:lang w:val="fr-FR"/>
        </w:rPr>
        <w:t>[10]</w:t>
      </w:r>
      <w:r w:rsidRPr="00674F56">
        <w:rPr>
          <w:rFonts w:cs="Times New Roman"/>
          <w:lang w:val="fr-FR"/>
        </w:rPr>
        <w:tab/>
        <w:t xml:space="preserve">Roland N, Drouin J, Desplas D, Duranteau L, Cuenot F, Dray-Spira R, et al. </w:t>
      </w:r>
      <w:r w:rsidRPr="00674F56">
        <w:rPr>
          <w:rFonts w:cs="Times New Roman"/>
        </w:rPr>
        <w:t>Impact of coronavirus disease 2019 on contraception use in France. Therapies 2023. https://doi.org/10.1016/j.therap.2023.01.002.</w:t>
      </w:r>
    </w:p>
    <w:p w14:paraId="2988B653" w14:textId="77777777" w:rsidR="00674F56" w:rsidRPr="00674F56" w:rsidRDefault="00674F56" w:rsidP="00674F56">
      <w:pPr>
        <w:pStyle w:val="Bibliography"/>
        <w:rPr>
          <w:rFonts w:cs="Times New Roman"/>
        </w:rPr>
      </w:pPr>
      <w:r w:rsidRPr="00674F56">
        <w:rPr>
          <w:rFonts w:cs="Times New Roman"/>
        </w:rPr>
        <w:t>[11]</w:t>
      </w:r>
      <w:r w:rsidRPr="00674F56">
        <w:rPr>
          <w:rFonts w:cs="Times New Roman"/>
        </w:rPr>
        <w:tab/>
        <w:t>Cousins S. COVID-19 has “devastating” effect on women and girls. The Lancet 2020;396:301–2. https://doi.org/10.1016/S0140-6736(20)31679-2.</w:t>
      </w:r>
    </w:p>
    <w:p w14:paraId="7CC75D46" w14:textId="77777777" w:rsidR="00674F56" w:rsidRPr="00674F56" w:rsidRDefault="00674F56" w:rsidP="00674F56">
      <w:pPr>
        <w:pStyle w:val="Bibliography"/>
        <w:rPr>
          <w:rFonts w:cs="Times New Roman"/>
        </w:rPr>
      </w:pPr>
      <w:r w:rsidRPr="00674F56">
        <w:rPr>
          <w:rFonts w:cs="Times New Roman"/>
        </w:rPr>
        <w:t>[12]</w:t>
      </w:r>
      <w:r w:rsidRPr="00674F56">
        <w:rPr>
          <w:rFonts w:cs="Times New Roman"/>
        </w:rPr>
        <w:tab/>
        <w:t>Geleto A, Taylor J, Beyene T. Interruptions in contraception and unintended pregnancy during the COVID-19 pandemic: A protocol for systematic review and meta-analysis. Womens Health 2023;19:17455057221147382. https://doi.org/10.1177/17455057221147382.</w:t>
      </w:r>
    </w:p>
    <w:p w14:paraId="07523F71" w14:textId="77777777" w:rsidR="00674F56" w:rsidRPr="00674F56" w:rsidRDefault="00674F56" w:rsidP="00674F56">
      <w:pPr>
        <w:pStyle w:val="Bibliography"/>
        <w:rPr>
          <w:rFonts w:cs="Times New Roman"/>
        </w:rPr>
      </w:pPr>
      <w:r w:rsidRPr="00674F56">
        <w:rPr>
          <w:rFonts w:cs="Times New Roman"/>
        </w:rPr>
        <w:t>[13]</w:t>
      </w:r>
      <w:r w:rsidRPr="00674F56">
        <w:rPr>
          <w:rFonts w:cs="Times New Roman"/>
        </w:rPr>
        <w:tab/>
        <w:t>R Core Team. R V4.3.0: A Language and Environment for Statistical Computing. 2023.</w:t>
      </w:r>
    </w:p>
    <w:p w14:paraId="79589303" w14:textId="77777777" w:rsidR="00674F56" w:rsidRPr="00674F56" w:rsidRDefault="00674F56" w:rsidP="00674F56">
      <w:pPr>
        <w:pStyle w:val="Bibliography"/>
        <w:rPr>
          <w:rFonts w:cs="Times New Roman"/>
        </w:rPr>
      </w:pPr>
      <w:r w:rsidRPr="00674F56">
        <w:rPr>
          <w:rFonts w:cs="Times New Roman"/>
        </w:rPr>
        <w:lastRenderedPageBreak/>
        <w:t>[14]</w:t>
      </w:r>
      <w:r w:rsidRPr="00674F56">
        <w:rPr>
          <w:rFonts w:cs="Times New Roman"/>
        </w:rPr>
        <w:tab/>
        <w:t>Joint Formulary Committee. Nonoxinol. London, UK: BMJ; Pharmaceutical Press; 2023.</w:t>
      </w:r>
    </w:p>
    <w:p w14:paraId="560CC66F" w14:textId="77777777" w:rsidR="00674F56" w:rsidRPr="00674F56" w:rsidRDefault="00674F56" w:rsidP="00674F56">
      <w:pPr>
        <w:pStyle w:val="Bibliography"/>
        <w:rPr>
          <w:rFonts w:cs="Times New Roman"/>
        </w:rPr>
      </w:pPr>
      <w:r w:rsidRPr="00674F56">
        <w:rPr>
          <w:rFonts w:cs="Times New Roman"/>
        </w:rPr>
        <w:t>[15]</w:t>
      </w:r>
      <w:r w:rsidRPr="00674F56">
        <w:rPr>
          <w:rFonts w:cs="Times New Roman"/>
        </w:rPr>
        <w:tab/>
        <w:t>Scottish Parliament Information Centre. Timeline of Coronavirus (COVID-19) in Scotland. SPICe Spotlight 2023. https://spice-spotlight.scot/2023/05/10/timeline-of-coronavirus-covid-19-in-scotland/.</w:t>
      </w:r>
    </w:p>
    <w:p w14:paraId="43258330" w14:textId="77777777" w:rsidR="00674F56" w:rsidRPr="00674F56" w:rsidRDefault="00674F56" w:rsidP="00674F56">
      <w:pPr>
        <w:pStyle w:val="Bibliography"/>
        <w:rPr>
          <w:rFonts w:cs="Times New Roman"/>
        </w:rPr>
      </w:pPr>
      <w:r w:rsidRPr="00674F56">
        <w:rPr>
          <w:rFonts w:cs="Times New Roman"/>
        </w:rPr>
        <w:t>[16]</w:t>
      </w:r>
      <w:r w:rsidRPr="00674F56">
        <w:rPr>
          <w:rFonts w:cs="Times New Roman"/>
        </w:rPr>
        <w:tab/>
        <w:t>Scottish Government. Covid-19 Framework for Decision Making - Scotland’s route map through and out of the crisis 2020.</w:t>
      </w:r>
    </w:p>
    <w:p w14:paraId="1126B3BD" w14:textId="77777777" w:rsidR="00674F56" w:rsidRPr="00674F56" w:rsidRDefault="00674F56" w:rsidP="00674F56">
      <w:pPr>
        <w:pStyle w:val="Bibliography"/>
        <w:rPr>
          <w:rFonts w:cs="Times New Roman"/>
        </w:rPr>
      </w:pPr>
      <w:r w:rsidRPr="00674F56">
        <w:rPr>
          <w:rFonts w:cs="Times New Roman"/>
        </w:rPr>
        <w:t>[17]</w:t>
      </w:r>
      <w:r w:rsidRPr="00674F56">
        <w:rPr>
          <w:rFonts w:cs="Times New Roman"/>
        </w:rPr>
        <w:tab/>
        <w:t>FSRH. UK MEDICAL ELIGIBILITY CRITERIA FOR CONTRACEPTIVE USE | UKMEC 2016 (AMENDED SEPTEMBER 2019) 2019.</w:t>
      </w:r>
    </w:p>
    <w:p w14:paraId="14CA1156" w14:textId="77777777" w:rsidR="00674F56" w:rsidRPr="00674F56" w:rsidRDefault="00674F56" w:rsidP="00674F56">
      <w:pPr>
        <w:pStyle w:val="Bibliography"/>
        <w:rPr>
          <w:rFonts w:cs="Times New Roman"/>
        </w:rPr>
      </w:pPr>
      <w:r w:rsidRPr="00674F56">
        <w:rPr>
          <w:rFonts w:cs="Times New Roman"/>
        </w:rPr>
        <w:t>[18]</w:t>
      </w:r>
      <w:r w:rsidRPr="00674F56">
        <w:rPr>
          <w:rFonts w:cs="Times New Roman"/>
        </w:rPr>
        <w:tab/>
        <w:t>FSRH. FSRH Guideline (January 2019, amended November 2020) Combined Hormonal Contraception. BMJ Sex Reprod Health 2019;45:1–93. https://doi.org/10.1136/bmjsrh-2018-CHC.</w:t>
      </w:r>
    </w:p>
    <w:p w14:paraId="2707C225" w14:textId="77777777" w:rsidR="00674F56" w:rsidRPr="00674F56" w:rsidRDefault="00674F56" w:rsidP="00674F56">
      <w:pPr>
        <w:pStyle w:val="Bibliography"/>
        <w:rPr>
          <w:rFonts w:cs="Times New Roman"/>
        </w:rPr>
      </w:pPr>
      <w:r w:rsidRPr="00674F56">
        <w:rPr>
          <w:rFonts w:cs="Times New Roman"/>
        </w:rPr>
        <w:t>[19]</w:t>
      </w:r>
      <w:r w:rsidRPr="00674F56">
        <w:rPr>
          <w:rFonts w:cs="Times New Roman"/>
        </w:rPr>
        <w:tab/>
        <w:t>FSRH. FSRH Guideline (August 2022) Progestogen-only Pills. BMJ Sex Reprod Health 2022;48:1–75. https://doi.org/10.1136/bmjsrh-2022-PoP.</w:t>
      </w:r>
    </w:p>
    <w:p w14:paraId="6FAFDE3B" w14:textId="77777777" w:rsidR="00674F56" w:rsidRPr="00674F56" w:rsidRDefault="00674F56" w:rsidP="00674F56">
      <w:pPr>
        <w:pStyle w:val="Bibliography"/>
        <w:rPr>
          <w:rFonts w:cs="Times New Roman"/>
        </w:rPr>
      </w:pPr>
      <w:r w:rsidRPr="00674F56">
        <w:rPr>
          <w:rFonts w:cs="Times New Roman"/>
        </w:rPr>
        <w:t>[20]</w:t>
      </w:r>
      <w:r w:rsidRPr="00674F56">
        <w:rPr>
          <w:rFonts w:cs="Times New Roman"/>
        </w:rPr>
        <w:tab/>
        <w:t>FSRH CEU. FSRH CEU clinical advice to support provision of effective contraception during the COVID-19 outbreak 2020.</w:t>
      </w:r>
    </w:p>
    <w:p w14:paraId="48ED60A3" w14:textId="77777777" w:rsidR="00674F56" w:rsidRPr="00674F56" w:rsidRDefault="00674F56" w:rsidP="00674F56">
      <w:pPr>
        <w:pStyle w:val="Bibliography"/>
        <w:rPr>
          <w:rFonts w:cs="Times New Roman"/>
        </w:rPr>
      </w:pPr>
      <w:r w:rsidRPr="00674F56">
        <w:rPr>
          <w:rFonts w:cs="Times New Roman"/>
        </w:rPr>
        <w:t>[21]</w:t>
      </w:r>
      <w:r w:rsidRPr="00674F56">
        <w:rPr>
          <w:rFonts w:cs="Times New Roman"/>
        </w:rPr>
        <w:tab/>
        <w:t>FSRH. FSRH Guideline (December 2014, December 2014, amended July 2023) Progestogen-only Injectable Contraception 2023.</w:t>
      </w:r>
    </w:p>
    <w:p w14:paraId="55A139EF" w14:textId="77777777" w:rsidR="00674F56" w:rsidRPr="00674F56" w:rsidRDefault="00674F56" w:rsidP="00674F56">
      <w:pPr>
        <w:pStyle w:val="Bibliography"/>
        <w:rPr>
          <w:rFonts w:cs="Times New Roman"/>
        </w:rPr>
      </w:pPr>
      <w:r w:rsidRPr="00674F56">
        <w:rPr>
          <w:rFonts w:cs="Times New Roman"/>
        </w:rPr>
        <w:t>[22]</w:t>
      </w:r>
      <w:r w:rsidRPr="00674F56">
        <w:rPr>
          <w:rFonts w:cs="Times New Roman"/>
        </w:rPr>
        <w:tab/>
        <w:t>FSRH. FSRH Guideline (February 2021) Progestogen-only Implant. BMJ Sex Reprod Health 2021;47:1–62. https://doi.org/10.1136/bmjsrh-2021-CHC.</w:t>
      </w:r>
    </w:p>
    <w:p w14:paraId="2538752B" w14:textId="77777777" w:rsidR="00674F56" w:rsidRPr="00674F56" w:rsidRDefault="00674F56" w:rsidP="00674F56">
      <w:pPr>
        <w:pStyle w:val="Bibliography"/>
        <w:rPr>
          <w:rFonts w:cs="Times New Roman"/>
        </w:rPr>
      </w:pPr>
      <w:r w:rsidRPr="00674F56">
        <w:rPr>
          <w:rFonts w:cs="Times New Roman"/>
        </w:rPr>
        <w:t>[23]</w:t>
      </w:r>
      <w:r w:rsidRPr="00674F56">
        <w:rPr>
          <w:rFonts w:cs="Times New Roman"/>
        </w:rPr>
        <w:tab/>
        <w:t>Pfizer Limited. SAYANA PRESS 104 mg/0.65 ml suspension for injection SmPC. MedicinesOrgUk n.d. https://www.medicines.org.uk/emc/product/3148/smpc.</w:t>
      </w:r>
    </w:p>
    <w:p w14:paraId="01F3C951" w14:textId="77777777" w:rsidR="00674F56" w:rsidRPr="00674F56" w:rsidRDefault="00674F56" w:rsidP="00674F56">
      <w:pPr>
        <w:pStyle w:val="Bibliography"/>
        <w:rPr>
          <w:rFonts w:cs="Times New Roman"/>
        </w:rPr>
      </w:pPr>
      <w:r w:rsidRPr="00674F56">
        <w:rPr>
          <w:rFonts w:cs="Times New Roman"/>
        </w:rPr>
        <w:t>[24]</w:t>
      </w:r>
      <w:r w:rsidRPr="00674F56">
        <w:rPr>
          <w:rFonts w:cs="Times New Roman"/>
        </w:rPr>
        <w:tab/>
        <w:t>MacCrimmon S. Emergency Hormonal Contraception (EHC) Service Service Specification 2015.</w:t>
      </w:r>
    </w:p>
    <w:p w14:paraId="007EE1FA" w14:textId="77777777" w:rsidR="00674F56" w:rsidRPr="00674F56" w:rsidRDefault="00674F56" w:rsidP="00674F56">
      <w:pPr>
        <w:pStyle w:val="Bibliography"/>
        <w:rPr>
          <w:rFonts w:cs="Times New Roman"/>
        </w:rPr>
      </w:pPr>
      <w:r w:rsidRPr="00674F56">
        <w:rPr>
          <w:rFonts w:cs="Times New Roman"/>
        </w:rPr>
        <w:t>[25]</w:t>
      </w:r>
      <w:r w:rsidRPr="00674F56">
        <w:rPr>
          <w:rFonts w:cs="Times New Roman"/>
        </w:rPr>
        <w:tab/>
        <w:t>National Records of Scotland. n.d. [https://www.nrscotland.gov.uk/statistics-and-data/statistics/statistics-by-theme/population/population-estimates/mid-year-population-estimates/population-estimates-time-series-data].</w:t>
      </w:r>
    </w:p>
    <w:p w14:paraId="4F6965CD" w14:textId="3CFF3CD5" w:rsidR="006B0A2A" w:rsidRPr="006B0A2A" w:rsidRDefault="00190893" w:rsidP="006B0A2A">
      <w:pPr>
        <w:pStyle w:val="Heading1"/>
      </w:pPr>
      <w:r w:rsidRPr="003A332C">
        <w:fldChar w:fldCharType="end"/>
      </w:r>
      <w:bookmarkStart w:id="16" w:name="supporting-information"/>
      <w:bookmarkEnd w:id="15"/>
      <w:r w:rsidR="006B0A2A">
        <w:br w:type="page"/>
      </w:r>
    </w:p>
    <w:p w14:paraId="16055D7C" w14:textId="7D1CA817" w:rsidR="001B480A" w:rsidRDefault="00190893" w:rsidP="003672B5">
      <w:pPr>
        <w:pStyle w:val="Heading1"/>
        <w:numPr>
          <w:ilvl w:val="0"/>
          <w:numId w:val="3"/>
        </w:numPr>
      </w:pPr>
      <w:r w:rsidRPr="003A332C">
        <w:lastRenderedPageBreak/>
        <w:t>Supporting information</w:t>
      </w:r>
      <w:bookmarkEnd w:id="16"/>
    </w:p>
    <w:p w14:paraId="709031A5" w14:textId="2B4E76DB" w:rsidR="00DC7618" w:rsidRDefault="00DC7618" w:rsidP="00C3114B">
      <w:pPr>
        <w:pStyle w:val="Heading2"/>
        <w:numPr>
          <w:ilvl w:val="1"/>
          <w:numId w:val="3"/>
        </w:numPr>
      </w:pPr>
      <w:r>
        <w:t>SQL Query</w:t>
      </w:r>
    </w:p>
    <w:p w14:paraId="3E358CD5" w14:textId="00601D44" w:rsidR="00553156" w:rsidRDefault="00DC7618" w:rsidP="00553156">
      <w:pPr>
        <w:pStyle w:val="BodyText"/>
        <w:rPr>
          <w:rFonts w:ascii="IntelOne Mono" w:hAnsi="IntelOne Mono"/>
        </w:rPr>
        <w:sectPr w:rsidR="00553156" w:rsidSect="00A04103">
          <w:footerReference w:type="even" r:id="rId15"/>
          <w:footerReference w:type="default" r:id="rId16"/>
          <w:type w:val="continuous"/>
          <w:pgSz w:w="12240" w:h="15840"/>
          <w:pgMar w:top="1440" w:right="1440" w:bottom="1440" w:left="1440" w:header="720" w:footer="720" w:gutter="0"/>
          <w:lnNumType w:countBy="1" w:restart="continuous"/>
          <w:cols w:space="720"/>
        </w:sectPr>
      </w:pPr>
      <w:r w:rsidRPr="00DC7618">
        <w:rPr>
          <w:rFonts w:ascii="IntelOne Mono" w:hAnsi="IntelOne Mono"/>
        </w:rPr>
        <w:t>SELECT * from "{</w:t>
      </w:r>
      <w:proofErr w:type="spellStart"/>
      <w:r w:rsidRPr="00DC7618">
        <w:rPr>
          <w:rFonts w:ascii="IntelOne Mono" w:hAnsi="IntelOne Mono"/>
        </w:rPr>
        <w:t>ResourceID</w:t>
      </w:r>
      <w:proofErr w:type="spellEnd"/>
      <w:r w:rsidRPr="00DC7618">
        <w:rPr>
          <w:rFonts w:ascii="IntelOne Mono" w:hAnsi="IntelOne Mono"/>
        </w:rPr>
        <w:t>}" WHERE "</w:t>
      </w:r>
      <w:proofErr w:type="spellStart"/>
      <w:r w:rsidRPr="00DC7618">
        <w:rPr>
          <w:rFonts w:ascii="IntelOne Mono" w:hAnsi="IntelOne Mono"/>
        </w:rPr>
        <w:t>BNFItemCode</w:t>
      </w:r>
      <w:proofErr w:type="spellEnd"/>
      <w:r w:rsidRPr="00DC7618">
        <w:rPr>
          <w:rFonts w:ascii="IntelOne Mono" w:hAnsi="IntelOne Mono"/>
        </w:rPr>
        <w:t>” LIKE '07030%' OR "</w:t>
      </w:r>
      <w:proofErr w:type="spellStart"/>
      <w:r w:rsidRPr="00DC7618">
        <w:rPr>
          <w:rFonts w:ascii="IntelOne Mono" w:hAnsi="IntelOne Mono"/>
        </w:rPr>
        <w:t>BNFItemCode</w:t>
      </w:r>
      <w:proofErr w:type="spellEnd"/>
      <w:r w:rsidRPr="00DC7618">
        <w:rPr>
          <w:rFonts w:ascii="IntelOne Mono" w:hAnsi="IntelOne Mono"/>
        </w:rPr>
        <w:t>" LIKE '21040%'</w:t>
      </w:r>
    </w:p>
    <w:p w14:paraId="49068373" w14:textId="5C4F6F30" w:rsidR="00527216" w:rsidRPr="00527216" w:rsidRDefault="00C97AB0" w:rsidP="00C3114B">
      <w:pPr>
        <w:pStyle w:val="Heading2"/>
        <w:numPr>
          <w:ilvl w:val="1"/>
          <w:numId w:val="3"/>
        </w:numPr>
      </w:pPr>
      <w:r>
        <w:lastRenderedPageBreak/>
        <w:t>Table</w:t>
      </w:r>
      <w:r w:rsidR="00A67924">
        <w:t xml:space="preserve"> S1</w:t>
      </w:r>
    </w:p>
    <w:tbl>
      <w:tblPr>
        <w:tblStyle w:val="Table"/>
        <w:tblW w:w="5000" w:type="pct"/>
        <w:jc w:val="center"/>
        <w:tblCellMar>
          <w:left w:w="60" w:type="dxa"/>
          <w:right w:w="60" w:type="dxa"/>
        </w:tblCellMar>
        <w:tblLook w:val="0000" w:firstRow="0" w:lastRow="0" w:firstColumn="0" w:lastColumn="0" w:noHBand="0" w:noVBand="0"/>
      </w:tblPr>
      <w:tblGrid>
        <w:gridCol w:w="1087"/>
        <w:gridCol w:w="821"/>
        <w:gridCol w:w="1052"/>
        <w:gridCol w:w="821"/>
        <w:gridCol w:w="719"/>
        <w:gridCol w:w="750"/>
        <w:gridCol w:w="831"/>
        <w:gridCol w:w="725"/>
        <w:gridCol w:w="719"/>
        <w:gridCol w:w="821"/>
        <w:gridCol w:w="827"/>
        <w:gridCol w:w="821"/>
        <w:gridCol w:w="719"/>
        <w:gridCol w:w="827"/>
        <w:gridCol w:w="821"/>
        <w:gridCol w:w="719"/>
      </w:tblGrid>
      <w:tr w:rsidR="002A6702" w14:paraId="34934928" w14:textId="77777777" w:rsidTr="002A6702">
        <w:trPr>
          <w:cantSplit/>
          <w:tblHeader/>
          <w:jc w:val="center"/>
        </w:trPr>
        <w:tc>
          <w:tcPr>
            <w:tcW w:w="0" w:type="auto"/>
            <w:tcBorders>
              <w:top w:val="single" w:sz="16" w:space="0" w:color="D3D3D3"/>
              <w:left w:val="single" w:sz="0" w:space="0" w:color="D3D3D3"/>
            </w:tcBorders>
          </w:tcPr>
          <w:p w14:paraId="4A5E1F0B" w14:textId="77777777" w:rsidR="002A6702" w:rsidRDefault="002A6702" w:rsidP="002A6702">
            <w:pPr>
              <w:keepNext/>
              <w:spacing w:after="60"/>
            </w:pPr>
          </w:p>
        </w:tc>
        <w:tc>
          <w:tcPr>
            <w:tcW w:w="161" w:type="pct"/>
            <w:tcBorders>
              <w:top w:val="single" w:sz="16" w:space="0" w:color="D3D3D3"/>
            </w:tcBorders>
          </w:tcPr>
          <w:p w14:paraId="17D9B799" w14:textId="77777777" w:rsidR="002A6702" w:rsidRDefault="002A6702" w:rsidP="00AD46D9">
            <w:pPr>
              <w:keepNext/>
              <w:spacing w:after="60"/>
            </w:pPr>
          </w:p>
        </w:tc>
        <w:tc>
          <w:tcPr>
            <w:tcW w:w="1834" w:type="pct"/>
            <w:gridSpan w:val="5"/>
            <w:tcBorders>
              <w:top w:val="single" w:sz="16" w:space="0" w:color="D3D3D3"/>
              <w:bottom w:val="single" w:sz="16" w:space="0" w:color="D3D3D3"/>
            </w:tcBorders>
          </w:tcPr>
          <w:p w14:paraId="166530D1" w14:textId="77777777" w:rsidR="002A6702" w:rsidRDefault="002A6702" w:rsidP="00AD46D9">
            <w:pPr>
              <w:keepNext/>
              <w:spacing w:after="60"/>
              <w:jc w:val="center"/>
            </w:pPr>
            <w:r>
              <w:rPr>
                <w:rFonts w:ascii="Calibri" w:hAnsi="Calibri"/>
                <w:sz w:val="20"/>
              </w:rPr>
              <w:t>LARCs</w:t>
            </w:r>
          </w:p>
        </w:tc>
        <w:tc>
          <w:tcPr>
            <w:tcW w:w="0" w:type="auto"/>
            <w:gridSpan w:val="3"/>
            <w:tcBorders>
              <w:top w:val="single" w:sz="16" w:space="0" w:color="D3D3D3"/>
              <w:bottom w:val="single" w:sz="16" w:space="0" w:color="D3D3D3"/>
            </w:tcBorders>
          </w:tcPr>
          <w:p w14:paraId="430E794C" w14:textId="77777777" w:rsidR="002A6702" w:rsidRDefault="002A6702" w:rsidP="00AD46D9">
            <w:pPr>
              <w:keepNext/>
              <w:spacing w:after="60"/>
              <w:jc w:val="center"/>
            </w:pPr>
            <w:r>
              <w:rPr>
                <w:rFonts w:ascii="Calibri" w:hAnsi="Calibri"/>
                <w:sz w:val="20"/>
              </w:rPr>
              <w:t>Oral</w:t>
            </w:r>
          </w:p>
        </w:tc>
        <w:tc>
          <w:tcPr>
            <w:tcW w:w="0" w:type="auto"/>
            <w:gridSpan w:val="3"/>
            <w:tcBorders>
              <w:top w:val="single" w:sz="16" w:space="0" w:color="D3D3D3"/>
              <w:bottom w:val="single" w:sz="16" w:space="0" w:color="D3D3D3"/>
            </w:tcBorders>
          </w:tcPr>
          <w:p w14:paraId="1D503B5E" w14:textId="77777777" w:rsidR="002A6702" w:rsidRDefault="002A6702" w:rsidP="00AD46D9">
            <w:pPr>
              <w:keepNext/>
              <w:spacing w:after="60"/>
              <w:jc w:val="center"/>
            </w:pPr>
            <w:r>
              <w:rPr>
                <w:rFonts w:ascii="Calibri" w:hAnsi="Calibri"/>
                <w:sz w:val="20"/>
              </w:rPr>
              <w:t>Other</w:t>
            </w:r>
          </w:p>
        </w:tc>
        <w:tc>
          <w:tcPr>
            <w:tcW w:w="0" w:type="auto"/>
            <w:gridSpan w:val="3"/>
            <w:tcBorders>
              <w:top w:val="single" w:sz="16" w:space="0" w:color="D3D3D3"/>
              <w:bottom w:val="single" w:sz="16" w:space="0" w:color="D3D3D3"/>
              <w:right w:val="single" w:sz="0" w:space="0" w:color="D3D3D3"/>
            </w:tcBorders>
          </w:tcPr>
          <w:p w14:paraId="2A024810" w14:textId="77777777" w:rsidR="002A6702" w:rsidRDefault="002A6702" w:rsidP="00AD46D9">
            <w:pPr>
              <w:keepNext/>
              <w:spacing w:after="60"/>
              <w:jc w:val="center"/>
            </w:pPr>
            <w:r>
              <w:rPr>
                <w:rFonts w:ascii="Calibri" w:hAnsi="Calibri"/>
                <w:sz w:val="20"/>
              </w:rPr>
              <w:t>EC</w:t>
            </w:r>
          </w:p>
        </w:tc>
      </w:tr>
      <w:tr w:rsidR="002A6702" w14:paraId="11C00F4E" w14:textId="77777777" w:rsidTr="002A6702">
        <w:trPr>
          <w:cantSplit/>
          <w:tblHeader/>
          <w:jc w:val="center"/>
        </w:trPr>
        <w:tc>
          <w:tcPr>
            <w:tcW w:w="0" w:type="auto"/>
            <w:tcBorders>
              <w:left w:val="single" w:sz="0" w:space="0" w:color="D3D3D3"/>
              <w:bottom w:val="single" w:sz="16" w:space="0" w:color="D3D3D3"/>
            </w:tcBorders>
          </w:tcPr>
          <w:p w14:paraId="116A57FB" w14:textId="77777777" w:rsidR="002A6702" w:rsidRDefault="002A6702" w:rsidP="00AD46D9">
            <w:pPr>
              <w:keepNext/>
              <w:spacing w:after="60"/>
            </w:pPr>
            <w:r>
              <w:rPr>
                <w:rFonts w:ascii="Calibri" w:hAnsi="Calibri"/>
                <w:sz w:val="20"/>
              </w:rPr>
              <w:t>Timeframes</w:t>
            </w:r>
          </w:p>
        </w:tc>
        <w:tc>
          <w:tcPr>
            <w:tcW w:w="161" w:type="pct"/>
            <w:tcBorders>
              <w:bottom w:val="single" w:sz="16" w:space="0" w:color="D3D3D3"/>
            </w:tcBorders>
            <w:shd w:val="clear" w:color="auto" w:fill="000000" w:themeFill="text1"/>
          </w:tcPr>
          <w:p w14:paraId="37BDE07F" w14:textId="51949BEE" w:rsidR="002A6702" w:rsidRPr="002A6702" w:rsidRDefault="002A6702" w:rsidP="00AD46D9">
            <w:pPr>
              <w:keepNext/>
              <w:spacing w:after="60"/>
              <w:jc w:val="right"/>
              <w:rPr>
                <w:i/>
                <w:iCs/>
              </w:rPr>
            </w:pPr>
            <w:r w:rsidRPr="002A6702">
              <w:rPr>
                <w:rFonts w:ascii="Calibri" w:hAnsi="Calibri"/>
                <w:i/>
                <w:iCs/>
                <w:sz w:val="20"/>
              </w:rPr>
              <w:t xml:space="preserve">TOTAL </w:t>
            </w:r>
          </w:p>
        </w:tc>
        <w:tc>
          <w:tcPr>
            <w:tcW w:w="674" w:type="pct"/>
            <w:tcBorders>
              <w:bottom w:val="single" w:sz="16" w:space="0" w:color="D3D3D3"/>
            </w:tcBorders>
          </w:tcPr>
          <w:p w14:paraId="0A5A3757" w14:textId="77777777" w:rsidR="002A6702" w:rsidRDefault="002A6702" w:rsidP="00AD46D9">
            <w:pPr>
              <w:keepNext/>
              <w:spacing w:after="60"/>
              <w:jc w:val="right"/>
            </w:pPr>
            <w:r>
              <w:rPr>
                <w:rFonts w:ascii="Calibri" w:hAnsi="Calibri"/>
                <w:sz w:val="20"/>
              </w:rPr>
              <w:t>All LARC</w:t>
            </w:r>
          </w:p>
        </w:tc>
        <w:tc>
          <w:tcPr>
            <w:tcW w:w="0" w:type="auto"/>
            <w:tcBorders>
              <w:bottom w:val="single" w:sz="16" w:space="0" w:color="D3D3D3"/>
            </w:tcBorders>
          </w:tcPr>
          <w:p w14:paraId="4209B7DB" w14:textId="77777777" w:rsidR="002A6702" w:rsidRDefault="002A6702" w:rsidP="00AD46D9">
            <w:pPr>
              <w:keepNext/>
              <w:spacing w:after="60"/>
              <w:jc w:val="right"/>
            </w:pPr>
            <w:r>
              <w:rPr>
                <w:rFonts w:ascii="Calibri" w:hAnsi="Calibri"/>
                <w:sz w:val="20"/>
              </w:rPr>
              <w:t>IUS</w:t>
            </w:r>
          </w:p>
        </w:tc>
        <w:tc>
          <w:tcPr>
            <w:tcW w:w="0" w:type="auto"/>
            <w:tcBorders>
              <w:bottom w:val="single" w:sz="16" w:space="0" w:color="D3D3D3"/>
            </w:tcBorders>
          </w:tcPr>
          <w:p w14:paraId="09DF2FB1" w14:textId="77777777" w:rsidR="002A6702" w:rsidRDefault="002A6702" w:rsidP="00AD46D9">
            <w:pPr>
              <w:keepNext/>
              <w:spacing w:after="60"/>
              <w:jc w:val="right"/>
            </w:pPr>
            <w:r>
              <w:rPr>
                <w:rFonts w:ascii="Calibri" w:hAnsi="Calibri"/>
                <w:sz w:val="20"/>
              </w:rPr>
              <w:t>IUD</w:t>
            </w:r>
          </w:p>
        </w:tc>
        <w:tc>
          <w:tcPr>
            <w:tcW w:w="0" w:type="auto"/>
            <w:tcBorders>
              <w:bottom w:val="single" w:sz="16" w:space="0" w:color="D3D3D3"/>
            </w:tcBorders>
          </w:tcPr>
          <w:p w14:paraId="523558B0" w14:textId="77777777" w:rsidR="002A6702" w:rsidRDefault="002A6702" w:rsidP="00AD46D9">
            <w:pPr>
              <w:keepNext/>
              <w:spacing w:after="60"/>
              <w:jc w:val="right"/>
            </w:pPr>
            <w:r>
              <w:rPr>
                <w:rFonts w:ascii="Calibri" w:hAnsi="Calibri"/>
                <w:sz w:val="20"/>
              </w:rPr>
              <w:t>Implant</w:t>
            </w:r>
          </w:p>
        </w:tc>
        <w:tc>
          <w:tcPr>
            <w:tcW w:w="0" w:type="auto"/>
            <w:tcBorders>
              <w:bottom w:val="single" w:sz="16" w:space="0" w:color="D3D3D3"/>
            </w:tcBorders>
          </w:tcPr>
          <w:p w14:paraId="63984B66" w14:textId="77777777" w:rsidR="002A6702" w:rsidRDefault="002A6702" w:rsidP="00AD46D9">
            <w:pPr>
              <w:keepNext/>
              <w:spacing w:after="60"/>
              <w:jc w:val="right"/>
            </w:pPr>
            <w:r>
              <w:rPr>
                <w:rFonts w:ascii="Calibri" w:hAnsi="Calibri"/>
                <w:sz w:val="20"/>
              </w:rPr>
              <w:t>Injection</w:t>
            </w:r>
          </w:p>
        </w:tc>
        <w:tc>
          <w:tcPr>
            <w:tcW w:w="0" w:type="auto"/>
            <w:tcBorders>
              <w:bottom w:val="single" w:sz="16" w:space="0" w:color="D3D3D3"/>
            </w:tcBorders>
          </w:tcPr>
          <w:p w14:paraId="649184BC" w14:textId="77777777" w:rsidR="002A6702" w:rsidRDefault="002A6702" w:rsidP="00AD46D9">
            <w:pPr>
              <w:keepNext/>
              <w:spacing w:after="60"/>
              <w:jc w:val="right"/>
            </w:pPr>
            <w:r>
              <w:rPr>
                <w:rFonts w:ascii="Calibri" w:hAnsi="Calibri"/>
                <w:sz w:val="20"/>
              </w:rPr>
              <w:t>All Oral</w:t>
            </w:r>
          </w:p>
        </w:tc>
        <w:tc>
          <w:tcPr>
            <w:tcW w:w="0" w:type="auto"/>
            <w:tcBorders>
              <w:bottom w:val="single" w:sz="16" w:space="0" w:color="D3D3D3"/>
            </w:tcBorders>
          </w:tcPr>
          <w:p w14:paraId="3D9E03BA" w14:textId="77777777" w:rsidR="002A6702" w:rsidRDefault="002A6702" w:rsidP="00AD46D9">
            <w:pPr>
              <w:keepNext/>
              <w:spacing w:after="60"/>
              <w:jc w:val="right"/>
            </w:pPr>
            <w:r>
              <w:rPr>
                <w:rFonts w:ascii="Calibri" w:hAnsi="Calibri"/>
                <w:sz w:val="20"/>
              </w:rPr>
              <w:t>COCP</w:t>
            </w:r>
          </w:p>
        </w:tc>
        <w:tc>
          <w:tcPr>
            <w:tcW w:w="0" w:type="auto"/>
            <w:tcBorders>
              <w:bottom w:val="single" w:sz="16" w:space="0" w:color="D3D3D3"/>
            </w:tcBorders>
          </w:tcPr>
          <w:p w14:paraId="7201D1D5" w14:textId="77777777" w:rsidR="002A6702" w:rsidRDefault="002A6702" w:rsidP="00AD46D9">
            <w:pPr>
              <w:keepNext/>
              <w:spacing w:after="60"/>
              <w:jc w:val="right"/>
            </w:pPr>
            <w:r>
              <w:rPr>
                <w:rFonts w:ascii="Calibri" w:hAnsi="Calibri"/>
                <w:sz w:val="20"/>
              </w:rPr>
              <w:t>POP</w:t>
            </w:r>
          </w:p>
        </w:tc>
        <w:tc>
          <w:tcPr>
            <w:tcW w:w="0" w:type="auto"/>
            <w:tcBorders>
              <w:bottom w:val="single" w:sz="16" w:space="0" w:color="D3D3D3"/>
            </w:tcBorders>
          </w:tcPr>
          <w:p w14:paraId="4ADBBB5C" w14:textId="77777777" w:rsidR="002A6702" w:rsidRDefault="002A6702" w:rsidP="00AD46D9">
            <w:pPr>
              <w:keepNext/>
              <w:spacing w:after="60"/>
              <w:jc w:val="right"/>
            </w:pPr>
            <w:r>
              <w:rPr>
                <w:rFonts w:ascii="Calibri" w:hAnsi="Calibri"/>
                <w:sz w:val="20"/>
              </w:rPr>
              <w:t>All Other</w:t>
            </w:r>
          </w:p>
        </w:tc>
        <w:tc>
          <w:tcPr>
            <w:tcW w:w="0" w:type="auto"/>
            <w:tcBorders>
              <w:bottom w:val="single" w:sz="16" w:space="0" w:color="D3D3D3"/>
            </w:tcBorders>
          </w:tcPr>
          <w:p w14:paraId="6AAF904F" w14:textId="77777777" w:rsidR="002A6702" w:rsidRDefault="002A6702" w:rsidP="00AD46D9">
            <w:pPr>
              <w:keepNext/>
              <w:spacing w:after="60"/>
              <w:jc w:val="right"/>
            </w:pPr>
            <w:r>
              <w:rPr>
                <w:rFonts w:ascii="Calibri" w:hAnsi="Calibri"/>
                <w:sz w:val="20"/>
              </w:rPr>
              <w:t>Patch</w:t>
            </w:r>
          </w:p>
        </w:tc>
        <w:tc>
          <w:tcPr>
            <w:tcW w:w="0" w:type="auto"/>
            <w:tcBorders>
              <w:bottom w:val="single" w:sz="16" w:space="0" w:color="D3D3D3"/>
            </w:tcBorders>
          </w:tcPr>
          <w:p w14:paraId="6C40295F" w14:textId="77777777" w:rsidR="002A6702" w:rsidRDefault="002A6702" w:rsidP="00AD46D9">
            <w:pPr>
              <w:keepNext/>
              <w:spacing w:after="60"/>
              <w:jc w:val="right"/>
            </w:pPr>
            <w:r>
              <w:rPr>
                <w:rFonts w:ascii="Calibri" w:hAnsi="Calibri"/>
                <w:sz w:val="20"/>
              </w:rPr>
              <w:t>Ring</w:t>
            </w:r>
          </w:p>
        </w:tc>
        <w:tc>
          <w:tcPr>
            <w:tcW w:w="0" w:type="auto"/>
            <w:tcBorders>
              <w:bottom w:val="single" w:sz="16" w:space="0" w:color="D3D3D3"/>
            </w:tcBorders>
          </w:tcPr>
          <w:p w14:paraId="74801952" w14:textId="77777777" w:rsidR="002A6702" w:rsidRDefault="002A6702" w:rsidP="00AD46D9">
            <w:pPr>
              <w:keepNext/>
              <w:spacing w:after="60"/>
              <w:jc w:val="right"/>
            </w:pPr>
            <w:r>
              <w:rPr>
                <w:rFonts w:ascii="Calibri" w:hAnsi="Calibri"/>
                <w:sz w:val="20"/>
              </w:rPr>
              <w:t>All EC</w:t>
            </w:r>
          </w:p>
        </w:tc>
        <w:tc>
          <w:tcPr>
            <w:tcW w:w="0" w:type="auto"/>
            <w:tcBorders>
              <w:bottom w:val="single" w:sz="16" w:space="0" w:color="D3D3D3"/>
            </w:tcBorders>
          </w:tcPr>
          <w:p w14:paraId="715849B6" w14:textId="77777777" w:rsidR="002A6702" w:rsidRDefault="002A6702" w:rsidP="00AD46D9">
            <w:pPr>
              <w:keepNext/>
              <w:spacing w:after="60"/>
              <w:jc w:val="right"/>
            </w:pPr>
            <w:proofErr w:type="spellStart"/>
            <w:r>
              <w:rPr>
                <w:rFonts w:ascii="Calibri" w:hAnsi="Calibri"/>
                <w:sz w:val="20"/>
              </w:rPr>
              <w:t>Uli</w:t>
            </w:r>
            <w:proofErr w:type="spellEnd"/>
          </w:p>
        </w:tc>
        <w:tc>
          <w:tcPr>
            <w:tcW w:w="0" w:type="auto"/>
            <w:tcBorders>
              <w:bottom w:val="single" w:sz="16" w:space="0" w:color="D3D3D3"/>
              <w:right w:val="single" w:sz="0" w:space="0" w:color="D3D3D3"/>
            </w:tcBorders>
          </w:tcPr>
          <w:p w14:paraId="6310ACBF" w14:textId="77777777" w:rsidR="002A6702" w:rsidRDefault="002A6702" w:rsidP="00AD46D9">
            <w:pPr>
              <w:keepNext/>
              <w:spacing w:after="60"/>
              <w:jc w:val="right"/>
            </w:pPr>
            <w:proofErr w:type="spellStart"/>
            <w:r>
              <w:rPr>
                <w:rFonts w:ascii="Calibri" w:hAnsi="Calibri"/>
                <w:sz w:val="20"/>
              </w:rPr>
              <w:t>Levo</w:t>
            </w:r>
            <w:proofErr w:type="spellEnd"/>
          </w:p>
        </w:tc>
      </w:tr>
      <w:tr w:rsidR="002A6702" w14:paraId="2010E2C0" w14:textId="77777777" w:rsidTr="002A670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17D6BD" w14:textId="77777777" w:rsidR="002A6702" w:rsidRDefault="002A6702" w:rsidP="00AD46D9">
            <w:pPr>
              <w:keepNext/>
              <w:spacing w:after="60"/>
            </w:pPr>
            <w:r>
              <w:rPr>
                <w:rFonts w:ascii="Calibri" w:hAnsi="Calibri"/>
                <w:sz w:val="20"/>
              </w:rPr>
              <w:t>Lockdown</w:t>
            </w:r>
          </w:p>
        </w:tc>
        <w:tc>
          <w:tcPr>
            <w:tcW w:w="161" w:type="pct"/>
            <w:tcBorders>
              <w:top w:val="single" w:sz="0" w:space="0" w:color="D3D3D3"/>
              <w:left w:val="single" w:sz="0" w:space="0" w:color="D3D3D3"/>
              <w:bottom w:val="single" w:sz="0" w:space="0" w:color="D3D3D3"/>
              <w:right w:val="single" w:sz="0" w:space="0" w:color="D3D3D3"/>
            </w:tcBorders>
            <w:shd w:val="clear" w:color="auto" w:fill="000000" w:themeFill="text1"/>
          </w:tcPr>
          <w:p w14:paraId="7D95DB5C" w14:textId="77777777" w:rsidR="002A6702" w:rsidRPr="002A6702" w:rsidRDefault="002A6702" w:rsidP="00AD46D9">
            <w:pPr>
              <w:keepNext/>
              <w:spacing w:after="60"/>
              <w:jc w:val="right"/>
              <w:rPr>
                <w:i/>
                <w:iCs/>
              </w:rPr>
            </w:pPr>
            <w:r w:rsidRPr="002A6702">
              <w:rPr>
                <w:rFonts w:ascii="Calibri" w:hAnsi="Calibri"/>
                <w:i/>
                <w:iCs/>
                <w:sz w:val="20"/>
              </w:rPr>
              <w:t>17.10%</w:t>
            </w:r>
          </w:p>
        </w:tc>
        <w:tc>
          <w:tcPr>
            <w:tcW w:w="674" w:type="pct"/>
            <w:tcBorders>
              <w:top w:val="single" w:sz="0" w:space="0" w:color="D3D3D3"/>
              <w:left w:val="single" w:sz="0" w:space="0" w:color="D3D3D3"/>
              <w:bottom w:val="single" w:sz="0" w:space="0" w:color="D3D3D3"/>
              <w:right w:val="single" w:sz="0" w:space="0" w:color="D3D3D3"/>
            </w:tcBorders>
            <w:shd w:val="clear" w:color="auto" w:fill="CCCCCC"/>
          </w:tcPr>
          <w:p w14:paraId="790D5C4B" w14:textId="77777777" w:rsidR="002A6702" w:rsidRDefault="002A6702" w:rsidP="00AD46D9">
            <w:pPr>
              <w:keepNext/>
              <w:spacing w:after="60"/>
              <w:jc w:val="right"/>
            </w:pPr>
            <w:r>
              <w:rPr>
                <w:rFonts w:ascii="Calibri" w:hAnsi="Calibri"/>
                <w:b/>
                <w:sz w:val="20"/>
              </w:rPr>
              <w:t>11.80%</w:t>
            </w:r>
          </w:p>
        </w:tc>
        <w:tc>
          <w:tcPr>
            <w:tcW w:w="0" w:type="auto"/>
            <w:tcBorders>
              <w:top w:val="single" w:sz="0" w:space="0" w:color="D3D3D3"/>
              <w:left w:val="single" w:sz="0" w:space="0" w:color="D3D3D3"/>
              <w:bottom w:val="single" w:sz="0" w:space="0" w:color="D3D3D3"/>
              <w:right w:val="single" w:sz="0" w:space="0" w:color="D3D3D3"/>
            </w:tcBorders>
          </w:tcPr>
          <w:p w14:paraId="109A9D77" w14:textId="77777777" w:rsidR="002A6702" w:rsidRDefault="002A6702" w:rsidP="00AD46D9">
            <w:pPr>
              <w:keepNext/>
              <w:spacing w:after="60"/>
              <w:jc w:val="right"/>
            </w:pPr>
            <w:r>
              <w:rPr>
                <w:rFonts w:ascii="Calibri" w:hAnsi="Calibri"/>
                <w:sz w:val="20"/>
              </w:rPr>
              <w:t>11.07%</w:t>
            </w:r>
          </w:p>
        </w:tc>
        <w:tc>
          <w:tcPr>
            <w:tcW w:w="0" w:type="auto"/>
            <w:tcBorders>
              <w:top w:val="single" w:sz="0" w:space="0" w:color="D3D3D3"/>
              <w:left w:val="single" w:sz="0" w:space="0" w:color="D3D3D3"/>
              <w:bottom w:val="single" w:sz="0" w:space="0" w:color="D3D3D3"/>
              <w:right w:val="single" w:sz="0" w:space="0" w:color="D3D3D3"/>
            </w:tcBorders>
          </w:tcPr>
          <w:p w14:paraId="16978738" w14:textId="77777777" w:rsidR="002A6702" w:rsidRDefault="002A6702" w:rsidP="00AD46D9">
            <w:pPr>
              <w:keepNext/>
              <w:spacing w:after="60"/>
              <w:jc w:val="right"/>
            </w:pPr>
            <w:r>
              <w:rPr>
                <w:rFonts w:ascii="Calibri" w:hAnsi="Calibri"/>
                <w:sz w:val="20"/>
              </w:rPr>
              <w:t>9.48%</w:t>
            </w:r>
          </w:p>
        </w:tc>
        <w:tc>
          <w:tcPr>
            <w:tcW w:w="0" w:type="auto"/>
            <w:tcBorders>
              <w:top w:val="single" w:sz="0" w:space="0" w:color="D3D3D3"/>
              <w:left w:val="single" w:sz="0" w:space="0" w:color="D3D3D3"/>
              <w:bottom w:val="single" w:sz="0" w:space="0" w:color="D3D3D3"/>
              <w:right w:val="single" w:sz="0" w:space="0" w:color="D3D3D3"/>
            </w:tcBorders>
          </w:tcPr>
          <w:p w14:paraId="4E2B3088" w14:textId="77777777" w:rsidR="002A6702" w:rsidRDefault="002A6702" w:rsidP="00AD46D9">
            <w:pPr>
              <w:keepNext/>
              <w:spacing w:after="60"/>
              <w:jc w:val="right"/>
            </w:pPr>
            <w:r>
              <w:rPr>
                <w:rFonts w:ascii="Calibri" w:hAnsi="Calibri"/>
                <w:sz w:val="20"/>
              </w:rPr>
              <w:t>10.02%</w:t>
            </w:r>
          </w:p>
        </w:tc>
        <w:tc>
          <w:tcPr>
            <w:tcW w:w="0" w:type="auto"/>
            <w:tcBorders>
              <w:top w:val="single" w:sz="0" w:space="0" w:color="D3D3D3"/>
              <w:left w:val="single" w:sz="0" w:space="0" w:color="D3D3D3"/>
              <w:bottom w:val="single" w:sz="0" w:space="0" w:color="D3D3D3"/>
              <w:right w:val="single" w:sz="0" w:space="0" w:color="D3D3D3"/>
            </w:tcBorders>
          </w:tcPr>
          <w:p w14:paraId="69F1AC4B" w14:textId="77777777" w:rsidR="002A6702" w:rsidRDefault="002A6702" w:rsidP="00AD46D9">
            <w:pPr>
              <w:keepNext/>
              <w:spacing w:after="60"/>
              <w:jc w:val="right"/>
            </w:pPr>
            <w:r>
              <w:rPr>
                <w:rFonts w:ascii="Calibri" w:hAnsi="Calibri"/>
                <w:sz w:val="20"/>
              </w:rPr>
              <w:t>18.63%</w:t>
            </w:r>
          </w:p>
        </w:tc>
        <w:tc>
          <w:tcPr>
            <w:tcW w:w="0" w:type="auto"/>
            <w:tcBorders>
              <w:top w:val="single" w:sz="0" w:space="0" w:color="D3D3D3"/>
              <w:left w:val="single" w:sz="0" w:space="0" w:color="D3D3D3"/>
              <w:bottom w:val="single" w:sz="0" w:space="0" w:color="D3D3D3"/>
              <w:right w:val="single" w:sz="0" w:space="0" w:color="D3D3D3"/>
            </w:tcBorders>
            <w:shd w:val="clear" w:color="auto" w:fill="CCCCCC"/>
          </w:tcPr>
          <w:p w14:paraId="776B9FBF" w14:textId="77777777" w:rsidR="002A6702" w:rsidRDefault="002A6702" w:rsidP="00AD46D9">
            <w:pPr>
              <w:keepNext/>
              <w:spacing w:after="60"/>
              <w:jc w:val="right"/>
            </w:pPr>
            <w:r>
              <w:rPr>
                <w:rFonts w:ascii="Calibri" w:hAnsi="Calibri"/>
                <w:b/>
                <w:sz w:val="20"/>
              </w:rPr>
              <w:t>17.64%</w:t>
            </w:r>
          </w:p>
        </w:tc>
        <w:tc>
          <w:tcPr>
            <w:tcW w:w="0" w:type="auto"/>
            <w:tcBorders>
              <w:top w:val="single" w:sz="0" w:space="0" w:color="D3D3D3"/>
              <w:left w:val="single" w:sz="0" w:space="0" w:color="D3D3D3"/>
              <w:bottom w:val="single" w:sz="0" w:space="0" w:color="D3D3D3"/>
              <w:right w:val="single" w:sz="0" w:space="0" w:color="D3D3D3"/>
            </w:tcBorders>
          </w:tcPr>
          <w:p w14:paraId="76DC4ECE" w14:textId="77777777" w:rsidR="002A6702" w:rsidRDefault="002A6702" w:rsidP="00AD46D9">
            <w:pPr>
              <w:keepNext/>
              <w:spacing w:after="60"/>
              <w:jc w:val="right"/>
            </w:pPr>
            <w:r>
              <w:rPr>
                <w:rFonts w:ascii="Calibri" w:hAnsi="Calibri"/>
                <w:sz w:val="20"/>
              </w:rPr>
              <w:t>13.98%</w:t>
            </w:r>
          </w:p>
        </w:tc>
        <w:tc>
          <w:tcPr>
            <w:tcW w:w="0" w:type="auto"/>
            <w:tcBorders>
              <w:top w:val="single" w:sz="0" w:space="0" w:color="D3D3D3"/>
              <w:left w:val="single" w:sz="0" w:space="0" w:color="D3D3D3"/>
              <w:bottom w:val="single" w:sz="0" w:space="0" w:color="D3D3D3"/>
              <w:right w:val="single" w:sz="0" w:space="0" w:color="D3D3D3"/>
            </w:tcBorders>
          </w:tcPr>
          <w:p w14:paraId="7CC82EBE" w14:textId="77777777" w:rsidR="002A6702" w:rsidRDefault="002A6702" w:rsidP="00AD46D9">
            <w:pPr>
              <w:keepNext/>
              <w:spacing w:after="60"/>
              <w:jc w:val="right"/>
            </w:pPr>
            <w:r>
              <w:rPr>
                <w:rFonts w:ascii="Calibri" w:hAnsi="Calibri"/>
                <w:sz w:val="20"/>
              </w:rPr>
              <w:t>22.00%</w:t>
            </w:r>
          </w:p>
        </w:tc>
        <w:tc>
          <w:tcPr>
            <w:tcW w:w="0" w:type="auto"/>
            <w:tcBorders>
              <w:top w:val="single" w:sz="0" w:space="0" w:color="D3D3D3"/>
              <w:left w:val="single" w:sz="0" w:space="0" w:color="D3D3D3"/>
              <w:bottom w:val="single" w:sz="0" w:space="0" w:color="D3D3D3"/>
              <w:right w:val="single" w:sz="0" w:space="0" w:color="D3D3D3"/>
            </w:tcBorders>
            <w:shd w:val="clear" w:color="auto" w:fill="CCCCCC"/>
          </w:tcPr>
          <w:p w14:paraId="26B61D3F" w14:textId="77777777" w:rsidR="002A6702" w:rsidRDefault="002A6702" w:rsidP="00AD46D9">
            <w:pPr>
              <w:keepNext/>
              <w:spacing w:after="60"/>
              <w:jc w:val="right"/>
            </w:pPr>
            <w:r>
              <w:rPr>
                <w:rFonts w:ascii="Calibri" w:hAnsi="Calibri"/>
                <w:b/>
                <w:sz w:val="20"/>
              </w:rPr>
              <w:t>24.01%</w:t>
            </w:r>
          </w:p>
        </w:tc>
        <w:tc>
          <w:tcPr>
            <w:tcW w:w="0" w:type="auto"/>
            <w:tcBorders>
              <w:top w:val="single" w:sz="0" w:space="0" w:color="D3D3D3"/>
              <w:left w:val="single" w:sz="0" w:space="0" w:color="D3D3D3"/>
              <w:bottom w:val="single" w:sz="0" w:space="0" w:color="D3D3D3"/>
              <w:right w:val="single" w:sz="0" w:space="0" w:color="D3D3D3"/>
            </w:tcBorders>
          </w:tcPr>
          <w:p w14:paraId="338CB4DB" w14:textId="77777777" w:rsidR="002A6702" w:rsidRDefault="002A6702" w:rsidP="00AD46D9">
            <w:pPr>
              <w:keepNext/>
              <w:spacing w:after="60"/>
              <w:jc w:val="right"/>
            </w:pPr>
            <w:r>
              <w:rPr>
                <w:rFonts w:ascii="Calibri" w:hAnsi="Calibri"/>
                <w:sz w:val="20"/>
              </w:rPr>
              <w:t>24.75%</w:t>
            </w:r>
          </w:p>
        </w:tc>
        <w:tc>
          <w:tcPr>
            <w:tcW w:w="0" w:type="auto"/>
            <w:tcBorders>
              <w:top w:val="single" w:sz="0" w:space="0" w:color="D3D3D3"/>
              <w:left w:val="single" w:sz="0" w:space="0" w:color="D3D3D3"/>
              <w:bottom w:val="single" w:sz="0" w:space="0" w:color="D3D3D3"/>
              <w:right w:val="single" w:sz="0" w:space="0" w:color="D3D3D3"/>
            </w:tcBorders>
          </w:tcPr>
          <w:p w14:paraId="38030D86" w14:textId="77777777" w:rsidR="002A6702" w:rsidRDefault="002A6702" w:rsidP="00AD46D9">
            <w:pPr>
              <w:keepNext/>
              <w:spacing w:after="60"/>
              <w:jc w:val="right"/>
            </w:pPr>
            <w:r>
              <w:rPr>
                <w:rFonts w:ascii="Calibri" w:hAnsi="Calibri"/>
                <w:sz w:val="20"/>
              </w:rPr>
              <w:t>19.02%</w:t>
            </w:r>
          </w:p>
        </w:tc>
        <w:tc>
          <w:tcPr>
            <w:tcW w:w="0" w:type="auto"/>
            <w:tcBorders>
              <w:top w:val="single" w:sz="0" w:space="0" w:color="D3D3D3"/>
              <w:left w:val="single" w:sz="0" w:space="0" w:color="D3D3D3"/>
              <w:bottom w:val="single" w:sz="0" w:space="0" w:color="D3D3D3"/>
              <w:right w:val="single" w:sz="0" w:space="0" w:color="D3D3D3"/>
            </w:tcBorders>
            <w:shd w:val="clear" w:color="auto" w:fill="CCCCCC"/>
          </w:tcPr>
          <w:p w14:paraId="682AB0F5" w14:textId="77777777" w:rsidR="002A6702" w:rsidRDefault="002A6702" w:rsidP="00AD46D9">
            <w:pPr>
              <w:keepNext/>
              <w:spacing w:after="60"/>
              <w:jc w:val="right"/>
            </w:pPr>
            <w:r>
              <w:rPr>
                <w:rFonts w:ascii="Calibri" w:hAnsi="Calibri"/>
                <w:b/>
                <w:sz w:val="20"/>
              </w:rPr>
              <w:t>13.90%</w:t>
            </w:r>
          </w:p>
        </w:tc>
        <w:tc>
          <w:tcPr>
            <w:tcW w:w="0" w:type="auto"/>
            <w:tcBorders>
              <w:top w:val="single" w:sz="0" w:space="0" w:color="D3D3D3"/>
              <w:left w:val="single" w:sz="0" w:space="0" w:color="D3D3D3"/>
              <w:bottom w:val="single" w:sz="0" w:space="0" w:color="D3D3D3"/>
              <w:right w:val="single" w:sz="0" w:space="0" w:color="D3D3D3"/>
            </w:tcBorders>
          </w:tcPr>
          <w:p w14:paraId="48D39AB1" w14:textId="77777777" w:rsidR="002A6702" w:rsidRDefault="002A6702" w:rsidP="00AD46D9">
            <w:pPr>
              <w:keepNext/>
              <w:spacing w:after="60"/>
              <w:jc w:val="right"/>
            </w:pPr>
            <w:r>
              <w:rPr>
                <w:rFonts w:ascii="Calibri" w:hAnsi="Calibri"/>
                <w:sz w:val="20"/>
              </w:rPr>
              <w:t>30.11%</w:t>
            </w:r>
          </w:p>
        </w:tc>
        <w:tc>
          <w:tcPr>
            <w:tcW w:w="0" w:type="auto"/>
            <w:tcBorders>
              <w:top w:val="single" w:sz="0" w:space="0" w:color="D3D3D3"/>
              <w:left w:val="single" w:sz="0" w:space="0" w:color="D3D3D3"/>
              <w:bottom w:val="single" w:sz="0" w:space="0" w:color="D3D3D3"/>
              <w:right w:val="single" w:sz="0" w:space="0" w:color="D3D3D3"/>
            </w:tcBorders>
          </w:tcPr>
          <w:p w14:paraId="78E26385" w14:textId="77777777" w:rsidR="002A6702" w:rsidRDefault="002A6702" w:rsidP="00AD46D9">
            <w:pPr>
              <w:keepNext/>
              <w:spacing w:after="60"/>
              <w:jc w:val="right"/>
            </w:pPr>
            <w:r>
              <w:rPr>
                <w:rFonts w:ascii="Calibri" w:hAnsi="Calibri"/>
                <w:sz w:val="20"/>
              </w:rPr>
              <w:t>10.22%</w:t>
            </w:r>
          </w:p>
        </w:tc>
      </w:tr>
      <w:tr w:rsidR="002A6702" w14:paraId="747A65C0" w14:textId="77777777" w:rsidTr="002A670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D795C6" w14:textId="77777777" w:rsidR="002A6702" w:rsidRDefault="002A6702" w:rsidP="00AD46D9">
            <w:pPr>
              <w:keepNext/>
              <w:spacing w:after="60"/>
            </w:pPr>
            <w:r>
              <w:rPr>
                <w:rFonts w:ascii="Calibri" w:hAnsi="Calibri"/>
                <w:sz w:val="20"/>
              </w:rPr>
              <w:t>Restrictions</w:t>
            </w:r>
          </w:p>
        </w:tc>
        <w:tc>
          <w:tcPr>
            <w:tcW w:w="161" w:type="pct"/>
            <w:tcBorders>
              <w:top w:val="single" w:sz="0" w:space="0" w:color="D3D3D3"/>
              <w:left w:val="single" w:sz="0" w:space="0" w:color="D3D3D3"/>
              <w:bottom w:val="single" w:sz="0" w:space="0" w:color="D3D3D3"/>
              <w:right w:val="single" w:sz="0" w:space="0" w:color="D3D3D3"/>
            </w:tcBorders>
            <w:shd w:val="clear" w:color="auto" w:fill="000000" w:themeFill="text1"/>
          </w:tcPr>
          <w:p w14:paraId="6399A558" w14:textId="77777777" w:rsidR="002A6702" w:rsidRPr="002A6702" w:rsidRDefault="002A6702" w:rsidP="00AD46D9">
            <w:pPr>
              <w:keepNext/>
              <w:spacing w:after="60"/>
              <w:jc w:val="right"/>
              <w:rPr>
                <w:i/>
                <w:iCs/>
              </w:rPr>
            </w:pPr>
            <w:r w:rsidRPr="002A6702">
              <w:rPr>
                <w:rFonts w:ascii="Calibri" w:hAnsi="Calibri"/>
                <w:i/>
                <w:iCs/>
                <w:sz w:val="20"/>
              </w:rPr>
              <w:t>76.96%</w:t>
            </w:r>
          </w:p>
        </w:tc>
        <w:tc>
          <w:tcPr>
            <w:tcW w:w="674" w:type="pct"/>
            <w:tcBorders>
              <w:top w:val="single" w:sz="0" w:space="0" w:color="D3D3D3"/>
              <w:left w:val="single" w:sz="0" w:space="0" w:color="D3D3D3"/>
              <w:bottom w:val="single" w:sz="0" w:space="0" w:color="D3D3D3"/>
              <w:right w:val="single" w:sz="0" w:space="0" w:color="D3D3D3"/>
            </w:tcBorders>
            <w:shd w:val="clear" w:color="auto" w:fill="CCCCCC"/>
          </w:tcPr>
          <w:p w14:paraId="186907B3" w14:textId="77777777" w:rsidR="002A6702" w:rsidRDefault="002A6702" w:rsidP="00AD46D9">
            <w:pPr>
              <w:keepNext/>
              <w:spacing w:after="60"/>
              <w:jc w:val="right"/>
            </w:pPr>
            <w:r>
              <w:rPr>
                <w:rFonts w:ascii="Calibri" w:hAnsi="Calibri"/>
                <w:b/>
                <w:sz w:val="20"/>
              </w:rPr>
              <w:t>64.40%</w:t>
            </w:r>
          </w:p>
        </w:tc>
        <w:tc>
          <w:tcPr>
            <w:tcW w:w="0" w:type="auto"/>
            <w:tcBorders>
              <w:top w:val="single" w:sz="0" w:space="0" w:color="D3D3D3"/>
              <w:left w:val="single" w:sz="0" w:space="0" w:color="D3D3D3"/>
              <w:bottom w:val="single" w:sz="0" w:space="0" w:color="D3D3D3"/>
              <w:right w:val="single" w:sz="0" w:space="0" w:color="D3D3D3"/>
            </w:tcBorders>
          </w:tcPr>
          <w:p w14:paraId="105912A1" w14:textId="77777777" w:rsidR="002A6702" w:rsidRDefault="002A6702" w:rsidP="00AD46D9">
            <w:pPr>
              <w:keepNext/>
              <w:spacing w:after="60"/>
              <w:jc w:val="right"/>
            </w:pPr>
            <w:r>
              <w:rPr>
                <w:rFonts w:ascii="Calibri" w:hAnsi="Calibri"/>
                <w:sz w:val="20"/>
              </w:rPr>
              <w:t>65.84%</w:t>
            </w:r>
          </w:p>
        </w:tc>
        <w:tc>
          <w:tcPr>
            <w:tcW w:w="0" w:type="auto"/>
            <w:tcBorders>
              <w:top w:val="single" w:sz="0" w:space="0" w:color="D3D3D3"/>
              <w:left w:val="single" w:sz="0" w:space="0" w:color="D3D3D3"/>
              <w:bottom w:val="single" w:sz="0" w:space="0" w:color="D3D3D3"/>
              <w:right w:val="single" w:sz="0" w:space="0" w:color="D3D3D3"/>
            </w:tcBorders>
          </w:tcPr>
          <w:p w14:paraId="442C7198" w14:textId="77777777" w:rsidR="002A6702" w:rsidRDefault="002A6702" w:rsidP="00AD46D9">
            <w:pPr>
              <w:keepNext/>
              <w:spacing w:after="60"/>
              <w:jc w:val="right"/>
            </w:pPr>
            <w:r>
              <w:rPr>
                <w:rFonts w:ascii="Calibri" w:hAnsi="Calibri"/>
                <w:sz w:val="20"/>
              </w:rPr>
              <w:t>60.45%</w:t>
            </w:r>
          </w:p>
        </w:tc>
        <w:tc>
          <w:tcPr>
            <w:tcW w:w="0" w:type="auto"/>
            <w:tcBorders>
              <w:top w:val="single" w:sz="0" w:space="0" w:color="D3D3D3"/>
              <w:left w:val="single" w:sz="0" w:space="0" w:color="D3D3D3"/>
              <w:bottom w:val="single" w:sz="0" w:space="0" w:color="D3D3D3"/>
              <w:right w:val="single" w:sz="0" w:space="0" w:color="D3D3D3"/>
            </w:tcBorders>
          </w:tcPr>
          <w:p w14:paraId="780EBC84" w14:textId="77777777" w:rsidR="002A6702" w:rsidRDefault="002A6702" w:rsidP="00AD46D9">
            <w:pPr>
              <w:keepNext/>
              <w:spacing w:after="60"/>
              <w:jc w:val="right"/>
            </w:pPr>
            <w:r>
              <w:rPr>
                <w:rFonts w:ascii="Calibri" w:hAnsi="Calibri"/>
                <w:sz w:val="20"/>
              </w:rPr>
              <w:t>57.17%</w:t>
            </w:r>
          </w:p>
        </w:tc>
        <w:tc>
          <w:tcPr>
            <w:tcW w:w="0" w:type="auto"/>
            <w:tcBorders>
              <w:top w:val="single" w:sz="0" w:space="0" w:color="D3D3D3"/>
              <w:left w:val="single" w:sz="0" w:space="0" w:color="D3D3D3"/>
              <w:bottom w:val="single" w:sz="0" w:space="0" w:color="D3D3D3"/>
              <w:right w:val="single" w:sz="0" w:space="0" w:color="D3D3D3"/>
            </w:tcBorders>
          </w:tcPr>
          <w:p w14:paraId="68630E29" w14:textId="77777777" w:rsidR="002A6702" w:rsidRDefault="002A6702" w:rsidP="00AD46D9">
            <w:pPr>
              <w:keepNext/>
              <w:spacing w:after="60"/>
              <w:jc w:val="right"/>
            </w:pPr>
            <w:r>
              <w:rPr>
                <w:rFonts w:ascii="Calibri" w:hAnsi="Calibri"/>
                <w:sz w:val="20"/>
              </w:rPr>
              <w:t>78.92%</w:t>
            </w:r>
          </w:p>
        </w:tc>
        <w:tc>
          <w:tcPr>
            <w:tcW w:w="0" w:type="auto"/>
            <w:tcBorders>
              <w:top w:val="single" w:sz="0" w:space="0" w:color="D3D3D3"/>
              <w:left w:val="single" w:sz="0" w:space="0" w:color="D3D3D3"/>
              <w:bottom w:val="single" w:sz="0" w:space="0" w:color="D3D3D3"/>
              <w:right w:val="single" w:sz="0" w:space="0" w:color="D3D3D3"/>
            </w:tcBorders>
            <w:shd w:val="clear" w:color="auto" w:fill="CCCCCC"/>
          </w:tcPr>
          <w:p w14:paraId="3B231EA0" w14:textId="77777777" w:rsidR="002A6702" w:rsidRDefault="002A6702" w:rsidP="00AD46D9">
            <w:pPr>
              <w:keepNext/>
              <w:spacing w:after="60"/>
              <w:jc w:val="right"/>
            </w:pPr>
            <w:r>
              <w:rPr>
                <w:rFonts w:ascii="Calibri" w:hAnsi="Calibri"/>
                <w:b/>
                <w:sz w:val="20"/>
              </w:rPr>
              <w:t>74.91%</w:t>
            </w:r>
          </w:p>
        </w:tc>
        <w:tc>
          <w:tcPr>
            <w:tcW w:w="0" w:type="auto"/>
            <w:tcBorders>
              <w:top w:val="single" w:sz="0" w:space="0" w:color="D3D3D3"/>
              <w:left w:val="single" w:sz="0" w:space="0" w:color="D3D3D3"/>
              <w:bottom w:val="single" w:sz="0" w:space="0" w:color="D3D3D3"/>
              <w:right w:val="single" w:sz="0" w:space="0" w:color="D3D3D3"/>
            </w:tcBorders>
          </w:tcPr>
          <w:p w14:paraId="4D5AB0E6" w14:textId="77777777" w:rsidR="002A6702" w:rsidRDefault="002A6702" w:rsidP="00AD46D9">
            <w:pPr>
              <w:keepNext/>
              <w:spacing w:after="60"/>
              <w:jc w:val="right"/>
            </w:pPr>
            <w:r>
              <w:rPr>
                <w:rFonts w:ascii="Calibri" w:hAnsi="Calibri"/>
                <w:sz w:val="20"/>
              </w:rPr>
              <w:t>60.64%</w:t>
            </w:r>
          </w:p>
        </w:tc>
        <w:tc>
          <w:tcPr>
            <w:tcW w:w="0" w:type="auto"/>
            <w:tcBorders>
              <w:top w:val="single" w:sz="0" w:space="0" w:color="D3D3D3"/>
              <w:left w:val="single" w:sz="0" w:space="0" w:color="D3D3D3"/>
              <w:bottom w:val="single" w:sz="0" w:space="0" w:color="D3D3D3"/>
              <w:right w:val="single" w:sz="0" w:space="0" w:color="D3D3D3"/>
            </w:tcBorders>
          </w:tcPr>
          <w:p w14:paraId="2B413A0D" w14:textId="77777777" w:rsidR="002A6702" w:rsidRDefault="002A6702" w:rsidP="00AD46D9">
            <w:pPr>
              <w:keepNext/>
              <w:spacing w:after="60"/>
              <w:jc w:val="right"/>
            </w:pPr>
            <w:r>
              <w:rPr>
                <w:rFonts w:ascii="Calibri" w:hAnsi="Calibri"/>
                <w:sz w:val="20"/>
              </w:rPr>
              <w:t>91.91%</w:t>
            </w:r>
          </w:p>
        </w:tc>
        <w:tc>
          <w:tcPr>
            <w:tcW w:w="0" w:type="auto"/>
            <w:tcBorders>
              <w:top w:val="single" w:sz="0" w:space="0" w:color="D3D3D3"/>
              <w:left w:val="single" w:sz="0" w:space="0" w:color="D3D3D3"/>
              <w:bottom w:val="single" w:sz="0" w:space="0" w:color="D3D3D3"/>
              <w:right w:val="single" w:sz="0" w:space="0" w:color="D3D3D3"/>
            </w:tcBorders>
            <w:shd w:val="clear" w:color="auto" w:fill="CCCCCC"/>
          </w:tcPr>
          <w:p w14:paraId="005CDE0B" w14:textId="77777777" w:rsidR="002A6702" w:rsidRDefault="002A6702" w:rsidP="00AD46D9">
            <w:pPr>
              <w:keepNext/>
              <w:spacing w:after="60"/>
              <w:jc w:val="right"/>
            </w:pPr>
            <w:r>
              <w:rPr>
                <w:rFonts w:ascii="Calibri" w:hAnsi="Calibri"/>
                <w:b/>
                <w:sz w:val="20"/>
              </w:rPr>
              <w:t>103.62%</w:t>
            </w:r>
          </w:p>
        </w:tc>
        <w:tc>
          <w:tcPr>
            <w:tcW w:w="0" w:type="auto"/>
            <w:tcBorders>
              <w:top w:val="single" w:sz="0" w:space="0" w:color="D3D3D3"/>
              <w:left w:val="single" w:sz="0" w:space="0" w:color="D3D3D3"/>
              <w:bottom w:val="single" w:sz="0" w:space="0" w:color="D3D3D3"/>
              <w:right w:val="single" w:sz="0" w:space="0" w:color="D3D3D3"/>
            </w:tcBorders>
          </w:tcPr>
          <w:p w14:paraId="05BEECE5" w14:textId="77777777" w:rsidR="002A6702" w:rsidRDefault="002A6702" w:rsidP="00AD46D9">
            <w:pPr>
              <w:keepNext/>
              <w:spacing w:after="60"/>
              <w:jc w:val="right"/>
            </w:pPr>
            <w:r>
              <w:rPr>
                <w:rFonts w:ascii="Calibri" w:hAnsi="Calibri"/>
                <w:sz w:val="20"/>
              </w:rPr>
              <w:t>107.89%</w:t>
            </w:r>
          </w:p>
        </w:tc>
        <w:tc>
          <w:tcPr>
            <w:tcW w:w="0" w:type="auto"/>
            <w:tcBorders>
              <w:top w:val="single" w:sz="0" w:space="0" w:color="D3D3D3"/>
              <w:left w:val="single" w:sz="0" w:space="0" w:color="D3D3D3"/>
              <w:bottom w:val="single" w:sz="0" w:space="0" w:color="D3D3D3"/>
              <w:right w:val="single" w:sz="0" w:space="0" w:color="D3D3D3"/>
            </w:tcBorders>
          </w:tcPr>
          <w:p w14:paraId="0892B6B5" w14:textId="77777777" w:rsidR="002A6702" w:rsidRDefault="002A6702" w:rsidP="00AD46D9">
            <w:pPr>
              <w:keepNext/>
              <w:spacing w:after="60"/>
              <w:jc w:val="right"/>
            </w:pPr>
            <w:r>
              <w:rPr>
                <w:rFonts w:ascii="Calibri" w:hAnsi="Calibri"/>
                <w:sz w:val="20"/>
              </w:rPr>
              <w:t>74.95%</w:t>
            </w:r>
          </w:p>
        </w:tc>
        <w:tc>
          <w:tcPr>
            <w:tcW w:w="0" w:type="auto"/>
            <w:tcBorders>
              <w:top w:val="single" w:sz="0" w:space="0" w:color="D3D3D3"/>
              <w:left w:val="single" w:sz="0" w:space="0" w:color="D3D3D3"/>
              <w:bottom w:val="single" w:sz="0" w:space="0" w:color="D3D3D3"/>
              <w:right w:val="single" w:sz="0" w:space="0" w:color="D3D3D3"/>
            </w:tcBorders>
            <w:shd w:val="clear" w:color="auto" w:fill="CCCCCC"/>
          </w:tcPr>
          <w:p w14:paraId="7F77F15D" w14:textId="77777777" w:rsidR="002A6702" w:rsidRDefault="002A6702" w:rsidP="00AD46D9">
            <w:pPr>
              <w:keepNext/>
              <w:spacing w:after="60"/>
              <w:jc w:val="right"/>
            </w:pPr>
            <w:r>
              <w:rPr>
                <w:rFonts w:ascii="Calibri" w:hAnsi="Calibri"/>
                <w:b/>
                <w:sz w:val="20"/>
              </w:rPr>
              <w:t>84.60%</w:t>
            </w:r>
          </w:p>
        </w:tc>
        <w:tc>
          <w:tcPr>
            <w:tcW w:w="0" w:type="auto"/>
            <w:tcBorders>
              <w:top w:val="single" w:sz="0" w:space="0" w:color="D3D3D3"/>
              <w:left w:val="single" w:sz="0" w:space="0" w:color="D3D3D3"/>
              <w:bottom w:val="single" w:sz="0" w:space="0" w:color="D3D3D3"/>
              <w:right w:val="single" w:sz="0" w:space="0" w:color="D3D3D3"/>
            </w:tcBorders>
          </w:tcPr>
          <w:p w14:paraId="37736BE0" w14:textId="77777777" w:rsidR="002A6702" w:rsidRDefault="002A6702" w:rsidP="00AD46D9">
            <w:pPr>
              <w:keepNext/>
              <w:spacing w:after="60"/>
              <w:jc w:val="right"/>
            </w:pPr>
            <w:r>
              <w:rPr>
                <w:rFonts w:ascii="Calibri" w:hAnsi="Calibri"/>
                <w:sz w:val="20"/>
              </w:rPr>
              <w:t>198.42%</w:t>
            </w:r>
          </w:p>
        </w:tc>
        <w:tc>
          <w:tcPr>
            <w:tcW w:w="0" w:type="auto"/>
            <w:tcBorders>
              <w:top w:val="single" w:sz="0" w:space="0" w:color="D3D3D3"/>
              <w:left w:val="single" w:sz="0" w:space="0" w:color="D3D3D3"/>
              <w:bottom w:val="single" w:sz="0" w:space="0" w:color="D3D3D3"/>
              <w:right w:val="single" w:sz="0" w:space="0" w:color="D3D3D3"/>
            </w:tcBorders>
          </w:tcPr>
          <w:p w14:paraId="61FE511B" w14:textId="77777777" w:rsidR="002A6702" w:rsidRDefault="002A6702" w:rsidP="00AD46D9">
            <w:pPr>
              <w:keepNext/>
              <w:spacing w:after="60"/>
              <w:jc w:val="right"/>
            </w:pPr>
            <w:r>
              <w:rPr>
                <w:rFonts w:ascii="Calibri" w:hAnsi="Calibri"/>
                <w:sz w:val="20"/>
              </w:rPr>
              <w:t>58.80%</w:t>
            </w:r>
          </w:p>
        </w:tc>
      </w:tr>
      <w:tr w:rsidR="002A6702" w14:paraId="176F0C15" w14:textId="77777777" w:rsidTr="002A670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9E7B00" w14:textId="77777777" w:rsidR="002A6702" w:rsidRDefault="002A6702" w:rsidP="00AD46D9">
            <w:pPr>
              <w:keepNext/>
              <w:spacing w:after="60"/>
            </w:pPr>
            <w:r>
              <w:rPr>
                <w:rFonts w:ascii="Calibri" w:hAnsi="Calibri"/>
                <w:sz w:val="20"/>
              </w:rPr>
              <w:t>Post-Lockdown</w:t>
            </w:r>
          </w:p>
        </w:tc>
        <w:tc>
          <w:tcPr>
            <w:tcW w:w="161" w:type="pct"/>
            <w:tcBorders>
              <w:top w:val="single" w:sz="0" w:space="0" w:color="D3D3D3"/>
              <w:left w:val="single" w:sz="0" w:space="0" w:color="D3D3D3"/>
              <w:bottom w:val="single" w:sz="0" w:space="0" w:color="D3D3D3"/>
              <w:right w:val="single" w:sz="0" w:space="0" w:color="D3D3D3"/>
            </w:tcBorders>
            <w:shd w:val="clear" w:color="auto" w:fill="000000" w:themeFill="text1"/>
          </w:tcPr>
          <w:p w14:paraId="58E17967" w14:textId="77777777" w:rsidR="002A6702" w:rsidRPr="002A6702" w:rsidRDefault="002A6702" w:rsidP="00AD46D9">
            <w:pPr>
              <w:keepNext/>
              <w:spacing w:after="60"/>
              <w:jc w:val="right"/>
              <w:rPr>
                <w:i/>
                <w:iCs/>
              </w:rPr>
            </w:pPr>
            <w:r w:rsidRPr="002A6702">
              <w:rPr>
                <w:rFonts w:ascii="Calibri" w:hAnsi="Calibri"/>
                <w:i/>
                <w:iCs/>
                <w:sz w:val="20"/>
              </w:rPr>
              <w:t>108.23%</w:t>
            </w:r>
          </w:p>
        </w:tc>
        <w:tc>
          <w:tcPr>
            <w:tcW w:w="674" w:type="pct"/>
            <w:tcBorders>
              <w:top w:val="single" w:sz="0" w:space="0" w:color="D3D3D3"/>
              <w:left w:val="single" w:sz="0" w:space="0" w:color="D3D3D3"/>
              <w:bottom w:val="single" w:sz="0" w:space="0" w:color="D3D3D3"/>
              <w:right w:val="single" w:sz="0" w:space="0" w:color="D3D3D3"/>
            </w:tcBorders>
            <w:shd w:val="clear" w:color="auto" w:fill="CCCCCC"/>
          </w:tcPr>
          <w:p w14:paraId="5CFB4C6B" w14:textId="77777777" w:rsidR="002A6702" w:rsidRDefault="002A6702" w:rsidP="00AD46D9">
            <w:pPr>
              <w:keepNext/>
              <w:spacing w:after="60"/>
              <w:jc w:val="right"/>
            </w:pPr>
            <w:r>
              <w:rPr>
                <w:rFonts w:ascii="Calibri" w:hAnsi="Calibri"/>
                <w:b/>
                <w:sz w:val="20"/>
              </w:rPr>
              <w:t>98.08%</w:t>
            </w:r>
          </w:p>
        </w:tc>
        <w:tc>
          <w:tcPr>
            <w:tcW w:w="0" w:type="auto"/>
            <w:tcBorders>
              <w:top w:val="single" w:sz="0" w:space="0" w:color="D3D3D3"/>
              <w:left w:val="single" w:sz="0" w:space="0" w:color="D3D3D3"/>
              <w:bottom w:val="single" w:sz="0" w:space="0" w:color="D3D3D3"/>
              <w:right w:val="single" w:sz="0" w:space="0" w:color="D3D3D3"/>
            </w:tcBorders>
          </w:tcPr>
          <w:p w14:paraId="2FAF8335" w14:textId="77777777" w:rsidR="002A6702" w:rsidRDefault="002A6702" w:rsidP="00AD46D9">
            <w:pPr>
              <w:keepNext/>
              <w:spacing w:after="60"/>
              <w:jc w:val="right"/>
            </w:pPr>
            <w:r>
              <w:rPr>
                <w:rFonts w:ascii="Calibri" w:hAnsi="Calibri"/>
                <w:sz w:val="20"/>
              </w:rPr>
              <w:t>112.54%</w:t>
            </w:r>
          </w:p>
        </w:tc>
        <w:tc>
          <w:tcPr>
            <w:tcW w:w="0" w:type="auto"/>
            <w:tcBorders>
              <w:top w:val="single" w:sz="0" w:space="0" w:color="D3D3D3"/>
              <w:left w:val="single" w:sz="0" w:space="0" w:color="D3D3D3"/>
              <w:bottom w:val="single" w:sz="0" w:space="0" w:color="D3D3D3"/>
              <w:right w:val="single" w:sz="0" w:space="0" w:color="D3D3D3"/>
            </w:tcBorders>
          </w:tcPr>
          <w:p w14:paraId="7B495607" w14:textId="77777777" w:rsidR="002A6702" w:rsidRDefault="002A6702" w:rsidP="00AD46D9">
            <w:pPr>
              <w:keepNext/>
              <w:spacing w:after="60"/>
              <w:jc w:val="right"/>
            </w:pPr>
            <w:r>
              <w:rPr>
                <w:rFonts w:ascii="Calibri" w:hAnsi="Calibri"/>
                <w:sz w:val="20"/>
              </w:rPr>
              <w:t>83.63%</w:t>
            </w:r>
          </w:p>
        </w:tc>
        <w:tc>
          <w:tcPr>
            <w:tcW w:w="0" w:type="auto"/>
            <w:tcBorders>
              <w:top w:val="single" w:sz="0" w:space="0" w:color="D3D3D3"/>
              <w:left w:val="single" w:sz="0" w:space="0" w:color="D3D3D3"/>
              <w:bottom w:val="single" w:sz="0" w:space="0" w:color="D3D3D3"/>
              <w:right w:val="single" w:sz="0" w:space="0" w:color="D3D3D3"/>
            </w:tcBorders>
          </w:tcPr>
          <w:p w14:paraId="47763936" w14:textId="77777777" w:rsidR="002A6702" w:rsidRDefault="002A6702" w:rsidP="00AD46D9">
            <w:pPr>
              <w:keepNext/>
              <w:spacing w:after="60"/>
              <w:jc w:val="right"/>
            </w:pPr>
            <w:r>
              <w:rPr>
                <w:rFonts w:ascii="Calibri" w:hAnsi="Calibri"/>
                <w:sz w:val="20"/>
              </w:rPr>
              <w:t>81.10%</w:t>
            </w:r>
          </w:p>
        </w:tc>
        <w:tc>
          <w:tcPr>
            <w:tcW w:w="0" w:type="auto"/>
            <w:tcBorders>
              <w:top w:val="single" w:sz="0" w:space="0" w:color="D3D3D3"/>
              <w:left w:val="single" w:sz="0" w:space="0" w:color="D3D3D3"/>
              <w:bottom w:val="single" w:sz="0" w:space="0" w:color="D3D3D3"/>
              <w:right w:val="single" w:sz="0" w:space="0" w:color="D3D3D3"/>
            </w:tcBorders>
          </w:tcPr>
          <w:p w14:paraId="1D7DB166" w14:textId="77777777" w:rsidR="002A6702" w:rsidRDefault="002A6702" w:rsidP="00AD46D9">
            <w:pPr>
              <w:keepNext/>
              <w:spacing w:after="60"/>
              <w:jc w:val="right"/>
            </w:pPr>
            <w:r>
              <w:rPr>
                <w:rFonts w:ascii="Calibri" w:hAnsi="Calibri"/>
                <w:sz w:val="20"/>
              </w:rPr>
              <w:t>109.91%</w:t>
            </w:r>
          </w:p>
        </w:tc>
        <w:tc>
          <w:tcPr>
            <w:tcW w:w="0" w:type="auto"/>
            <w:tcBorders>
              <w:top w:val="single" w:sz="0" w:space="0" w:color="D3D3D3"/>
              <w:left w:val="single" w:sz="0" w:space="0" w:color="D3D3D3"/>
              <w:bottom w:val="single" w:sz="0" w:space="0" w:color="D3D3D3"/>
              <w:right w:val="single" w:sz="0" w:space="0" w:color="D3D3D3"/>
            </w:tcBorders>
            <w:shd w:val="clear" w:color="auto" w:fill="CCCCCC"/>
          </w:tcPr>
          <w:p w14:paraId="7A0B554A" w14:textId="77777777" w:rsidR="002A6702" w:rsidRDefault="002A6702" w:rsidP="00AD46D9">
            <w:pPr>
              <w:keepNext/>
              <w:spacing w:after="60"/>
              <w:jc w:val="right"/>
            </w:pPr>
            <w:r>
              <w:rPr>
                <w:rFonts w:ascii="Calibri" w:hAnsi="Calibri"/>
                <w:b/>
                <w:sz w:val="20"/>
              </w:rPr>
              <w:t>97.86%</w:t>
            </w:r>
          </w:p>
        </w:tc>
        <w:tc>
          <w:tcPr>
            <w:tcW w:w="0" w:type="auto"/>
            <w:tcBorders>
              <w:top w:val="single" w:sz="0" w:space="0" w:color="D3D3D3"/>
              <w:left w:val="single" w:sz="0" w:space="0" w:color="D3D3D3"/>
              <w:bottom w:val="single" w:sz="0" w:space="0" w:color="D3D3D3"/>
              <w:right w:val="single" w:sz="0" w:space="0" w:color="D3D3D3"/>
            </w:tcBorders>
          </w:tcPr>
          <w:p w14:paraId="1FD403C7" w14:textId="77777777" w:rsidR="002A6702" w:rsidRDefault="002A6702" w:rsidP="00AD46D9">
            <w:pPr>
              <w:keepNext/>
              <w:spacing w:after="60"/>
              <w:jc w:val="right"/>
            </w:pPr>
            <w:r>
              <w:rPr>
                <w:rFonts w:ascii="Calibri" w:hAnsi="Calibri"/>
                <w:sz w:val="20"/>
              </w:rPr>
              <w:t>75.04%</w:t>
            </w:r>
          </w:p>
        </w:tc>
        <w:tc>
          <w:tcPr>
            <w:tcW w:w="0" w:type="auto"/>
            <w:tcBorders>
              <w:top w:val="single" w:sz="0" w:space="0" w:color="D3D3D3"/>
              <w:left w:val="single" w:sz="0" w:space="0" w:color="D3D3D3"/>
              <w:bottom w:val="single" w:sz="0" w:space="0" w:color="D3D3D3"/>
              <w:right w:val="single" w:sz="0" w:space="0" w:color="D3D3D3"/>
            </w:tcBorders>
          </w:tcPr>
          <w:p w14:paraId="23A1A191" w14:textId="77777777" w:rsidR="002A6702" w:rsidRDefault="002A6702" w:rsidP="00AD46D9">
            <w:pPr>
              <w:keepNext/>
              <w:spacing w:after="60"/>
              <w:jc w:val="right"/>
            </w:pPr>
            <w:r>
              <w:rPr>
                <w:rFonts w:ascii="Calibri" w:hAnsi="Calibri"/>
                <w:sz w:val="20"/>
              </w:rPr>
              <w:t>125.07%</w:t>
            </w:r>
          </w:p>
        </w:tc>
        <w:tc>
          <w:tcPr>
            <w:tcW w:w="0" w:type="auto"/>
            <w:tcBorders>
              <w:top w:val="single" w:sz="0" w:space="0" w:color="D3D3D3"/>
              <w:left w:val="single" w:sz="0" w:space="0" w:color="D3D3D3"/>
              <w:bottom w:val="single" w:sz="0" w:space="0" w:color="D3D3D3"/>
              <w:right w:val="single" w:sz="0" w:space="0" w:color="D3D3D3"/>
            </w:tcBorders>
            <w:shd w:val="clear" w:color="auto" w:fill="CCCCCC"/>
          </w:tcPr>
          <w:p w14:paraId="0ABFFAF7" w14:textId="77777777" w:rsidR="002A6702" w:rsidRDefault="002A6702" w:rsidP="00AD46D9">
            <w:pPr>
              <w:keepNext/>
              <w:spacing w:after="60"/>
              <w:jc w:val="right"/>
            </w:pPr>
            <w:r>
              <w:rPr>
                <w:rFonts w:ascii="Calibri" w:hAnsi="Calibri"/>
                <w:b/>
                <w:sz w:val="20"/>
              </w:rPr>
              <w:t>156.45%</w:t>
            </w:r>
          </w:p>
        </w:tc>
        <w:tc>
          <w:tcPr>
            <w:tcW w:w="0" w:type="auto"/>
            <w:tcBorders>
              <w:top w:val="single" w:sz="0" w:space="0" w:color="D3D3D3"/>
              <w:left w:val="single" w:sz="0" w:space="0" w:color="D3D3D3"/>
              <w:bottom w:val="single" w:sz="0" w:space="0" w:color="D3D3D3"/>
              <w:right w:val="single" w:sz="0" w:space="0" w:color="D3D3D3"/>
            </w:tcBorders>
          </w:tcPr>
          <w:p w14:paraId="020B8D8E" w14:textId="77777777" w:rsidR="002A6702" w:rsidRDefault="002A6702" w:rsidP="00AD46D9">
            <w:pPr>
              <w:keepNext/>
              <w:spacing w:after="60"/>
              <w:jc w:val="right"/>
            </w:pPr>
            <w:r>
              <w:rPr>
                <w:rFonts w:ascii="Calibri" w:hAnsi="Calibri"/>
                <w:sz w:val="20"/>
              </w:rPr>
              <w:t>165.09%</w:t>
            </w:r>
          </w:p>
        </w:tc>
        <w:tc>
          <w:tcPr>
            <w:tcW w:w="0" w:type="auto"/>
            <w:tcBorders>
              <w:top w:val="single" w:sz="0" w:space="0" w:color="D3D3D3"/>
              <w:left w:val="single" w:sz="0" w:space="0" w:color="D3D3D3"/>
              <w:bottom w:val="single" w:sz="0" w:space="0" w:color="D3D3D3"/>
              <w:right w:val="single" w:sz="0" w:space="0" w:color="D3D3D3"/>
            </w:tcBorders>
          </w:tcPr>
          <w:p w14:paraId="1042406E" w14:textId="77777777" w:rsidR="002A6702" w:rsidRDefault="002A6702" w:rsidP="00AD46D9">
            <w:pPr>
              <w:keepNext/>
              <w:spacing w:after="60"/>
              <w:jc w:val="right"/>
            </w:pPr>
            <w:r>
              <w:rPr>
                <w:rFonts w:ascii="Calibri" w:hAnsi="Calibri"/>
                <w:sz w:val="20"/>
              </w:rPr>
              <w:t>98.43%</w:t>
            </w:r>
          </w:p>
        </w:tc>
        <w:tc>
          <w:tcPr>
            <w:tcW w:w="0" w:type="auto"/>
            <w:tcBorders>
              <w:top w:val="single" w:sz="0" w:space="0" w:color="D3D3D3"/>
              <w:left w:val="single" w:sz="0" w:space="0" w:color="D3D3D3"/>
              <w:bottom w:val="single" w:sz="0" w:space="0" w:color="D3D3D3"/>
              <w:right w:val="single" w:sz="0" w:space="0" w:color="D3D3D3"/>
            </w:tcBorders>
            <w:shd w:val="clear" w:color="auto" w:fill="CCCCCC"/>
          </w:tcPr>
          <w:p w14:paraId="58AE6626" w14:textId="77777777" w:rsidR="002A6702" w:rsidRDefault="002A6702" w:rsidP="00AD46D9">
            <w:pPr>
              <w:keepNext/>
              <w:spacing w:after="60"/>
              <w:jc w:val="right"/>
            </w:pPr>
            <w:r>
              <w:rPr>
                <w:rFonts w:ascii="Calibri" w:hAnsi="Calibri"/>
                <w:b/>
                <w:sz w:val="20"/>
              </w:rPr>
              <w:t>121.11%</w:t>
            </w:r>
          </w:p>
        </w:tc>
        <w:tc>
          <w:tcPr>
            <w:tcW w:w="0" w:type="auto"/>
            <w:tcBorders>
              <w:top w:val="single" w:sz="0" w:space="0" w:color="D3D3D3"/>
              <w:left w:val="single" w:sz="0" w:space="0" w:color="D3D3D3"/>
              <w:bottom w:val="single" w:sz="0" w:space="0" w:color="D3D3D3"/>
              <w:right w:val="single" w:sz="0" w:space="0" w:color="D3D3D3"/>
            </w:tcBorders>
          </w:tcPr>
          <w:p w14:paraId="35919466" w14:textId="77777777" w:rsidR="002A6702" w:rsidRDefault="002A6702" w:rsidP="00AD46D9">
            <w:pPr>
              <w:keepNext/>
              <w:spacing w:after="60"/>
              <w:jc w:val="right"/>
            </w:pPr>
            <w:r>
              <w:rPr>
                <w:rFonts w:ascii="Calibri" w:hAnsi="Calibri"/>
                <w:sz w:val="20"/>
              </w:rPr>
              <w:t>357.97%</w:t>
            </w:r>
          </w:p>
        </w:tc>
        <w:tc>
          <w:tcPr>
            <w:tcW w:w="0" w:type="auto"/>
            <w:tcBorders>
              <w:top w:val="single" w:sz="0" w:space="0" w:color="D3D3D3"/>
              <w:left w:val="single" w:sz="0" w:space="0" w:color="D3D3D3"/>
              <w:bottom w:val="single" w:sz="0" w:space="0" w:color="D3D3D3"/>
              <w:right w:val="single" w:sz="0" w:space="0" w:color="D3D3D3"/>
            </w:tcBorders>
          </w:tcPr>
          <w:p w14:paraId="2CF6E9AB" w14:textId="77777777" w:rsidR="002A6702" w:rsidRDefault="002A6702" w:rsidP="00AD46D9">
            <w:pPr>
              <w:keepNext/>
              <w:spacing w:after="60"/>
              <w:jc w:val="right"/>
            </w:pPr>
            <w:r>
              <w:rPr>
                <w:rFonts w:ascii="Calibri" w:hAnsi="Calibri"/>
                <w:sz w:val="20"/>
              </w:rPr>
              <w:t>67.42%</w:t>
            </w:r>
          </w:p>
        </w:tc>
      </w:tr>
    </w:tbl>
    <w:p w14:paraId="2A52F12E" w14:textId="74D81A22" w:rsidR="00DC7618" w:rsidRDefault="00553156" w:rsidP="00553156">
      <w:pPr>
        <w:pStyle w:val="BodyText"/>
      </w:pPr>
      <w:r>
        <w:t>Normalised to Pre-COVID-19 levels = 100%.</w:t>
      </w:r>
    </w:p>
    <w:p w14:paraId="729F1E2C" w14:textId="4C001DAE" w:rsidR="00527216" w:rsidRDefault="00527216" w:rsidP="00C3114B">
      <w:pPr>
        <w:pStyle w:val="Heading2"/>
        <w:numPr>
          <w:ilvl w:val="1"/>
          <w:numId w:val="3"/>
        </w:numPr>
      </w:pPr>
      <w:r>
        <w:t>Table S2</w:t>
      </w:r>
    </w:p>
    <w:tbl>
      <w:tblPr>
        <w:tblStyle w:val="Table"/>
        <w:tblW w:w="5000" w:type="pct"/>
        <w:jc w:val="center"/>
        <w:tblCellMar>
          <w:left w:w="60" w:type="dxa"/>
          <w:right w:w="60" w:type="dxa"/>
        </w:tblCellMar>
        <w:tblLook w:val="0000" w:firstRow="0" w:lastRow="0" w:firstColumn="0" w:lastColumn="0" w:noHBand="0" w:noVBand="0"/>
      </w:tblPr>
      <w:tblGrid>
        <w:gridCol w:w="1271"/>
        <w:gridCol w:w="1523"/>
        <w:gridCol w:w="1003"/>
        <w:gridCol w:w="677"/>
        <w:gridCol w:w="677"/>
        <w:gridCol w:w="750"/>
        <w:gridCol w:w="831"/>
        <w:gridCol w:w="780"/>
        <w:gridCol w:w="779"/>
        <w:gridCol w:w="779"/>
        <w:gridCol w:w="824"/>
        <w:gridCol w:w="779"/>
        <w:gridCol w:w="677"/>
        <w:gridCol w:w="578"/>
        <w:gridCol w:w="576"/>
        <w:gridCol w:w="576"/>
      </w:tblGrid>
      <w:tr w:rsidR="0082324D" w14:paraId="0E97BF91" w14:textId="77777777" w:rsidTr="0082324D">
        <w:trPr>
          <w:cantSplit/>
          <w:tblHeader/>
          <w:jc w:val="center"/>
        </w:trPr>
        <w:tc>
          <w:tcPr>
            <w:tcW w:w="0" w:type="auto"/>
            <w:tcBorders>
              <w:top w:val="single" w:sz="16" w:space="0" w:color="D3D3D3"/>
              <w:left w:val="single" w:sz="0" w:space="0" w:color="D3D3D3"/>
            </w:tcBorders>
          </w:tcPr>
          <w:p w14:paraId="076EA349" w14:textId="77777777" w:rsidR="0082324D" w:rsidRDefault="0082324D" w:rsidP="0082324D">
            <w:pPr>
              <w:keepNext/>
              <w:spacing w:after="60"/>
            </w:pPr>
          </w:p>
        </w:tc>
        <w:tc>
          <w:tcPr>
            <w:tcW w:w="583" w:type="pct"/>
            <w:tcBorders>
              <w:top w:val="single" w:sz="16" w:space="0" w:color="D3D3D3"/>
            </w:tcBorders>
          </w:tcPr>
          <w:p w14:paraId="3A7AE1D0" w14:textId="77777777" w:rsidR="0082324D" w:rsidRDefault="0082324D" w:rsidP="00AD46D9">
            <w:pPr>
              <w:keepNext/>
              <w:spacing w:after="60"/>
            </w:pPr>
          </w:p>
        </w:tc>
        <w:tc>
          <w:tcPr>
            <w:tcW w:w="1506" w:type="pct"/>
            <w:gridSpan w:val="5"/>
            <w:tcBorders>
              <w:top w:val="single" w:sz="16" w:space="0" w:color="D3D3D3"/>
              <w:bottom w:val="single" w:sz="16" w:space="0" w:color="D3D3D3"/>
            </w:tcBorders>
          </w:tcPr>
          <w:p w14:paraId="1735CE8B" w14:textId="77777777" w:rsidR="0082324D" w:rsidRDefault="0082324D" w:rsidP="00AD46D9">
            <w:pPr>
              <w:keepNext/>
              <w:spacing w:after="60"/>
              <w:jc w:val="center"/>
            </w:pPr>
            <w:r>
              <w:rPr>
                <w:rFonts w:ascii="Calibri" w:hAnsi="Calibri"/>
                <w:sz w:val="20"/>
              </w:rPr>
              <w:t>LARCs</w:t>
            </w:r>
          </w:p>
        </w:tc>
        <w:tc>
          <w:tcPr>
            <w:tcW w:w="0" w:type="auto"/>
            <w:gridSpan w:val="3"/>
            <w:tcBorders>
              <w:top w:val="single" w:sz="16" w:space="0" w:color="D3D3D3"/>
              <w:bottom w:val="single" w:sz="16" w:space="0" w:color="D3D3D3"/>
            </w:tcBorders>
          </w:tcPr>
          <w:p w14:paraId="06416625" w14:textId="77777777" w:rsidR="0082324D" w:rsidRDefault="0082324D" w:rsidP="00AD46D9">
            <w:pPr>
              <w:keepNext/>
              <w:spacing w:after="60"/>
              <w:jc w:val="center"/>
            </w:pPr>
            <w:r>
              <w:rPr>
                <w:rFonts w:ascii="Calibri" w:hAnsi="Calibri"/>
                <w:sz w:val="20"/>
              </w:rPr>
              <w:t>Oral</w:t>
            </w:r>
          </w:p>
        </w:tc>
        <w:tc>
          <w:tcPr>
            <w:tcW w:w="0" w:type="auto"/>
            <w:gridSpan w:val="3"/>
            <w:tcBorders>
              <w:top w:val="single" w:sz="16" w:space="0" w:color="D3D3D3"/>
              <w:bottom w:val="single" w:sz="16" w:space="0" w:color="D3D3D3"/>
            </w:tcBorders>
          </w:tcPr>
          <w:p w14:paraId="15F83D09" w14:textId="77777777" w:rsidR="0082324D" w:rsidRDefault="0082324D" w:rsidP="00AD46D9">
            <w:pPr>
              <w:keepNext/>
              <w:spacing w:after="60"/>
              <w:jc w:val="center"/>
            </w:pPr>
            <w:r>
              <w:rPr>
                <w:rFonts w:ascii="Calibri" w:hAnsi="Calibri"/>
                <w:sz w:val="20"/>
              </w:rPr>
              <w:t>Other</w:t>
            </w:r>
          </w:p>
        </w:tc>
        <w:tc>
          <w:tcPr>
            <w:tcW w:w="0" w:type="auto"/>
            <w:gridSpan w:val="3"/>
            <w:tcBorders>
              <w:top w:val="single" w:sz="16" w:space="0" w:color="D3D3D3"/>
              <w:bottom w:val="single" w:sz="16" w:space="0" w:color="D3D3D3"/>
              <w:right w:val="single" w:sz="0" w:space="0" w:color="D3D3D3"/>
            </w:tcBorders>
          </w:tcPr>
          <w:p w14:paraId="6F4A4075" w14:textId="77777777" w:rsidR="0082324D" w:rsidRDefault="0082324D" w:rsidP="00AD46D9">
            <w:pPr>
              <w:keepNext/>
              <w:spacing w:after="60"/>
              <w:jc w:val="center"/>
            </w:pPr>
            <w:r>
              <w:rPr>
                <w:rFonts w:ascii="Calibri" w:hAnsi="Calibri"/>
                <w:sz w:val="20"/>
              </w:rPr>
              <w:t>EC</w:t>
            </w:r>
          </w:p>
        </w:tc>
      </w:tr>
      <w:tr w:rsidR="0082324D" w14:paraId="0C01204C" w14:textId="77777777" w:rsidTr="0082324D">
        <w:trPr>
          <w:cantSplit/>
          <w:tblHeader/>
          <w:jc w:val="center"/>
        </w:trPr>
        <w:tc>
          <w:tcPr>
            <w:tcW w:w="0" w:type="auto"/>
            <w:tcBorders>
              <w:left w:val="single" w:sz="0" w:space="0" w:color="D3D3D3"/>
              <w:bottom w:val="single" w:sz="16" w:space="0" w:color="D3D3D3"/>
            </w:tcBorders>
          </w:tcPr>
          <w:p w14:paraId="6E9CE947" w14:textId="77777777" w:rsidR="0082324D" w:rsidRDefault="0082324D" w:rsidP="00AD46D9">
            <w:pPr>
              <w:keepNext/>
              <w:spacing w:after="60"/>
            </w:pPr>
            <w:r>
              <w:rPr>
                <w:rFonts w:ascii="Calibri" w:hAnsi="Calibri"/>
                <w:sz w:val="20"/>
              </w:rPr>
              <w:t>Timeframes</w:t>
            </w:r>
          </w:p>
        </w:tc>
        <w:tc>
          <w:tcPr>
            <w:tcW w:w="583" w:type="pct"/>
            <w:tcBorders>
              <w:bottom w:val="single" w:sz="16" w:space="0" w:color="D3D3D3"/>
            </w:tcBorders>
            <w:shd w:val="clear" w:color="auto" w:fill="000000" w:themeFill="text1"/>
          </w:tcPr>
          <w:p w14:paraId="14AE2D33" w14:textId="5C2D1040" w:rsidR="0082324D" w:rsidRPr="0082324D" w:rsidRDefault="0082324D" w:rsidP="00AD46D9">
            <w:pPr>
              <w:keepNext/>
              <w:spacing w:after="60"/>
              <w:jc w:val="right"/>
              <w:rPr>
                <w:rFonts w:ascii="Calibri" w:hAnsi="Calibri"/>
                <w:i/>
                <w:iCs/>
                <w:sz w:val="20"/>
              </w:rPr>
            </w:pPr>
            <w:r w:rsidRPr="0082324D">
              <w:rPr>
                <w:rFonts w:ascii="Calibri" w:hAnsi="Calibri"/>
                <w:i/>
                <w:iCs/>
                <w:sz w:val="20"/>
              </w:rPr>
              <w:t>TOTAL</w:t>
            </w:r>
          </w:p>
        </w:tc>
        <w:tc>
          <w:tcPr>
            <w:tcW w:w="384" w:type="pct"/>
            <w:tcBorders>
              <w:bottom w:val="single" w:sz="16" w:space="0" w:color="D3D3D3"/>
            </w:tcBorders>
          </w:tcPr>
          <w:p w14:paraId="7908C049" w14:textId="77777777" w:rsidR="0082324D" w:rsidRDefault="0082324D" w:rsidP="00AD46D9">
            <w:pPr>
              <w:keepNext/>
              <w:spacing w:after="60"/>
              <w:jc w:val="right"/>
            </w:pPr>
            <w:r>
              <w:rPr>
                <w:rFonts w:ascii="Calibri" w:hAnsi="Calibri"/>
                <w:sz w:val="20"/>
              </w:rPr>
              <w:t>All LARC</w:t>
            </w:r>
          </w:p>
        </w:tc>
        <w:tc>
          <w:tcPr>
            <w:tcW w:w="0" w:type="auto"/>
            <w:tcBorders>
              <w:bottom w:val="single" w:sz="16" w:space="0" w:color="D3D3D3"/>
            </w:tcBorders>
          </w:tcPr>
          <w:p w14:paraId="5FC5AAA7" w14:textId="77777777" w:rsidR="0082324D" w:rsidRDefault="0082324D" w:rsidP="00AD46D9">
            <w:pPr>
              <w:keepNext/>
              <w:spacing w:after="60"/>
              <w:jc w:val="right"/>
            </w:pPr>
            <w:r>
              <w:rPr>
                <w:rFonts w:ascii="Calibri" w:hAnsi="Calibri"/>
                <w:sz w:val="20"/>
              </w:rPr>
              <w:t>IUS</w:t>
            </w:r>
          </w:p>
        </w:tc>
        <w:tc>
          <w:tcPr>
            <w:tcW w:w="0" w:type="auto"/>
            <w:tcBorders>
              <w:bottom w:val="single" w:sz="16" w:space="0" w:color="D3D3D3"/>
            </w:tcBorders>
          </w:tcPr>
          <w:p w14:paraId="3D30A55B" w14:textId="77777777" w:rsidR="0082324D" w:rsidRDefault="0082324D" w:rsidP="00AD46D9">
            <w:pPr>
              <w:keepNext/>
              <w:spacing w:after="60"/>
              <w:jc w:val="right"/>
            </w:pPr>
            <w:r>
              <w:rPr>
                <w:rFonts w:ascii="Calibri" w:hAnsi="Calibri"/>
                <w:sz w:val="20"/>
              </w:rPr>
              <w:t>IUD</w:t>
            </w:r>
          </w:p>
        </w:tc>
        <w:tc>
          <w:tcPr>
            <w:tcW w:w="0" w:type="auto"/>
            <w:tcBorders>
              <w:bottom w:val="single" w:sz="16" w:space="0" w:color="D3D3D3"/>
            </w:tcBorders>
          </w:tcPr>
          <w:p w14:paraId="0E4461FD" w14:textId="77777777" w:rsidR="0082324D" w:rsidRDefault="0082324D" w:rsidP="00AD46D9">
            <w:pPr>
              <w:keepNext/>
              <w:spacing w:after="60"/>
              <w:jc w:val="right"/>
            </w:pPr>
            <w:r>
              <w:rPr>
                <w:rFonts w:ascii="Calibri" w:hAnsi="Calibri"/>
                <w:sz w:val="20"/>
              </w:rPr>
              <w:t>Implant</w:t>
            </w:r>
          </w:p>
        </w:tc>
        <w:tc>
          <w:tcPr>
            <w:tcW w:w="0" w:type="auto"/>
            <w:tcBorders>
              <w:bottom w:val="single" w:sz="16" w:space="0" w:color="D3D3D3"/>
            </w:tcBorders>
          </w:tcPr>
          <w:p w14:paraId="706FD6C9" w14:textId="77777777" w:rsidR="0082324D" w:rsidRDefault="0082324D" w:rsidP="00AD46D9">
            <w:pPr>
              <w:keepNext/>
              <w:spacing w:after="60"/>
              <w:jc w:val="right"/>
            </w:pPr>
            <w:r>
              <w:rPr>
                <w:rFonts w:ascii="Calibri" w:hAnsi="Calibri"/>
                <w:sz w:val="20"/>
              </w:rPr>
              <w:t>Injection</w:t>
            </w:r>
          </w:p>
        </w:tc>
        <w:tc>
          <w:tcPr>
            <w:tcW w:w="0" w:type="auto"/>
            <w:tcBorders>
              <w:bottom w:val="single" w:sz="16" w:space="0" w:color="D3D3D3"/>
            </w:tcBorders>
          </w:tcPr>
          <w:p w14:paraId="0D8FDFD9" w14:textId="77777777" w:rsidR="0082324D" w:rsidRDefault="0082324D" w:rsidP="00AD46D9">
            <w:pPr>
              <w:keepNext/>
              <w:spacing w:after="60"/>
              <w:jc w:val="right"/>
            </w:pPr>
            <w:r>
              <w:rPr>
                <w:rFonts w:ascii="Calibri" w:hAnsi="Calibri"/>
                <w:sz w:val="20"/>
              </w:rPr>
              <w:t>All Oral</w:t>
            </w:r>
          </w:p>
        </w:tc>
        <w:tc>
          <w:tcPr>
            <w:tcW w:w="0" w:type="auto"/>
            <w:tcBorders>
              <w:bottom w:val="single" w:sz="16" w:space="0" w:color="D3D3D3"/>
            </w:tcBorders>
          </w:tcPr>
          <w:p w14:paraId="638B40DA" w14:textId="77777777" w:rsidR="0082324D" w:rsidRDefault="0082324D" w:rsidP="00AD46D9">
            <w:pPr>
              <w:keepNext/>
              <w:spacing w:after="60"/>
              <w:jc w:val="right"/>
            </w:pPr>
            <w:r>
              <w:rPr>
                <w:rFonts w:ascii="Calibri" w:hAnsi="Calibri"/>
                <w:sz w:val="20"/>
              </w:rPr>
              <w:t>COCP</w:t>
            </w:r>
          </w:p>
        </w:tc>
        <w:tc>
          <w:tcPr>
            <w:tcW w:w="0" w:type="auto"/>
            <w:tcBorders>
              <w:bottom w:val="single" w:sz="16" w:space="0" w:color="D3D3D3"/>
            </w:tcBorders>
          </w:tcPr>
          <w:p w14:paraId="7043CDCC" w14:textId="77777777" w:rsidR="0082324D" w:rsidRDefault="0082324D" w:rsidP="00AD46D9">
            <w:pPr>
              <w:keepNext/>
              <w:spacing w:after="60"/>
              <w:jc w:val="right"/>
            </w:pPr>
            <w:r>
              <w:rPr>
                <w:rFonts w:ascii="Calibri" w:hAnsi="Calibri"/>
                <w:sz w:val="20"/>
              </w:rPr>
              <w:t>POP</w:t>
            </w:r>
          </w:p>
        </w:tc>
        <w:tc>
          <w:tcPr>
            <w:tcW w:w="0" w:type="auto"/>
            <w:tcBorders>
              <w:bottom w:val="single" w:sz="16" w:space="0" w:color="D3D3D3"/>
            </w:tcBorders>
          </w:tcPr>
          <w:p w14:paraId="743B0CCF" w14:textId="77777777" w:rsidR="0082324D" w:rsidRDefault="0082324D" w:rsidP="00AD46D9">
            <w:pPr>
              <w:keepNext/>
              <w:spacing w:after="60"/>
              <w:jc w:val="right"/>
            </w:pPr>
            <w:r>
              <w:rPr>
                <w:rFonts w:ascii="Calibri" w:hAnsi="Calibri"/>
                <w:sz w:val="20"/>
              </w:rPr>
              <w:t>All Other</w:t>
            </w:r>
          </w:p>
        </w:tc>
        <w:tc>
          <w:tcPr>
            <w:tcW w:w="0" w:type="auto"/>
            <w:tcBorders>
              <w:bottom w:val="single" w:sz="16" w:space="0" w:color="D3D3D3"/>
            </w:tcBorders>
          </w:tcPr>
          <w:p w14:paraId="18674B3A" w14:textId="77777777" w:rsidR="0082324D" w:rsidRDefault="0082324D" w:rsidP="00AD46D9">
            <w:pPr>
              <w:keepNext/>
              <w:spacing w:after="60"/>
              <w:jc w:val="right"/>
            </w:pPr>
            <w:r>
              <w:rPr>
                <w:rFonts w:ascii="Calibri" w:hAnsi="Calibri"/>
                <w:sz w:val="20"/>
              </w:rPr>
              <w:t>Patch</w:t>
            </w:r>
          </w:p>
        </w:tc>
        <w:tc>
          <w:tcPr>
            <w:tcW w:w="0" w:type="auto"/>
            <w:tcBorders>
              <w:bottom w:val="single" w:sz="16" w:space="0" w:color="D3D3D3"/>
            </w:tcBorders>
          </w:tcPr>
          <w:p w14:paraId="4DBDA472" w14:textId="77777777" w:rsidR="0082324D" w:rsidRDefault="0082324D" w:rsidP="00AD46D9">
            <w:pPr>
              <w:keepNext/>
              <w:spacing w:after="60"/>
              <w:jc w:val="right"/>
            </w:pPr>
            <w:r>
              <w:rPr>
                <w:rFonts w:ascii="Calibri" w:hAnsi="Calibri"/>
                <w:sz w:val="20"/>
              </w:rPr>
              <w:t>Ring</w:t>
            </w:r>
          </w:p>
        </w:tc>
        <w:tc>
          <w:tcPr>
            <w:tcW w:w="0" w:type="auto"/>
            <w:tcBorders>
              <w:bottom w:val="single" w:sz="16" w:space="0" w:color="D3D3D3"/>
            </w:tcBorders>
          </w:tcPr>
          <w:p w14:paraId="7F5A81FA" w14:textId="77777777" w:rsidR="0082324D" w:rsidRDefault="0082324D" w:rsidP="00AD46D9">
            <w:pPr>
              <w:keepNext/>
              <w:spacing w:after="60"/>
              <w:jc w:val="right"/>
            </w:pPr>
            <w:r>
              <w:rPr>
                <w:rFonts w:ascii="Calibri" w:hAnsi="Calibri"/>
                <w:sz w:val="20"/>
              </w:rPr>
              <w:t>All EC</w:t>
            </w:r>
          </w:p>
        </w:tc>
        <w:tc>
          <w:tcPr>
            <w:tcW w:w="0" w:type="auto"/>
            <w:tcBorders>
              <w:bottom w:val="single" w:sz="16" w:space="0" w:color="D3D3D3"/>
            </w:tcBorders>
          </w:tcPr>
          <w:p w14:paraId="4E39487C" w14:textId="77777777" w:rsidR="0082324D" w:rsidRDefault="0082324D" w:rsidP="00AD46D9">
            <w:pPr>
              <w:keepNext/>
              <w:spacing w:after="60"/>
              <w:jc w:val="right"/>
            </w:pPr>
            <w:proofErr w:type="spellStart"/>
            <w:r>
              <w:rPr>
                <w:rFonts w:ascii="Calibri" w:hAnsi="Calibri"/>
                <w:sz w:val="20"/>
              </w:rPr>
              <w:t>Uli</w:t>
            </w:r>
            <w:proofErr w:type="spellEnd"/>
          </w:p>
        </w:tc>
        <w:tc>
          <w:tcPr>
            <w:tcW w:w="0" w:type="auto"/>
            <w:tcBorders>
              <w:bottom w:val="single" w:sz="16" w:space="0" w:color="D3D3D3"/>
              <w:right w:val="single" w:sz="0" w:space="0" w:color="D3D3D3"/>
            </w:tcBorders>
          </w:tcPr>
          <w:p w14:paraId="069E8FD9" w14:textId="77777777" w:rsidR="0082324D" w:rsidRDefault="0082324D" w:rsidP="00AD46D9">
            <w:pPr>
              <w:keepNext/>
              <w:spacing w:after="60"/>
              <w:jc w:val="right"/>
            </w:pPr>
            <w:proofErr w:type="spellStart"/>
            <w:r>
              <w:rPr>
                <w:rFonts w:ascii="Calibri" w:hAnsi="Calibri"/>
                <w:sz w:val="20"/>
              </w:rPr>
              <w:t>Levo</w:t>
            </w:r>
            <w:proofErr w:type="spellEnd"/>
          </w:p>
        </w:tc>
      </w:tr>
      <w:tr w:rsidR="0082324D" w14:paraId="1EE4DAB6" w14:textId="77777777" w:rsidTr="0082324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40BA62" w14:textId="77777777" w:rsidR="0082324D" w:rsidRDefault="0082324D" w:rsidP="00AD46D9">
            <w:pPr>
              <w:keepNext/>
              <w:spacing w:after="60"/>
            </w:pPr>
            <w:r>
              <w:rPr>
                <w:rFonts w:ascii="Calibri" w:hAnsi="Calibri"/>
                <w:sz w:val="20"/>
              </w:rPr>
              <w:t>Pre-Lockdown</w:t>
            </w:r>
          </w:p>
        </w:tc>
        <w:tc>
          <w:tcPr>
            <w:tcW w:w="583" w:type="pct"/>
            <w:tcBorders>
              <w:top w:val="single" w:sz="0" w:space="0" w:color="D3D3D3"/>
              <w:left w:val="single" w:sz="0" w:space="0" w:color="D3D3D3"/>
              <w:bottom w:val="single" w:sz="0" w:space="0" w:color="D3D3D3"/>
              <w:right w:val="single" w:sz="0" w:space="0" w:color="D3D3D3"/>
            </w:tcBorders>
            <w:shd w:val="clear" w:color="auto" w:fill="000000" w:themeFill="text1"/>
          </w:tcPr>
          <w:p w14:paraId="283B12FA" w14:textId="77777777" w:rsidR="0082324D" w:rsidRPr="0082324D" w:rsidRDefault="0082324D" w:rsidP="00AD46D9">
            <w:pPr>
              <w:keepNext/>
              <w:spacing w:after="60"/>
              <w:jc w:val="right"/>
              <w:rPr>
                <w:rFonts w:ascii="Calibri" w:hAnsi="Calibri"/>
                <w:i/>
                <w:iCs/>
                <w:sz w:val="20"/>
              </w:rPr>
            </w:pPr>
            <w:r w:rsidRPr="0082324D">
              <w:rPr>
                <w:rFonts w:ascii="Calibri" w:hAnsi="Calibri"/>
                <w:i/>
                <w:iCs/>
                <w:sz w:val="20"/>
              </w:rPr>
              <w:t>576,986</w:t>
            </w:r>
          </w:p>
        </w:tc>
        <w:tc>
          <w:tcPr>
            <w:tcW w:w="384" w:type="pct"/>
            <w:tcBorders>
              <w:top w:val="single" w:sz="0" w:space="0" w:color="D3D3D3"/>
              <w:left w:val="single" w:sz="0" w:space="0" w:color="D3D3D3"/>
              <w:bottom w:val="single" w:sz="0" w:space="0" w:color="D3D3D3"/>
              <w:right w:val="single" w:sz="0" w:space="0" w:color="D3D3D3"/>
            </w:tcBorders>
            <w:shd w:val="clear" w:color="auto" w:fill="CCCCCC"/>
          </w:tcPr>
          <w:p w14:paraId="7D53BE55" w14:textId="77777777" w:rsidR="0082324D" w:rsidRDefault="0082324D" w:rsidP="00AD46D9">
            <w:pPr>
              <w:keepNext/>
              <w:spacing w:after="60"/>
              <w:jc w:val="right"/>
            </w:pPr>
            <w:r>
              <w:rPr>
                <w:rFonts w:ascii="Calibri" w:hAnsi="Calibri"/>
                <w:b/>
                <w:sz w:val="20"/>
              </w:rPr>
              <w:t>164,543</w:t>
            </w:r>
          </w:p>
        </w:tc>
        <w:tc>
          <w:tcPr>
            <w:tcW w:w="0" w:type="auto"/>
            <w:tcBorders>
              <w:top w:val="single" w:sz="0" w:space="0" w:color="D3D3D3"/>
              <w:left w:val="single" w:sz="0" w:space="0" w:color="D3D3D3"/>
              <w:bottom w:val="single" w:sz="0" w:space="0" w:color="D3D3D3"/>
              <w:right w:val="single" w:sz="0" w:space="0" w:color="D3D3D3"/>
            </w:tcBorders>
          </w:tcPr>
          <w:p w14:paraId="10B9C7F4" w14:textId="77777777" w:rsidR="0082324D" w:rsidRDefault="0082324D" w:rsidP="00AD46D9">
            <w:pPr>
              <w:keepNext/>
              <w:spacing w:after="60"/>
              <w:jc w:val="right"/>
            </w:pPr>
            <w:r>
              <w:rPr>
                <w:rFonts w:ascii="Calibri" w:hAnsi="Calibri"/>
                <w:sz w:val="20"/>
              </w:rPr>
              <w:t>62,432</w:t>
            </w:r>
          </w:p>
        </w:tc>
        <w:tc>
          <w:tcPr>
            <w:tcW w:w="0" w:type="auto"/>
            <w:tcBorders>
              <w:top w:val="single" w:sz="0" w:space="0" w:color="D3D3D3"/>
              <w:left w:val="single" w:sz="0" w:space="0" w:color="D3D3D3"/>
              <w:bottom w:val="single" w:sz="0" w:space="0" w:color="D3D3D3"/>
              <w:right w:val="single" w:sz="0" w:space="0" w:color="D3D3D3"/>
            </w:tcBorders>
          </w:tcPr>
          <w:p w14:paraId="4238A5E5" w14:textId="77777777" w:rsidR="0082324D" w:rsidRDefault="0082324D" w:rsidP="00AD46D9">
            <w:pPr>
              <w:keepNext/>
              <w:spacing w:after="60"/>
              <w:jc w:val="right"/>
            </w:pPr>
            <w:r>
              <w:rPr>
                <w:rFonts w:ascii="Calibri" w:hAnsi="Calibri"/>
                <w:sz w:val="20"/>
              </w:rPr>
              <w:t>15,641</w:t>
            </w:r>
          </w:p>
        </w:tc>
        <w:tc>
          <w:tcPr>
            <w:tcW w:w="0" w:type="auto"/>
            <w:tcBorders>
              <w:top w:val="single" w:sz="0" w:space="0" w:color="D3D3D3"/>
              <w:left w:val="single" w:sz="0" w:space="0" w:color="D3D3D3"/>
              <w:bottom w:val="single" w:sz="0" w:space="0" w:color="D3D3D3"/>
              <w:right w:val="single" w:sz="0" w:space="0" w:color="D3D3D3"/>
            </w:tcBorders>
          </w:tcPr>
          <w:p w14:paraId="12411C42" w14:textId="77777777" w:rsidR="0082324D" w:rsidRDefault="0082324D" w:rsidP="00AD46D9">
            <w:pPr>
              <w:keepNext/>
              <w:spacing w:after="60"/>
              <w:jc w:val="right"/>
            </w:pPr>
            <w:r>
              <w:rPr>
                <w:rFonts w:ascii="Calibri" w:hAnsi="Calibri"/>
                <w:sz w:val="20"/>
              </w:rPr>
              <w:t>59,004</w:t>
            </w:r>
          </w:p>
        </w:tc>
        <w:tc>
          <w:tcPr>
            <w:tcW w:w="0" w:type="auto"/>
            <w:tcBorders>
              <w:top w:val="single" w:sz="0" w:space="0" w:color="D3D3D3"/>
              <w:left w:val="single" w:sz="0" w:space="0" w:color="D3D3D3"/>
              <w:bottom w:val="single" w:sz="0" w:space="0" w:color="D3D3D3"/>
              <w:right w:val="single" w:sz="0" w:space="0" w:color="D3D3D3"/>
            </w:tcBorders>
          </w:tcPr>
          <w:p w14:paraId="66E5D030" w14:textId="77777777" w:rsidR="0082324D" w:rsidRDefault="0082324D" w:rsidP="00AD46D9">
            <w:pPr>
              <w:keepNext/>
              <w:spacing w:after="60"/>
              <w:jc w:val="right"/>
            </w:pPr>
            <w:r>
              <w:rPr>
                <w:rFonts w:ascii="Calibri" w:hAnsi="Calibri"/>
                <w:sz w:val="20"/>
              </w:rPr>
              <w:t>27,466</w:t>
            </w:r>
          </w:p>
        </w:tc>
        <w:tc>
          <w:tcPr>
            <w:tcW w:w="0" w:type="auto"/>
            <w:tcBorders>
              <w:top w:val="single" w:sz="0" w:space="0" w:color="D3D3D3"/>
              <w:left w:val="single" w:sz="0" w:space="0" w:color="D3D3D3"/>
              <w:bottom w:val="single" w:sz="0" w:space="0" w:color="D3D3D3"/>
              <w:right w:val="single" w:sz="0" w:space="0" w:color="D3D3D3"/>
            </w:tcBorders>
            <w:shd w:val="clear" w:color="auto" w:fill="CCCCCC"/>
          </w:tcPr>
          <w:p w14:paraId="1970B4D4" w14:textId="77777777" w:rsidR="0082324D" w:rsidRDefault="0082324D" w:rsidP="00AD46D9">
            <w:pPr>
              <w:keepNext/>
              <w:spacing w:after="60"/>
              <w:jc w:val="right"/>
            </w:pPr>
            <w:r>
              <w:rPr>
                <w:rFonts w:ascii="Calibri" w:hAnsi="Calibri"/>
                <w:b/>
                <w:sz w:val="20"/>
              </w:rPr>
              <w:t>310,952</w:t>
            </w:r>
          </w:p>
        </w:tc>
        <w:tc>
          <w:tcPr>
            <w:tcW w:w="0" w:type="auto"/>
            <w:tcBorders>
              <w:top w:val="single" w:sz="0" w:space="0" w:color="D3D3D3"/>
              <w:left w:val="single" w:sz="0" w:space="0" w:color="D3D3D3"/>
              <w:bottom w:val="single" w:sz="0" w:space="0" w:color="D3D3D3"/>
              <w:right w:val="single" w:sz="0" w:space="0" w:color="D3D3D3"/>
            </w:tcBorders>
          </w:tcPr>
          <w:p w14:paraId="13D5F85E" w14:textId="77777777" w:rsidR="0082324D" w:rsidRDefault="0082324D" w:rsidP="00AD46D9">
            <w:pPr>
              <w:keepNext/>
              <w:spacing w:after="60"/>
              <w:jc w:val="right"/>
            </w:pPr>
            <w:r>
              <w:rPr>
                <w:rFonts w:ascii="Calibri" w:hAnsi="Calibri"/>
                <w:sz w:val="20"/>
              </w:rPr>
              <w:t>169,096</w:t>
            </w:r>
          </w:p>
        </w:tc>
        <w:tc>
          <w:tcPr>
            <w:tcW w:w="0" w:type="auto"/>
            <w:tcBorders>
              <w:top w:val="single" w:sz="0" w:space="0" w:color="D3D3D3"/>
              <w:left w:val="single" w:sz="0" w:space="0" w:color="D3D3D3"/>
              <w:bottom w:val="single" w:sz="0" w:space="0" w:color="D3D3D3"/>
              <w:right w:val="single" w:sz="0" w:space="0" w:color="D3D3D3"/>
            </w:tcBorders>
          </w:tcPr>
          <w:p w14:paraId="12A5EF57" w14:textId="77777777" w:rsidR="0082324D" w:rsidRDefault="0082324D" w:rsidP="00AD46D9">
            <w:pPr>
              <w:keepNext/>
              <w:spacing w:after="60"/>
              <w:jc w:val="right"/>
            </w:pPr>
            <w:r>
              <w:rPr>
                <w:rFonts w:ascii="Calibri" w:hAnsi="Calibri"/>
                <w:sz w:val="20"/>
              </w:rPr>
              <w:t>141,855</w:t>
            </w:r>
          </w:p>
        </w:tc>
        <w:tc>
          <w:tcPr>
            <w:tcW w:w="0" w:type="auto"/>
            <w:tcBorders>
              <w:top w:val="single" w:sz="0" w:space="0" w:color="D3D3D3"/>
              <w:left w:val="single" w:sz="0" w:space="0" w:color="D3D3D3"/>
              <w:bottom w:val="single" w:sz="0" w:space="0" w:color="D3D3D3"/>
              <w:right w:val="single" w:sz="0" w:space="0" w:color="D3D3D3"/>
            </w:tcBorders>
            <w:shd w:val="clear" w:color="auto" w:fill="CCCCCC"/>
          </w:tcPr>
          <w:p w14:paraId="02DB9122" w14:textId="77777777" w:rsidR="0082324D" w:rsidRDefault="0082324D" w:rsidP="00AD46D9">
            <w:pPr>
              <w:keepNext/>
              <w:spacing w:after="60"/>
              <w:jc w:val="right"/>
            </w:pPr>
            <w:r>
              <w:rPr>
                <w:rFonts w:ascii="Calibri" w:hAnsi="Calibri"/>
                <w:b/>
                <w:sz w:val="20"/>
              </w:rPr>
              <w:t>101,491</w:t>
            </w:r>
          </w:p>
        </w:tc>
        <w:tc>
          <w:tcPr>
            <w:tcW w:w="0" w:type="auto"/>
            <w:tcBorders>
              <w:top w:val="single" w:sz="0" w:space="0" w:color="D3D3D3"/>
              <w:left w:val="single" w:sz="0" w:space="0" w:color="D3D3D3"/>
              <w:bottom w:val="single" w:sz="0" w:space="0" w:color="D3D3D3"/>
              <w:right w:val="single" w:sz="0" w:space="0" w:color="D3D3D3"/>
            </w:tcBorders>
          </w:tcPr>
          <w:p w14:paraId="3C5B857E" w14:textId="77777777" w:rsidR="0082324D" w:rsidRDefault="0082324D" w:rsidP="00AD46D9">
            <w:pPr>
              <w:keepNext/>
              <w:spacing w:after="60"/>
              <w:jc w:val="right"/>
            </w:pPr>
            <w:r>
              <w:rPr>
                <w:rFonts w:ascii="Calibri" w:hAnsi="Calibri"/>
                <w:sz w:val="20"/>
              </w:rPr>
              <w:t>88,340</w:t>
            </w:r>
          </w:p>
        </w:tc>
        <w:tc>
          <w:tcPr>
            <w:tcW w:w="0" w:type="auto"/>
            <w:tcBorders>
              <w:top w:val="single" w:sz="0" w:space="0" w:color="D3D3D3"/>
              <w:left w:val="single" w:sz="0" w:space="0" w:color="D3D3D3"/>
              <w:bottom w:val="single" w:sz="0" w:space="0" w:color="D3D3D3"/>
              <w:right w:val="single" w:sz="0" w:space="0" w:color="D3D3D3"/>
            </w:tcBorders>
          </w:tcPr>
          <w:p w14:paraId="1E1CF8D6" w14:textId="77777777" w:rsidR="0082324D" w:rsidRDefault="0082324D" w:rsidP="00AD46D9">
            <w:pPr>
              <w:keepNext/>
              <w:spacing w:after="60"/>
              <w:jc w:val="right"/>
            </w:pPr>
            <w:r>
              <w:rPr>
                <w:rFonts w:ascii="Calibri" w:hAnsi="Calibri"/>
                <w:sz w:val="20"/>
              </w:rPr>
              <w:t>13,151</w:t>
            </w:r>
          </w:p>
        </w:tc>
        <w:tc>
          <w:tcPr>
            <w:tcW w:w="0" w:type="auto"/>
            <w:tcBorders>
              <w:top w:val="single" w:sz="0" w:space="0" w:color="D3D3D3"/>
              <w:left w:val="single" w:sz="0" w:space="0" w:color="D3D3D3"/>
              <w:bottom w:val="single" w:sz="0" w:space="0" w:color="D3D3D3"/>
              <w:right w:val="single" w:sz="0" w:space="0" w:color="D3D3D3"/>
            </w:tcBorders>
            <w:shd w:val="clear" w:color="auto" w:fill="CCCCCC"/>
          </w:tcPr>
          <w:p w14:paraId="5882EDDA" w14:textId="77777777" w:rsidR="0082324D" w:rsidRDefault="0082324D" w:rsidP="00AD46D9">
            <w:pPr>
              <w:keepNext/>
              <w:spacing w:after="60"/>
              <w:jc w:val="right"/>
            </w:pPr>
            <w:r>
              <w:rPr>
                <w:rFonts w:ascii="Calibri" w:hAnsi="Calibri"/>
                <w:b/>
                <w:sz w:val="20"/>
              </w:rPr>
              <w:t>8,043</w:t>
            </w:r>
          </w:p>
        </w:tc>
        <w:tc>
          <w:tcPr>
            <w:tcW w:w="0" w:type="auto"/>
            <w:tcBorders>
              <w:top w:val="single" w:sz="0" w:space="0" w:color="D3D3D3"/>
              <w:left w:val="single" w:sz="0" w:space="0" w:color="D3D3D3"/>
              <w:bottom w:val="single" w:sz="0" w:space="0" w:color="D3D3D3"/>
              <w:right w:val="single" w:sz="0" w:space="0" w:color="D3D3D3"/>
            </w:tcBorders>
          </w:tcPr>
          <w:p w14:paraId="31EBA24E" w14:textId="77777777" w:rsidR="0082324D" w:rsidRDefault="0082324D" w:rsidP="00AD46D9">
            <w:pPr>
              <w:keepNext/>
              <w:spacing w:after="60"/>
              <w:jc w:val="right"/>
            </w:pPr>
            <w:r>
              <w:rPr>
                <w:rFonts w:ascii="Calibri" w:hAnsi="Calibri"/>
                <w:sz w:val="20"/>
              </w:rPr>
              <w:t>1,486</w:t>
            </w:r>
          </w:p>
        </w:tc>
        <w:tc>
          <w:tcPr>
            <w:tcW w:w="0" w:type="auto"/>
            <w:tcBorders>
              <w:top w:val="single" w:sz="0" w:space="0" w:color="D3D3D3"/>
              <w:left w:val="single" w:sz="0" w:space="0" w:color="D3D3D3"/>
              <w:bottom w:val="single" w:sz="0" w:space="0" w:color="D3D3D3"/>
              <w:right w:val="single" w:sz="0" w:space="0" w:color="D3D3D3"/>
            </w:tcBorders>
          </w:tcPr>
          <w:p w14:paraId="37BE6992" w14:textId="77777777" w:rsidR="0082324D" w:rsidRDefault="0082324D" w:rsidP="00AD46D9">
            <w:pPr>
              <w:keepNext/>
              <w:spacing w:after="60"/>
              <w:jc w:val="right"/>
            </w:pPr>
            <w:r>
              <w:rPr>
                <w:rFonts w:ascii="Calibri" w:hAnsi="Calibri"/>
                <w:sz w:val="20"/>
              </w:rPr>
              <w:t>6,557</w:t>
            </w:r>
          </w:p>
        </w:tc>
      </w:tr>
      <w:tr w:rsidR="0082324D" w14:paraId="7712B2ED" w14:textId="77777777" w:rsidTr="0082324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A73555" w14:textId="77777777" w:rsidR="0082324D" w:rsidRDefault="0082324D" w:rsidP="00AD46D9">
            <w:pPr>
              <w:keepNext/>
              <w:spacing w:after="60"/>
            </w:pPr>
            <w:r>
              <w:rPr>
                <w:rFonts w:ascii="Calibri" w:hAnsi="Calibri"/>
                <w:sz w:val="20"/>
              </w:rPr>
              <w:t>Lockdown</w:t>
            </w:r>
          </w:p>
        </w:tc>
        <w:tc>
          <w:tcPr>
            <w:tcW w:w="583" w:type="pct"/>
            <w:tcBorders>
              <w:top w:val="single" w:sz="0" w:space="0" w:color="D3D3D3"/>
              <w:left w:val="single" w:sz="0" w:space="0" w:color="D3D3D3"/>
              <w:bottom w:val="single" w:sz="0" w:space="0" w:color="D3D3D3"/>
              <w:right w:val="single" w:sz="0" w:space="0" w:color="D3D3D3"/>
            </w:tcBorders>
            <w:shd w:val="clear" w:color="auto" w:fill="000000" w:themeFill="text1"/>
          </w:tcPr>
          <w:p w14:paraId="45B5E714" w14:textId="77777777" w:rsidR="0082324D" w:rsidRPr="0082324D" w:rsidRDefault="0082324D" w:rsidP="00AD46D9">
            <w:pPr>
              <w:keepNext/>
              <w:spacing w:after="60"/>
              <w:jc w:val="right"/>
              <w:rPr>
                <w:rFonts w:ascii="Calibri" w:hAnsi="Calibri"/>
                <w:i/>
                <w:iCs/>
                <w:sz w:val="20"/>
              </w:rPr>
            </w:pPr>
            <w:r w:rsidRPr="0082324D">
              <w:rPr>
                <w:rFonts w:ascii="Calibri" w:hAnsi="Calibri"/>
                <w:i/>
                <w:iCs/>
                <w:sz w:val="20"/>
              </w:rPr>
              <w:t>98,642</w:t>
            </w:r>
          </w:p>
        </w:tc>
        <w:tc>
          <w:tcPr>
            <w:tcW w:w="384" w:type="pct"/>
            <w:tcBorders>
              <w:top w:val="single" w:sz="0" w:space="0" w:color="D3D3D3"/>
              <w:left w:val="single" w:sz="0" w:space="0" w:color="D3D3D3"/>
              <w:bottom w:val="single" w:sz="0" w:space="0" w:color="D3D3D3"/>
              <w:right w:val="single" w:sz="0" w:space="0" w:color="D3D3D3"/>
            </w:tcBorders>
            <w:shd w:val="clear" w:color="auto" w:fill="CCCCCC"/>
          </w:tcPr>
          <w:p w14:paraId="6E6EC500" w14:textId="77777777" w:rsidR="0082324D" w:rsidRDefault="0082324D" w:rsidP="00AD46D9">
            <w:pPr>
              <w:keepNext/>
              <w:spacing w:after="60"/>
              <w:jc w:val="right"/>
            </w:pPr>
            <w:r>
              <w:rPr>
                <w:rFonts w:ascii="Calibri" w:hAnsi="Calibri"/>
                <w:b/>
                <w:sz w:val="20"/>
              </w:rPr>
              <w:t>19,424</w:t>
            </w:r>
          </w:p>
        </w:tc>
        <w:tc>
          <w:tcPr>
            <w:tcW w:w="0" w:type="auto"/>
            <w:tcBorders>
              <w:top w:val="single" w:sz="0" w:space="0" w:color="D3D3D3"/>
              <w:left w:val="single" w:sz="0" w:space="0" w:color="D3D3D3"/>
              <w:bottom w:val="single" w:sz="0" w:space="0" w:color="D3D3D3"/>
              <w:right w:val="single" w:sz="0" w:space="0" w:color="D3D3D3"/>
            </w:tcBorders>
          </w:tcPr>
          <w:p w14:paraId="2A888FEE" w14:textId="77777777" w:rsidR="0082324D" w:rsidRDefault="0082324D" w:rsidP="00AD46D9">
            <w:pPr>
              <w:keepNext/>
              <w:spacing w:after="60"/>
              <w:jc w:val="right"/>
            </w:pPr>
            <w:r>
              <w:rPr>
                <w:rFonts w:ascii="Calibri" w:hAnsi="Calibri"/>
                <w:sz w:val="20"/>
              </w:rPr>
              <w:t>6,912</w:t>
            </w:r>
          </w:p>
        </w:tc>
        <w:tc>
          <w:tcPr>
            <w:tcW w:w="0" w:type="auto"/>
            <w:tcBorders>
              <w:top w:val="single" w:sz="0" w:space="0" w:color="D3D3D3"/>
              <w:left w:val="single" w:sz="0" w:space="0" w:color="D3D3D3"/>
              <w:bottom w:val="single" w:sz="0" w:space="0" w:color="D3D3D3"/>
              <w:right w:val="single" w:sz="0" w:space="0" w:color="D3D3D3"/>
            </w:tcBorders>
          </w:tcPr>
          <w:p w14:paraId="54066BC3" w14:textId="77777777" w:rsidR="0082324D" w:rsidRDefault="0082324D" w:rsidP="00AD46D9">
            <w:pPr>
              <w:keepNext/>
              <w:spacing w:after="60"/>
              <w:jc w:val="right"/>
            </w:pPr>
            <w:r>
              <w:rPr>
                <w:rFonts w:ascii="Calibri" w:hAnsi="Calibri"/>
                <w:sz w:val="20"/>
              </w:rPr>
              <w:t>1,482</w:t>
            </w:r>
          </w:p>
        </w:tc>
        <w:tc>
          <w:tcPr>
            <w:tcW w:w="0" w:type="auto"/>
            <w:tcBorders>
              <w:top w:val="single" w:sz="0" w:space="0" w:color="D3D3D3"/>
              <w:left w:val="single" w:sz="0" w:space="0" w:color="D3D3D3"/>
              <w:bottom w:val="single" w:sz="0" w:space="0" w:color="D3D3D3"/>
              <w:right w:val="single" w:sz="0" w:space="0" w:color="D3D3D3"/>
            </w:tcBorders>
          </w:tcPr>
          <w:p w14:paraId="1560EA90" w14:textId="77777777" w:rsidR="0082324D" w:rsidRDefault="0082324D" w:rsidP="00AD46D9">
            <w:pPr>
              <w:keepNext/>
              <w:spacing w:after="60"/>
              <w:jc w:val="right"/>
            </w:pPr>
            <w:r>
              <w:rPr>
                <w:rFonts w:ascii="Calibri" w:hAnsi="Calibri"/>
                <w:sz w:val="20"/>
              </w:rPr>
              <w:t>5,913</w:t>
            </w:r>
          </w:p>
        </w:tc>
        <w:tc>
          <w:tcPr>
            <w:tcW w:w="0" w:type="auto"/>
            <w:tcBorders>
              <w:top w:val="single" w:sz="0" w:space="0" w:color="D3D3D3"/>
              <w:left w:val="single" w:sz="0" w:space="0" w:color="D3D3D3"/>
              <w:bottom w:val="single" w:sz="0" w:space="0" w:color="D3D3D3"/>
              <w:right w:val="single" w:sz="0" w:space="0" w:color="D3D3D3"/>
            </w:tcBorders>
          </w:tcPr>
          <w:p w14:paraId="42135E2B" w14:textId="77777777" w:rsidR="0082324D" w:rsidRDefault="0082324D" w:rsidP="00AD46D9">
            <w:pPr>
              <w:keepNext/>
              <w:spacing w:after="60"/>
              <w:jc w:val="right"/>
            </w:pPr>
            <w:r>
              <w:rPr>
                <w:rFonts w:ascii="Calibri" w:hAnsi="Calibri"/>
                <w:sz w:val="20"/>
              </w:rPr>
              <w:t>5,116</w:t>
            </w:r>
          </w:p>
        </w:tc>
        <w:tc>
          <w:tcPr>
            <w:tcW w:w="0" w:type="auto"/>
            <w:tcBorders>
              <w:top w:val="single" w:sz="0" w:space="0" w:color="D3D3D3"/>
              <w:left w:val="single" w:sz="0" w:space="0" w:color="D3D3D3"/>
              <w:bottom w:val="single" w:sz="0" w:space="0" w:color="D3D3D3"/>
              <w:right w:val="single" w:sz="0" w:space="0" w:color="D3D3D3"/>
            </w:tcBorders>
            <w:shd w:val="clear" w:color="auto" w:fill="CCCCCC"/>
          </w:tcPr>
          <w:p w14:paraId="7C1078E0" w14:textId="77777777" w:rsidR="0082324D" w:rsidRDefault="0082324D" w:rsidP="00AD46D9">
            <w:pPr>
              <w:keepNext/>
              <w:spacing w:after="60"/>
              <w:jc w:val="right"/>
            </w:pPr>
            <w:r>
              <w:rPr>
                <w:rFonts w:ascii="Calibri" w:hAnsi="Calibri"/>
                <w:b/>
                <w:sz w:val="20"/>
              </w:rPr>
              <w:t>54,852</w:t>
            </w:r>
          </w:p>
        </w:tc>
        <w:tc>
          <w:tcPr>
            <w:tcW w:w="0" w:type="auto"/>
            <w:tcBorders>
              <w:top w:val="single" w:sz="0" w:space="0" w:color="D3D3D3"/>
              <w:left w:val="single" w:sz="0" w:space="0" w:color="D3D3D3"/>
              <w:bottom w:val="single" w:sz="0" w:space="0" w:color="D3D3D3"/>
              <w:right w:val="single" w:sz="0" w:space="0" w:color="D3D3D3"/>
            </w:tcBorders>
          </w:tcPr>
          <w:p w14:paraId="1EFA20BD" w14:textId="77777777" w:rsidR="0082324D" w:rsidRDefault="0082324D" w:rsidP="00AD46D9">
            <w:pPr>
              <w:keepNext/>
              <w:spacing w:after="60"/>
              <w:jc w:val="right"/>
            </w:pPr>
            <w:r>
              <w:rPr>
                <w:rFonts w:ascii="Calibri" w:hAnsi="Calibri"/>
                <w:sz w:val="20"/>
              </w:rPr>
              <w:t>23,637</w:t>
            </w:r>
          </w:p>
        </w:tc>
        <w:tc>
          <w:tcPr>
            <w:tcW w:w="0" w:type="auto"/>
            <w:tcBorders>
              <w:top w:val="single" w:sz="0" w:space="0" w:color="D3D3D3"/>
              <w:left w:val="single" w:sz="0" w:space="0" w:color="D3D3D3"/>
              <w:bottom w:val="single" w:sz="0" w:space="0" w:color="D3D3D3"/>
              <w:right w:val="single" w:sz="0" w:space="0" w:color="D3D3D3"/>
            </w:tcBorders>
          </w:tcPr>
          <w:p w14:paraId="7CC6B3C5" w14:textId="77777777" w:rsidR="0082324D" w:rsidRDefault="0082324D" w:rsidP="00AD46D9">
            <w:pPr>
              <w:keepNext/>
              <w:spacing w:after="60"/>
              <w:jc w:val="right"/>
            </w:pPr>
            <w:r>
              <w:rPr>
                <w:rFonts w:ascii="Calibri" w:hAnsi="Calibri"/>
                <w:sz w:val="20"/>
              </w:rPr>
              <w:t>31,215</w:t>
            </w:r>
          </w:p>
        </w:tc>
        <w:tc>
          <w:tcPr>
            <w:tcW w:w="0" w:type="auto"/>
            <w:tcBorders>
              <w:top w:val="single" w:sz="0" w:space="0" w:color="D3D3D3"/>
              <w:left w:val="single" w:sz="0" w:space="0" w:color="D3D3D3"/>
              <w:bottom w:val="single" w:sz="0" w:space="0" w:color="D3D3D3"/>
              <w:right w:val="single" w:sz="0" w:space="0" w:color="D3D3D3"/>
            </w:tcBorders>
            <w:shd w:val="clear" w:color="auto" w:fill="CCCCCC"/>
          </w:tcPr>
          <w:p w14:paraId="6DEB86D9" w14:textId="77777777" w:rsidR="0082324D" w:rsidRDefault="0082324D" w:rsidP="00AD46D9">
            <w:pPr>
              <w:keepNext/>
              <w:spacing w:after="60"/>
              <w:jc w:val="right"/>
            </w:pPr>
            <w:r>
              <w:rPr>
                <w:rFonts w:ascii="Calibri" w:hAnsi="Calibri"/>
                <w:b/>
                <w:sz w:val="20"/>
              </w:rPr>
              <w:t>24,366</w:t>
            </w:r>
          </w:p>
        </w:tc>
        <w:tc>
          <w:tcPr>
            <w:tcW w:w="0" w:type="auto"/>
            <w:tcBorders>
              <w:top w:val="single" w:sz="0" w:space="0" w:color="D3D3D3"/>
              <w:left w:val="single" w:sz="0" w:space="0" w:color="D3D3D3"/>
              <w:bottom w:val="single" w:sz="0" w:space="0" w:color="D3D3D3"/>
              <w:right w:val="single" w:sz="0" w:space="0" w:color="D3D3D3"/>
            </w:tcBorders>
          </w:tcPr>
          <w:p w14:paraId="7FA11D74" w14:textId="77777777" w:rsidR="0082324D" w:rsidRDefault="0082324D" w:rsidP="00AD46D9">
            <w:pPr>
              <w:keepNext/>
              <w:spacing w:after="60"/>
              <w:jc w:val="right"/>
            </w:pPr>
            <w:r>
              <w:rPr>
                <w:rFonts w:ascii="Calibri" w:hAnsi="Calibri"/>
                <w:sz w:val="20"/>
              </w:rPr>
              <w:t>21,865</w:t>
            </w:r>
          </w:p>
        </w:tc>
        <w:tc>
          <w:tcPr>
            <w:tcW w:w="0" w:type="auto"/>
            <w:tcBorders>
              <w:top w:val="single" w:sz="0" w:space="0" w:color="D3D3D3"/>
              <w:left w:val="single" w:sz="0" w:space="0" w:color="D3D3D3"/>
              <w:bottom w:val="single" w:sz="0" w:space="0" w:color="D3D3D3"/>
              <w:right w:val="single" w:sz="0" w:space="0" w:color="D3D3D3"/>
            </w:tcBorders>
          </w:tcPr>
          <w:p w14:paraId="62F3D743" w14:textId="77777777" w:rsidR="0082324D" w:rsidRDefault="0082324D" w:rsidP="00AD46D9">
            <w:pPr>
              <w:keepNext/>
              <w:spacing w:after="60"/>
              <w:jc w:val="right"/>
            </w:pPr>
            <w:r>
              <w:rPr>
                <w:rFonts w:ascii="Calibri" w:hAnsi="Calibri"/>
                <w:sz w:val="20"/>
              </w:rPr>
              <w:t>2,502</w:t>
            </w:r>
          </w:p>
        </w:tc>
        <w:tc>
          <w:tcPr>
            <w:tcW w:w="0" w:type="auto"/>
            <w:tcBorders>
              <w:top w:val="single" w:sz="0" w:space="0" w:color="D3D3D3"/>
              <w:left w:val="single" w:sz="0" w:space="0" w:color="D3D3D3"/>
              <w:bottom w:val="single" w:sz="0" w:space="0" w:color="D3D3D3"/>
              <w:right w:val="single" w:sz="0" w:space="0" w:color="D3D3D3"/>
            </w:tcBorders>
            <w:shd w:val="clear" w:color="auto" w:fill="CCCCCC"/>
          </w:tcPr>
          <w:p w14:paraId="3F960360" w14:textId="77777777" w:rsidR="0082324D" w:rsidRDefault="0082324D" w:rsidP="00AD46D9">
            <w:pPr>
              <w:keepNext/>
              <w:spacing w:after="60"/>
              <w:jc w:val="right"/>
            </w:pPr>
            <w:r>
              <w:rPr>
                <w:rFonts w:ascii="Calibri" w:hAnsi="Calibri"/>
                <w:b/>
                <w:sz w:val="20"/>
              </w:rPr>
              <w:t>1,118</w:t>
            </w:r>
          </w:p>
        </w:tc>
        <w:tc>
          <w:tcPr>
            <w:tcW w:w="0" w:type="auto"/>
            <w:tcBorders>
              <w:top w:val="single" w:sz="0" w:space="0" w:color="D3D3D3"/>
              <w:left w:val="single" w:sz="0" w:space="0" w:color="D3D3D3"/>
              <w:bottom w:val="single" w:sz="0" w:space="0" w:color="D3D3D3"/>
              <w:right w:val="single" w:sz="0" w:space="0" w:color="D3D3D3"/>
            </w:tcBorders>
          </w:tcPr>
          <w:p w14:paraId="790C5223" w14:textId="77777777" w:rsidR="0082324D" w:rsidRDefault="0082324D" w:rsidP="00AD46D9">
            <w:pPr>
              <w:keepNext/>
              <w:spacing w:after="60"/>
              <w:jc w:val="right"/>
            </w:pPr>
            <w:r>
              <w:rPr>
                <w:rFonts w:ascii="Calibri" w:hAnsi="Calibri"/>
                <w:sz w:val="20"/>
              </w:rPr>
              <w:t>447</w:t>
            </w:r>
          </w:p>
        </w:tc>
        <w:tc>
          <w:tcPr>
            <w:tcW w:w="0" w:type="auto"/>
            <w:tcBorders>
              <w:top w:val="single" w:sz="0" w:space="0" w:color="D3D3D3"/>
              <w:left w:val="single" w:sz="0" w:space="0" w:color="D3D3D3"/>
              <w:bottom w:val="single" w:sz="0" w:space="0" w:color="D3D3D3"/>
              <w:right w:val="single" w:sz="0" w:space="0" w:color="D3D3D3"/>
            </w:tcBorders>
          </w:tcPr>
          <w:p w14:paraId="68B807DE" w14:textId="77777777" w:rsidR="0082324D" w:rsidRDefault="0082324D" w:rsidP="00AD46D9">
            <w:pPr>
              <w:keepNext/>
              <w:spacing w:after="60"/>
              <w:jc w:val="right"/>
            </w:pPr>
            <w:r>
              <w:rPr>
                <w:rFonts w:ascii="Calibri" w:hAnsi="Calibri"/>
                <w:sz w:val="20"/>
              </w:rPr>
              <w:t>670</w:t>
            </w:r>
          </w:p>
        </w:tc>
      </w:tr>
      <w:tr w:rsidR="0082324D" w14:paraId="529383BB" w14:textId="77777777" w:rsidTr="0082324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6721CA" w14:textId="77777777" w:rsidR="0082324D" w:rsidRDefault="0082324D" w:rsidP="00AD46D9">
            <w:pPr>
              <w:keepNext/>
              <w:spacing w:after="60"/>
            </w:pPr>
            <w:r>
              <w:rPr>
                <w:rFonts w:ascii="Calibri" w:hAnsi="Calibri"/>
                <w:sz w:val="20"/>
              </w:rPr>
              <w:t>Restrictions</w:t>
            </w:r>
          </w:p>
        </w:tc>
        <w:tc>
          <w:tcPr>
            <w:tcW w:w="583" w:type="pct"/>
            <w:tcBorders>
              <w:top w:val="single" w:sz="0" w:space="0" w:color="D3D3D3"/>
              <w:left w:val="single" w:sz="0" w:space="0" w:color="D3D3D3"/>
              <w:bottom w:val="single" w:sz="0" w:space="0" w:color="D3D3D3"/>
              <w:right w:val="single" w:sz="0" w:space="0" w:color="D3D3D3"/>
            </w:tcBorders>
            <w:shd w:val="clear" w:color="auto" w:fill="000000" w:themeFill="text1"/>
          </w:tcPr>
          <w:p w14:paraId="4688073E" w14:textId="77777777" w:rsidR="0082324D" w:rsidRPr="0082324D" w:rsidRDefault="0082324D" w:rsidP="00AD46D9">
            <w:pPr>
              <w:keepNext/>
              <w:spacing w:after="60"/>
              <w:jc w:val="right"/>
              <w:rPr>
                <w:rFonts w:ascii="Calibri" w:hAnsi="Calibri"/>
                <w:i/>
                <w:iCs/>
                <w:sz w:val="20"/>
              </w:rPr>
            </w:pPr>
            <w:r w:rsidRPr="0082324D">
              <w:rPr>
                <w:rFonts w:ascii="Calibri" w:hAnsi="Calibri"/>
                <w:i/>
                <w:iCs/>
                <w:sz w:val="20"/>
              </w:rPr>
              <w:t>444,055</w:t>
            </w:r>
          </w:p>
        </w:tc>
        <w:tc>
          <w:tcPr>
            <w:tcW w:w="384" w:type="pct"/>
            <w:tcBorders>
              <w:top w:val="single" w:sz="0" w:space="0" w:color="D3D3D3"/>
              <w:left w:val="single" w:sz="0" w:space="0" w:color="D3D3D3"/>
              <w:bottom w:val="single" w:sz="0" w:space="0" w:color="D3D3D3"/>
              <w:right w:val="single" w:sz="0" w:space="0" w:color="D3D3D3"/>
            </w:tcBorders>
            <w:shd w:val="clear" w:color="auto" w:fill="CCCCCC"/>
          </w:tcPr>
          <w:p w14:paraId="6B8AAC96" w14:textId="77777777" w:rsidR="0082324D" w:rsidRDefault="0082324D" w:rsidP="00AD46D9">
            <w:pPr>
              <w:keepNext/>
              <w:spacing w:after="60"/>
              <w:jc w:val="right"/>
            </w:pPr>
            <w:r>
              <w:rPr>
                <w:rFonts w:ascii="Calibri" w:hAnsi="Calibri"/>
                <w:b/>
                <w:sz w:val="20"/>
              </w:rPr>
              <w:t>105,964</w:t>
            </w:r>
          </w:p>
        </w:tc>
        <w:tc>
          <w:tcPr>
            <w:tcW w:w="0" w:type="auto"/>
            <w:tcBorders>
              <w:top w:val="single" w:sz="0" w:space="0" w:color="D3D3D3"/>
              <w:left w:val="single" w:sz="0" w:space="0" w:color="D3D3D3"/>
              <w:bottom w:val="single" w:sz="0" w:space="0" w:color="D3D3D3"/>
              <w:right w:val="single" w:sz="0" w:space="0" w:color="D3D3D3"/>
            </w:tcBorders>
          </w:tcPr>
          <w:p w14:paraId="420BF93E" w14:textId="77777777" w:rsidR="0082324D" w:rsidRDefault="0082324D" w:rsidP="00AD46D9">
            <w:pPr>
              <w:keepNext/>
              <w:spacing w:after="60"/>
              <w:jc w:val="right"/>
            </w:pPr>
            <w:r>
              <w:rPr>
                <w:rFonts w:ascii="Calibri" w:hAnsi="Calibri"/>
                <w:sz w:val="20"/>
              </w:rPr>
              <w:t>41,102</w:t>
            </w:r>
          </w:p>
        </w:tc>
        <w:tc>
          <w:tcPr>
            <w:tcW w:w="0" w:type="auto"/>
            <w:tcBorders>
              <w:top w:val="single" w:sz="0" w:space="0" w:color="D3D3D3"/>
              <w:left w:val="single" w:sz="0" w:space="0" w:color="D3D3D3"/>
              <w:bottom w:val="single" w:sz="0" w:space="0" w:color="D3D3D3"/>
              <w:right w:val="single" w:sz="0" w:space="0" w:color="D3D3D3"/>
            </w:tcBorders>
          </w:tcPr>
          <w:p w14:paraId="60659803" w14:textId="77777777" w:rsidR="0082324D" w:rsidRDefault="0082324D" w:rsidP="00AD46D9">
            <w:pPr>
              <w:keepNext/>
              <w:spacing w:after="60"/>
              <w:jc w:val="right"/>
            </w:pPr>
            <w:r>
              <w:rPr>
                <w:rFonts w:ascii="Calibri" w:hAnsi="Calibri"/>
                <w:sz w:val="20"/>
              </w:rPr>
              <w:t>9,455</w:t>
            </w:r>
          </w:p>
        </w:tc>
        <w:tc>
          <w:tcPr>
            <w:tcW w:w="0" w:type="auto"/>
            <w:tcBorders>
              <w:top w:val="single" w:sz="0" w:space="0" w:color="D3D3D3"/>
              <w:left w:val="single" w:sz="0" w:space="0" w:color="D3D3D3"/>
              <w:bottom w:val="single" w:sz="0" w:space="0" w:color="D3D3D3"/>
              <w:right w:val="single" w:sz="0" w:space="0" w:color="D3D3D3"/>
            </w:tcBorders>
          </w:tcPr>
          <w:p w14:paraId="348598C9" w14:textId="77777777" w:rsidR="0082324D" w:rsidRDefault="0082324D" w:rsidP="00AD46D9">
            <w:pPr>
              <w:keepNext/>
              <w:spacing w:after="60"/>
              <w:jc w:val="right"/>
            </w:pPr>
            <w:r>
              <w:rPr>
                <w:rFonts w:ascii="Calibri" w:hAnsi="Calibri"/>
                <w:sz w:val="20"/>
              </w:rPr>
              <w:t>33,730</w:t>
            </w:r>
          </w:p>
        </w:tc>
        <w:tc>
          <w:tcPr>
            <w:tcW w:w="0" w:type="auto"/>
            <w:tcBorders>
              <w:top w:val="single" w:sz="0" w:space="0" w:color="D3D3D3"/>
              <w:left w:val="single" w:sz="0" w:space="0" w:color="D3D3D3"/>
              <w:bottom w:val="single" w:sz="0" w:space="0" w:color="D3D3D3"/>
              <w:right w:val="single" w:sz="0" w:space="0" w:color="D3D3D3"/>
            </w:tcBorders>
          </w:tcPr>
          <w:p w14:paraId="04432DDE" w14:textId="77777777" w:rsidR="0082324D" w:rsidRDefault="0082324D" w:rsidP="00AD46D9">
            <w:pPr>
              <w:keepNext/>
              <w:spacing w:after="60"/>
              <w:jc w:val="right"/>
            </w:pPr>
            <w:r>
              <w:rPr>
                <w:rFonts w:ascii="Calibri" w:hAnsi="Calibri"/>
                <w:sz w:val="20"/>
              </w:rPr>
              <w:t>21,676</w:t>
            </w:r>
          </w:p>
        </w:tc>
        <w:tc>
          <w:tcPr>
            <w:tcW w:w="0" w:type="auto"/>
            <w:tcBorders>
              <w:top w:val="single" w:sz="0" w:space="0" w:color="D3D3D3"/>
              <w:left w:val="single" w:sz="0" w:space="0" w:color="D3D3D3"/>
              <w:bottom w:val="single" w:sz="0" w:space="0" w:color="D3D3D3"/>
              <w:right w:val="single" w:sz="0" w:space="0" w:color="D3D3D3"/>
            </w:tcBorders>
            <w:shd w:val="clear" w:color="auto" w:fill="CCCCCC"/>
          </w:tcPr>
          <w:p w14:paraId="20433EC5" w14:textId="77777777" w:rsidR="0082324D" w:rsidRDefault="0082324D" w:rsidP="00AD46D9">
            <w:pPr>
              <w:keepNext/>
              <w:spacing w:after="60"/>
              <w:jc w:val="right"/>
            </w:pPr>
            <w:r>
              <w:rPr>
                <w:rFonts w:ascii="Calibri" w:hAnsi="Calibri"/>
                <w:b/>
                <w:sz w:val="20"/>
              </w:rPr>
              <w:t>232,923</w:t>
            </w:r>
          </w:p>
        </w:tc>
        <w:tc>
          <w:tcPr>
            <w:tcW w:w="0" w:type="auto"/>
            <w:tcBorders>
              <w:top w:val="single" w:sz="0" w:space="0" w:color="D3D3D3"/>
              <w:left w:val="single" w:sz="0" w:space="0" w:color="D3D3D3"/>
              <w:bottom w:val="single" w:sz="0" w:space="0" w:color="D3D3D3"/>
              <w:right w:val="single" w:sz="0" w:space="0" w:color="D3D3D3"/>
            </w:tcBorders>
          </w:tcPr>
          <w:p w14:paraId="4ECBC9FB" w14:textId="77777777" w:rsidR="0082324D" w:rsidRDefault="0082324D" w:rsidP="00AD46D9">
            <w:pPr>
              <w:keepNext/>
              <w:spacing w:after="60"/>
              <w:jc w:val="right"/>
            </w:pPr>
            <w:r>
              <w:rPr>
                <w:rFonts w:ascii="Calibri" w:hAnsi="Calibri"/>
                <w:sz w:val="20"/>
              </w:rPr>
              <w:t>102,547</w:t>
            </w:r>
          </w:p>
        </w:tc>
        <w:tc>
          <w:tcPr>
            <w:tcW w:w="0" w:type="auto"/>
            <w:tcBorders>
              <w:top w:val="single" w:sz="0" w:space="0" w:color="D3D3D3"/>
              <w:left w:val="single" w:sz="0" w:space="0" w:color="D3D3D3"/>
              <w:bottom w:val="single" w:sz="0" w:space="0" w:color="D3D3D3"/>
              <w:right w:val="single" w:sz="0" w:space="0" w:color="D3D3D3"/>
            </w:tcBorders>
          </w:tcPr>
          <w:p w14:paraId="7B1087C8" w14:textId="77777777" w:rsidR="0082324D" w:rsidRDefault="0082324D" w:rsidP="00AD46D9">
            <w:pPr>
              <w:keepNext/>
              <w:spacing w:after="60"/>
              <w:jc w:val="right"/>
            </w:pPr>
            <w:r>
              <w:rPr>
                <w:rFonts w:ascii="Calibri" w:hAnsi="Calibri"/>
                <w:sz w:val="20"/>
              </w:rPr>
              <w:t>130,376</w:t>
            </w:r>
          </w:p>
        </w:tc>
        <w:tc>
          <w:tcPr>
            <w:tcW w:w="0" w:type="auto"/>
            <w:tcBorders>
              <w:top w:val="single" w:sz="0" w:space="0" w:color="D3D3D3"/>
              <w:left w:val="single" w:sz="0" w:space="0" w:color="D3D3D3"/>
              <w:bottom w:val="single" w:sz="0" w:space="0" w:color="D3D3D3"/>
              <w:right w:val="single" w:sz="0" w:space="0" w:color="D3D3D3"/>
            </w:tcBorders>
            <w:shd w:val="clear" w:color="auto" w:fill="CCCCCC"/>
          </w:tcPr>
          <w:p w14:paraId="44360F8C" w14:textId="77777777" w:rsidR="0082324D" w:rsidRDefault="0082324D" w:rsidP="00AD46D9">
            <w:pPr>
              <w:keepNext/>
              <w:spacing w:after="60"/>
              <w:jc w:val="right"/>
            </w:pPr>
            <w:r>
              <w:rPr>
                <w:rFonts w:ascii="Calibri" w:hAnsi="Calibri"/>
                <w:b/>
                <w:sz w:val="20"/>
              </w:rPr>
              <w:t>105,168</w:t>
            </w:r>
          </w:p>
        </w:tc>
        <w:tc>
          <w:tcPr>
            <w:tcW w:w="0" w:type="auto"/>
            <w:tcBorders>
              <w:top w:val="single" w:sz="0" w:space="0" w:color="D3D3D3"/>
              <w:left w:val="single" w:sz="0" w:space="0" w:color="D3D3D3"/>
              <w:bottom w:val="single" w:sz="0" w:space="0" w:color="D3D3D3"/>
              <w:right w:val="single" w:sz="0" w:space="0" w:color="D3D3D3"/>
            </w:tcBorders>
          </w:tcPr>
          <w:p w14:paraId="68FF4C7E" w14:textId="77777777" w:rsidR="0082324D" w:rsidRDefault="0082324D" w:rsidP="00AD46D9">
            <w:pPr>
              <w:keepNext/>
              <w:spacing w:after="60"/>
              <w:jc w:val="right"/>
            </w:pPr>
            <w:r>
              <w:rPr>
                <w:rFonts w:ascii="Calibri" w:hAnsi="Calibri"/>
                <w:sz w:val="20"/>
              </w:rPr>
              <w:t>95,311</w:t>
            </w:r>
          </w:p>
        </w:tc>
        <w:tc>
          <w:tcPr>
            <w:tcW w:w="0" w:type="auto"/>
            <w:tcBorders>
              <w:top w:val="single" w:sz="0" w:space="0" w:color="D3D3D3"/>
              <w:left w:val="single" w:sz="0" w:space="0" w:color="D3D3D3"/>
              <w:bottom w:val="single" w:sz="0" w:space="0" w:color="D3D3D3"/>
              <w:right w:val="single" w:sz="0" w:space="0" w:color="D3D3D3"/>
            </w:tcBorders>
          </w:tcPr>
          <w:p w14:paraId="2526676D" w14:textId="77777777" w:rsidR="0082324D" w:rsidRDefault="0082324D" w:rsidP="00AD46D9">
            <w:pPr>
              <w:keepNext/>
              <w:spacing w:after="60"/>
              <w:jc w:val="right"/>
            </w:pPr>
            <w:r>
              <w:rPr>
                <w:rFonts w:ascii="Calibri" w:hAnsi="Calibri"/>
                <w:sz w:val="20"/>
              </w:rPr>
              <w:t>9,857</w:t>
            </w:r>
          </w:p>
        </w:tc>
        <w:tc>
          <w:tcPr>
            <w:tcW w:w="0" w:type="auto"/>
            <w:tcBorders>
              <w:top w:val="single" w:sz="0" w:space="0" w:color="D3D3D3"/>
              <w:left w:val="single" w:sz="0" w:space="0" w:color="D3D3D3"/>
              <w:bottom w:val="single" w:sz="0" w:space="0" w:color="D3D3D3"/>
              <w:right w:val="single" w:sz="0" w:space="0" w:color="D3D3D3"/>
            </w:tcBorders>
            <w:shd w:val="clear" w:color="auto" w:fill="CCCCCC"/>
          </w:tcPr>
          <w:p w14:paraId="4D5A786B" w14:textId="77777777" w:rsidR="0082324D" w:rsidRDefault="0082324D" w:rsidP="00AD46D9">
            <w:pPr>
              <w:keepNext/>
              <w:spacing w:after="60"/>
              <w:jc w:val="right"/>
            </w:pPr>
            <w:r>
              <w:rPr>
                <w:rFonts w:ascii="Calibri" w:hAnsi="Calibri"/>
                <w:b/>
                <w:sz w:val="20"/>
              </w:rPr>
              <w:t>6,804</w:t>
            </w:r>
          </w:p>
        </w:tc>
        <w:tc>
          <w:tcPr>
            <w:tcW w:w="0" w:type="auto"/>
            <w:tcBorders>
              <w:top w:val="single" w:sz="0" w:space="0" w:color="D3D3D3"/>
              <w:left w:val="single" w:sz="0" w:space="0" w:color="D3D3D3"/>
              <w:bottom w:val="single" w:sz="0" w:space="0" w:color="D3D3D3"/>
              <w:right w:val="single" w:sz="0" w:space="0" w:color="D3D3D3"/>
            </w:tcBorders>
          </w:tcPr>
          <w:p w14:paraId="22CA8713" w14:textId="77777777" w:rsidR="0082324D" w:rsidRDefault="0082324D" w:rsidP="00AD46D9">
            <w:pPr>
              <w:keepNext/>
              <w:spacing w:after="60"/>
              <w:jc w:val="right"/>
            </w:pPr>
            <w:r>
              <w:rPr>
                <w:rFonts w:ascii="Calibri" w:hAnsi="Calibri"/>
                <w:sz w:val="20"/>
              </w:rPr>
              <w:t>2,949</w:t>
            </w:r>
          </w:p>
        </w:tc>
        <w:tc>
          <w:tcPr>
            <w:tcW w:w="0" w:type="auto"/>
            <w:tcBorders>
              <w:top w:val="single" w:sz="0" w:space="0" w:color="D3D3D3"/>
              <w:left w:val="single" w:sz="0" w:space="0" w:color="D3D3D3"/>
              <w:bottom w:val="single" w:sz="0" w:space="0" w:color="D3D3D3"/>
              <w:right w:val="single" w:sz="0" w:space="0" w:color="D3D3D3"/>
            </w:tcBorders>
          </w:tcPr>
          <w:p w14:paraId="4EACB473" w14:textId="77777777" w:rsidR="0082324D" w:rsidRDefault="0082324D" w:rsidP="00AD46D9">
            <w:pPr>
              <w:keepNext/>
              <w:spacing w:after="60"/>
              <w:jc w:val="right"/>
            </w:pPr>
            <w:r>
              <w:rPr>
                <w:rFonts w:ascii="Calibri" w:hAnsi="Calibri"/>
                <w:sz w:val="20"/>
              </w:rPr>
              <w:t>3,855</w:t>
            </w:r>
          </w:p>
        </w:tc>
      </w:tr>
      <w:tr w:rsidR="0082324D" w14:paraId="265FB410" w14:textId="77777777" w:rsidTr="0082324D">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31829E" w14:textId="77777777" w:rsidR="0082324D" w:rsidRDefault="0082324D" w:rsidP="00AD46D9">
            <w:pPr>
              <w:keepNext/>
              <w:spacing w:after="60"/>
            </w:pPr>
            <w:r>
              <w:rPr>
                <w:rFonts w:ascii="Calibri" w:hAnsi="Calibri"/>
                <w:sz w:val="20"/>
              </w:rPr>
              <w:t>Post-Lockdown</w:t>
            </w:r>
          </w:p>
        </w:tc>
        <w:tc>
          <w:tcPr>
            <w:tcW w:w="583" w:type="pct"/>
            <w:tcBorders>
              <w:top w:val="single" w:sz="0" w:space="0" w:color="D3D3D3"/>
              <w:left w:val="single" w:sz="0" w:space="0" w:color="D3D3D3"/>
              <w:bottom w:val="single" w:sz="0" w:space="0" w:color="D3D3D3"/>
              <w:right w:val="single" w:sz="0" w:space="0" w:color="D3D3D3"/>
            </w:tcBorders>
            <w:shd w:val="clear" w:color="auto" w:fill="000000" w:themeFill="text1"/>
          </w:tcPr>
          <w:p w14:paraId="066C872C" w14:textId="77777777" w:rsidR="0082324D" w:rsidRPr="0082324D" w:rsidRDefault="0082324D" w:rsidP="00AD46D9">
            <w:pPr>
              <w:keepNext/>
              <w:spacing w:after="60"/>
              <w:jc w:val="right"/>
              <w:rPr>
                <w:rFonts w:ascii="Calibri" w:hAnsi="Calibri"/>
                <w:i/>
                <w:iCs/>
                <w:sz w:val="20"/>
              </w:rPr>
            </w:pPr>
            <w:r w:rsidRPr="0082324D">
              <w:rPr>
                <w:rFonts w:ascii="Calibri" w:hAnsi="Calibri"/>
                <w:i/>
                <w:iCs/>
                <w:sz w:val="20"/>
              </w:rPr>
              <w:t>624,474</w:t>
            </w:r>
          </w:p>
        </w:tc>
        <w:tc>
          <w:tcPr>
            <w:tcW w:w="384" w:type="pct"/>
            <w:tcBorders>
              <w:top w:val="single" w:sz="0" w:space="0" w:color="D3D3D3"/>
              <w:left w:val="single" w:sz="0" w:space="0" w:color="D3D3D3"/>
              <w:bottom w:val="single" w:sz="0" w:space="0" w:color="D3D3D3"/>
              <w:right w:val="single" w:sz="0" w:space="0" w:color="D3D3D3"/>
            </w:tcBorders>
            <w:shd w:val="clear" w:color="auto" w:fill="CCCCCC"/>
          </w:tcPr>
          <w:p w14:paraId="0C8A5711" w14:textId="77777777" w:rsidR="0082324D" w:rsidRDefault="0082324D" w:rsidP="00AD46D9">
            <w:pPr>
              <w:keepNext/>
              <w:spacing w:after="60"/>
              <w:jc w:val="right"/>
            </w:pPr>
            <w:r>
              <w:rPr>
                <w:rFonts w:ascii="Calibri" w:hAnsi="Calibri"/>
                <w:b/>
                <w:sz w:val="20"/>
              </w:rPr>
              <w:t>161,381</w:t>
            </w:r>
          </w:p>
        </w:tc>
        <w:tc>
          <w:tcPr>
            <w:tcW w:w="0" w:type="auto"/>
            <w:tcBorders>
              <w:top w:val="single" w:sz="0" w:space="0" w:color="D3D3D3"/>
              <w:left w:val="single" w:sz="0" w:space="0" w:color="D3D3D3"/>
              <w:bottom w:val="single" w:sz="0" w:space="0" w:color="D3D3D3"/>
              <w:right w:val="single" w:sz="0" w:space="0" w:color="D3D3D3"/>
            </w:tcBorders>
          </w:tcPr>
          <w:p w14:paraId="323ACBE1" w14:textId="77777777" w:rsidR="0082324D" w:rsidRDefault="0082324D" w:rsidP="00AD46D9">
            <w:pPr>
              <w:keepNext/>
              <w:spacing w:after="60"/>
              <w:jc w:val="right"/>
            </w:pPr>
            <w:r>
              <w:rPr>
                <w:rFonts w:ascii="Calibri" w:hAnsi="Calibri"/>
                <w:sz w:val="20"/>
              </w:rPr>
              <w:t>70,260</w:t>
            </w:r>
          </w:p>
        </w:tc>
        <w:tc>
          <w:tcPr>
            <w:tcW w:w="0" w:type="auto"/>
            <w:tcBorders>
              <w:top w:val="single" w:sz="0" w:space="0" w:color="D3D3D3"/>
              <w:left w:val="single" w:sz="0" w:space="0" w:color="D3D3D3"/>
              <w:bottom w:val="single" w:sz="0" w:space="0" w:color="D3D3D3"/>
              <w:right w:val="single" w:sz="0" w:space="0" w:color="D3D3D3"/>
            </w:tcBorders>
          </w:tcPr>
          <w:p w14:paraId="14AC39D9" w14:textId="77777777" w:rsidR="0082324D" w:rsidRDefault="0082324D" w:rsidP="00AD46D9">
            <w:pPr>
              <w:keepNext/>
              <w:spacing w:after="60"/>
              <w:jc w:val="right"/>
            </w:pPr>
            <w:r>
              <w:rPr>
                <w:rFonts w:ascii="Calibri" w:hAnsi="Calibri"/>
                <w:sz w:val="20"/>
              </w:rPr>
              <w:t>13,080</w:t>
            </w:r>
          </w:p>
        </w:tc>
        <w:tc>
          <w:tcPr>
            <w:tcW w:w="0" w:type="auto"/>
            <w:tcBorders>
              <w:top w:val="single" w:sz="0" w:space="0" w:color="D3D3D3"/>
              <w:left w:val="single" w:sz="0" w:space="0" w:color="D3D3D3"/>
              <w:bottom w:val="single" w:sz="0" w:space="0" w:color="D3D3D3"/>
              <w:right w:val="single" w:sz="0" w:space="0" w:color="D3D3D3"/>
            </w:tcBorders>
          </w:tcPr>
          <w:p w14:paraId="2E3402AA" w14:textId="77777777" w:rsidR="0082324D" w:rsidRDefault="0082324D" w:rsidP="00AD46D9">
            <w:pPr>
              <w:keepNext/>
              <w:spacing w:after="60"/>
              <w:jc w:val="right"/>
            </w:pPr>
            <w:r>
              <w:rPr>
                <w:rFonts w:ascii="Calibri" w:hAnsi="Calibri"/>
                <w:sz w:val="20"/>
              </w:rPr>
              <w:t>47,853</w:t>
            </w:r>
          </w:p>
        </w:tc>
        <w:tc>
          <w:tcPr>
            <w:tcW w:w="0" w:type="auto"/>
            <w:tcBorders>
              <w:top w:val="single" w:sz="0" w:space="0" w:color="D3D3D3"/>
              <w:left w:val="single" w:sz="0" w:space="0" w:color="D3D3D3"/>
              <w:bottom w:val="single" w:sz="0" w:space="0" w:color="D3D3D3"/>
              <w:right w:val="single" w:sz="0" w:space="0" w:color="D3D3D3"/>
            </w:tcBorders>
          </w:tcPr>
          <w:p w14:paraId="1C56FC84" w14:textId="77777777" w:rsidR="0082324D" w:rsidRDefault="0082324D" w:rsidP="00AD46D9">
            <w:pPr>
              <w:keepNext/>
              <w:spacing w:after="60"/>
              <w:jc w:val="right"/>
            </w:pPr>
            <w:r>
              <w:rPr>
                <w:rFonts w:ascii="Calibri" w:hAnsi="Calibri"/>
                <w:sz w:val="20"/>
              </w:rPr>
              <w:t>30,188</w:t>
            </w:r>
          </w:p>
        </w:tc>
        <w:tc>
          <w:tcPr>
            <w:tcW w:w="0" w:type="auto"/>
            <w:tcBorders>
              <w:top w:val="single" w:sz="0" w:space="0" w:color="D3D3D3"/>
              <w:left w:val="single" w:sz="0" w:space="0" w:color="D3D3D3"/>
              <w:bottom w:val="single" w:sz="0" w:space="0" w:color="D3D3D3"/>
              <w:right w:val="single" w:sz="0" w:space="0" w:color="D3D3D3"/>
            </w:tcBorders>
            <w:shd w:val="clear" w:color="auto" w:fill="CCCCCC"/>
          </w:tcPr>
          <w:p w14:paraId="502215BD" w14:textId="77777777" w:rsidR="0082324D" w:rsidRDefault="0082324D" w:rsidP="00AD46D9">
            <w:pPr>
              <w:keepNext/>
              <w:spacing w:after="60"/>
              <w:jc w:val="right"/>
            </w:pPr>
            <w:r>
              <w:rPr>
                <w:rFonts w:ascii="Calibri" w:hAnsi="Calibri"/>
                <w:b/>
                <w:sz w:val="20"/>
              </w:rPr>
              <w:t>304,309</w:t>
            </w:r>
          </w:p>
        </w:tc>
        <w:tc>
          <w:tcPr>
            <w:tcW w:w="0" w:type="auto"/>
            <w:tcBorders>
              <w:top w:val="single" w:sz="0" w:space="0" w:color="D3D3D3"/>
              <w:left w:val="single" w:sz="0" w:space="0" w:color="D3D3D3"/>
              <w:bottom w:val="single" w:sz="0" w:space="0" w:color="D3D3D3"/>
              <w:right w:val="single" w:sz="0" w:space="0" w:color="D3D3D3"/>
            </w:tcBorders>
          </w:tcPr>
          <w:p w14:paraId="46A8DFEE" w14:textId="77777777" w:rsidR="0082324D" w:rsidRDefault="0082324D" w:rsidP="00AD46D9">
            <w:pPr>
              <w:keepNext/>
              <w:spacing w:after="60"/>
              <w:jc w:val="right"/>
            </w:pPr>
            <w:r>
              <w:rPr>
                <w:rFonts w:ascii="Calibri" w:hAnsi="Calibri"/>
                <w:sz w:val="20"/>
              </w:rPr>
              <w:t>126,891</w:t>
            </w:r>
          </w:p>
        </w:tc>
        <w:tc>
          <w:tcPr>
            <w:tcW w:w="0" w:type="auto"/>
            <w:tcBorders>
              <w:top w:val="single" w:sz="0" w:space="0" w:color="D3D3D3"/>
              <w:left w:val="single" w:sz="0" w:space="0" w:color="D3D3D3"/>
              <w:bottom w:val="single" w:sz="0" w:space="0" w:color="D3D3D3"/>
              <w:right w:val="single" w:sz="0" w:space="0" w:color="D3D3D3"/>
            </w:tcBorders>
          </w:tcPr>
          <w:p w14:paraId="57A3995B" w14:textId="77777777" w:rsidR="0082324D" w:rsidRDefault="0082324D" w:rsidP="00AD46D9">
            <w:pPr>
              <w:keepNext/>
              <w:spacing w:after="60"/>
              <w:jc w:val="right"/>
            </w:pPr>
            <w:r>
              <w:rPr>
                <w:rFonts w:ascii="Calibri" w:hAnsi="Calibri"/>
                <w:sz w:val="20"/>
              </w:rPr>
              <w:t>177,418</w:t>
            </w:r>
          </w:p>
        </w:tc>
        <w:tc>
          <w:tcPr>
            <w:tcW w:w="0" w:type="auto"/>
            <w:tcBorders>
              <w:top w:val="single" w:sz="0" w:space="0" w:color="D3D3D3"/>
              <w:left w:val="single" w:sz="0" w:space="0" w:color="D3D3D3"/>
              <w:bottom w:val="single" w:sz="0" w:space="0" w:color="D3D3D3"/>
              <w:right w:val="single" w:sz="0" w:space="0" w:color="D3D3D3"/>
            </w:tcBorders>
            <w:shd w:val="clear" w:color="auto" w:fill="CCCCCC"/>
          </w:tcPr>
          <w:p w14:paraId="3A3F277A" w14:textId="77777777" w:rsidR="0082324D" w:rsidRDefault="0082324D" w:rsidP="00AD46D9">
            <w:pPr>
              <w:keepNext/>
              <w:spacing w:after="60"/>
              <w:jc w:val="right"/>
            </w:pPr>
            <w:r>
              <w:rPr>
                <w:rFonts w:ascii="Calibri" w:hAnsi="Calibri"/>
                <w:b/>
                <w:sz w:val="20"/>
              </w:rPr>
              <w:t>158,784</w:t>
            </w:r>
          </w:p>
        </w:tc>
        <w:tc>
          <w:tcPr>
            <w:tcW w:w="0" w:type="auto"/>
            <w:tcBorders>
              <w:top w:val="single" w:sz="0" w:space="0" w:color="D3D3D3"/>
              <w:left w:val="single" w:sz="0" w:space="0" w:color="D3D3D3"/>
              <w:bottom w:val="single" w:sz="0" w:space="0" w:color="D3D3D3"/>
              <w:right w:val="single" w:sz="0" w:space="0" w:color="D3D3D3"/>
            </w:tcBorders>
          </w:tcPr>
          <w:p w14:paraId="23DA50FC" w14:textId="77777777" w:rsidR="0082324D" w:rsidRDefault="0082324D" w:rsidP="00AD46D9">
            <w:pPr>
              <w:keepNext/>
              <w:spacing w:after="60"/>
              <w:jc w:val="right"/>
            </w:pPr>
            <w:r>
              <w:rPr>
                <w:rFonts w:ascii="Calibri" w:hAnsi="Calibri"/>
                <w:sz w:val="20"/>
              </w:rPr>
              <w:t>145,840</w:t>
            </w:r>
          </w:p>
        </w:tc>
        <w:tc>
          <w:tcPr>
            <w:tcW w:w="0" w:type="auto"/>
            <w:tcBorders>
              <w:top w:val="single" w:sz="0" w:space="0" w:color="D3D3D3"/>
              <w:left w:val="single" w:sz="0" w:space="0" w:color="D3D3D3"/>
              <w:bottom w:val="single" w:sz="0" w:space="0" w:color="D3D3D3"/>
              <w:right w:val="single" w:sz="0" w:space="0" w:color="D3D3D3"/>
            </w:tcBorders>
          </w:tcPr>
          <w:p w14:paraId="096188F9" w14:textId="77777777" w:rsidR="0082324D" w:rsidRDefault="0082324D" w:rsidP="00AD46D9">
            <w:pPr>
              <w:keepNext/>
              <w:spacing w:after="60"/>
              <w:jc w:val="right"/>
            </w:pPr>
            <w:r>
              <w:rPr>
                <w:rFonts w:ascii="Calibri" w:hAnsi="Calibri"/>
                <w:sz w:val="20"/>
              </w:rPr>
              <w:t>12,944</w:t>
            </w:r>
          </w:p>
        </w:tc>
        <w:tc>
          <w:tcPr>
            <w:tcW w:w="0" w:type="auto"/>
            <w:tcBorders>
              <w:top w:val="single" w:sz="0" w:space="0" w:color="D3D3D3"/>
              <w:left w:val="single" w:sz="0" w:space="0" w:color="D3D3D3"/>
              <w:bottom w:val="single" w:sz="0" w:space="0" w:color="D3D3D3"/>
              <w:right w:val="single" w:sz="0" w:space="0" w:color="D3D3D3"/>
            </w:tcBorders>
            <w:shd w:val="clear" w:color="auto" w:fill="CCCCCC"/>
          </w:tcPr>
          <w:p w14:paraId="7DD07F7C" w14:textId="77777777" w:rsidR="0082324D" w:rsidRDefault="0082324D" w:rsidP="00AD46D9">
            <w:pPr>
              <w:keepNext/>
              <w:spacing w:after="60"/>
              <w:jc w:val="right"/>
            </w:pPr>
            <w:r>
              <w:rPr>
                <w:rFonts w:ascii="Calibri" w:hAnsi="Calibri"/>
                <w:b/>
                <w:sz w:val="20"/>
              </w:rPr>
              <w:t>9,741</w:t>
            </w:r>
          </w:p>
        </w:tc>
        <w:tc>
          <w:tcPr>
            <w:tcW w:w="0" w:type="auto"/>
            <w:tcBorders>
              <w:top w:val="single" w:sz="0" w:space="0" w:color="D3D3D3"/>
              <w:left w:val="single" w:sz="0" w:space="0" w:color="D3D3D3"/>
              <w:bottom w:val="single" w:sz="0" w:space="0" w:color="D3D3D3"/>
              <w:right w:val="single" w:sz="0" w:space="0" w:color="D3D3D3"/>
            </w:tcBorders>
          </w:tcPr>
          <w:p w14:paraId="42B7BFBE" w14:textId="77777777" w:rsidR="0082324D" w:rsidRDefault="0082324D" w:rsidP="00AD46D9">
            <w:pPr>
              <w:keepNext/>
              <w:spacing w:after="60"/>
              <w:jc w:val="right"/>
            </w:pPr>
            <w:r>
              <w:rPr>
                <w:rFonts w:ascii="Calibri" w:hAnsi="Calibri"/>
                <w:sz w:val="20"/>
              </w:rPr>
              <w:t>5,320</w:t>
            </w:r>
          </w:p>
        </w:tc>
        <w:tc>
          <w:tcPr>
            <w:tcW w:w="0" w:type="auto"/>
            <w:tcBorders>
              <w:top w:val="single" w:sz="0" w:space="0" w:color="D3D3D3"/>
              <w:left w:val="single" w:sz="0" w:space="0" w:color="D3D3D3"/>
              <w:bottom w:val="single" w:sz="0" w:space="0" w:color="D3D3D3"/>
              <w:right w:val="single" w:sz="0" w:space="0" w:color="D3D3D3"/>
            </w:tcBorders>
          </w:tcPr>
          <w:p w14:paraId="1E43B411" w14:textId="77777777" w:rsidR="0082324D" w:rsidRDefault="0082324D" w:rsidP="00AD46D9">
            <w:pPr>
              <w:keepNext/>
              <w:spacing w:after="60"/>
              <w:jc w:val="right"/>
            </w:pPr>
            <w:r>
              <w:rPr>
                <w:rFonts w:ascii="Calibri" w:hAnsi="Calibri"/>
                <w:sz w:val="20"/>
              </w:rPr>
              <w:t>4,421</w:t>
            </w:r>
          </w:p>
        </w:tc>
      </w:tr>
    </w:tbl>
    <w:p w14:paraId="1117EF2B" w14:textId="3D72FC07" w:rsidR="00F82897" w:rsidRDefault="00527216" w:rsidP="00D01756">
      <w:pPr>
        <w:pStyle w:val="BodyText"/>
      </w:pPr>
      <w:r>
        <w:t xml:space="preserve">Rounded to nearest whole month. Units = </w:t>
      </w:r>
      <w:r w:rsidR="00096F8E">
        <w:t>MMCC</w:t>
      </w:r>
      <w:r>
        <w:t>.</w:t>
      </w:r>
    </w:p>
    <w:sectPr w:rsidR="00F82897" w:rsidSect="00390300">
      <w:pgSz w:w="15840" w:h="12240" w:orient="landscape"/>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DD526" w14:textId="77777777" w:rsidR="00670DDC" w:rsidRDefault="00670DDC">
      <w:pPr>
        <w:spacing w:after="0"/>
      </w:pPr>
      <w:r>
        <w:separator/>
      </w:r>
    </w:p>
  </w:endnote>
  <w:endnote w:type="continuationSeparator" w:id="0">
    <w:p w14:paraId="48105F69" w14:textId="77777777" w:rsidR="00670DDC" w:rsidRDefault="00670D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lOne Mono">
    <w:panose1 w:val="020B0509020203020204"/>
    <w:charset w:val="4D"/>
    <w:family w:val="modern"/>
    <w:pitch w:val="fixed"/>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0344554"/>
      <w:docPartObj>
        <w:docPartGallery w:val="Page Numbers (Bottom of Page)"/>
        <w:docPartUnique/>
      </w:docPartObj>
    </w:sdtPr>
    <w:sdtContent>
      <w:p w14:paraId="69DF06A6" w14:textId="6A22BEA2" w:rsidR="00A04103" w:rsidRDefault="00A04103" w:rsidP="00574B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90893">
          <w:rPr>
            <w:rStyle w:val="PageNumber"/>
            <w:noProof/>
          </w:rPr>
          <w:t>11</w:t>
        </w:r>
        <w:r>
          <w:rPr>
            <w:rStyle w:val="PageNumber"/>
          </w:rPr>
          <w:fldChar w:fldCharType="end"/>
        </w:r>
      </w:p>
    </w:sdtContent>
  </w:sdt>
  <w:p w14:paraId="4D7DB03E" w14:textId="77777777" w:rsidR="00A04103" w:rsidRDefault="00A041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705426"/>
      <w:docPartObj>
        <w:docPartGallery w:val="Page Numbers (Bottom of Page)"/>
        <w:docPartUnique/>
      </w:docPartObj>
    </w:sdtPr>
    <w:sdtContent>
      <w:p w14:paraId="4BD0EF1B" w14:textId="3D2C5408" w:rsidR="00A04103" w:rsidRDefault="00A04103" w:rsidP="00574B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A3390F" w14:textId="77777777" w:rsidR="00A04103" w:rsidRDefault="00A041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6A0AB" w14:textId="77777777" w:rsidR="00670DDC" w:rsidRDefault="00670DDC">
      <w:r>
        <w:separator/>
      </w:r>
    </w:p>
  </w:footnote>
  <w:footnote w:type="continuationSeparator" w:id="0">
    <w:p w14:paraId="0608AAB2" w14:textId="77777777" w:rsidR="00670DDC" w:rsidRDefault="00670D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8884C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4208FE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C320E7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7C6AB7"/>
    <w:multiLevelType w:val="hybridMultilevel"/>
    <w:tmpl w:val="85A8FF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0F31B2"/>
    <w:multiLevelType w:val="multilevel"/>
    <w:tmpl w:val="F1500BB6"/>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5A7144"/>
    <w:multiLevelType w:val="hybridMultilevel"/>
    <w:tmpl w:val="39B078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04B687B"/>
    <w:multiLevelType w:val="multilevel"/>
    <w:tmpl w:val="39B0783C"/>
    <w:styleLink w:val="CurrentList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9262CB9"/>
    <w:multiLevelType w:val="multilevel"/>
    <w:tmpl w:val="E402BF24"/>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A9347D3"/>
    <w:multiLevelType w:val="multilevel"/>
    <w:tmpl w:val="F1500BB6"/>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61752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D40480"/>
    <w:multiLevelType w:val="hybridMultilevel"/>
    <w:tmpl w:val="97529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1851B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AE51FF"/>
    <w:multiLevelType w:val="hybridMultilevel"/>
    <w:tmpl w:val="B48277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14832853">
    <w:abstractNumId w:val="0"/>
  </w:num>
  <w:num w:numId="2" w16cid:durableId="293680829">
    <w:abstractNumId w:val="1"/>
  </w:num>
  <w:num w:numId="3" w16cid:durableId="1693337321">
    <w:abstractNumId w:val="4"/>
  </w:num>
  <w:num w:numId="4" w16cid:durableId="1911303456">
    <w:abstractNumId w:val="7"/>
  </w:num>
  <w:num w:numId="5" w16cid:durableId="651911282">
    <w:abstractNumId w:val="10"/>
  </w:num>
  <w:num w:numId="6" w16cid:durableId="827289074">
    <w:abstractNumId w:val="5"/>
  </w:num>
  <w:num w:numId="7" w16cid:durableId="276110444">
    <w:abstractNumId w:val="6"/>
  </w:num>
  <w:num w:numId="8" w16cid:durableId="1758556215">
    <w:abstractNumId w:val="9"/>
  </w:num>
  <w:num w:numId="9" w16cid:durableId="1702050065">
    <w:abstractNumId w:val="2"/>
  </w:num>
  <w:num w:numId="10" w16cid:durableId="1110318009">
    <w:abstractNumId w:val="11"/>
  </w:num>
  <w:num w:numId="11" w16cid:durableId="1298146050">
    <w:abstractNumId w:val="8"/>
  </w:num>
  <w:num w:numId="12" w16cid:durableId="635575006">
    <w:abstractNumId w:val="12"/>
  </w:num>
  <w:num w:numId="13" w16cid:durableId="1539972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480A"/>
    <w:rsid w:val="00024135"/>
    <w:rsid w:val="00070709"/>
    <w:rsid w:val="00096F8E"/>
    <w:rsid w:val="000D730A"/>
    <w:rsid w:val="00101F47"/>
    <w:rsid w:val="00151140"/>
    <w:rsid w:val="00166DAD"/>
    <w:rsid w:val="00167A13"/>
    <w:rsid w:val="00190893"/>
    <w:rsid w:val="001A4E91"/>
    <w:rsid w:val="001B1918"/>
    <w:rsid w:val="001B480A"/>
    <w:rsid w:val="00202912"/>
    <w:rsid w:val="00212B2B"/>
    <w:rsid w:val="00230F0A"/>
    <w:rsid w:val="002742BD"/>
    <w:rsid w:val="002A6702"/>
    <w:rsid w:val="00341C56"/>
    <w:rsid w:val="00347563"/>
    <w:rsid w:val="003672B5"/>
    <w:rsid w:val="00374320"/>
    <w:rsid w:val="00390300"/>
    <w:rsid w:val="003A25BD"/>
    <w:rsid w:val="003A332C"/>
    <w:rsid w:val="0040070D"/>
    <w:rsid w:val="00417062"/>
    <w:rsid w:val="00450D15"/>
    <w:rsid w:val="004513FA"/>
    <w:rsid w:val="0046556A"/>
    <w:rsid w:val="004668ED"/>
    <w:rsid w:val="004F7FD2"/>
    <w:rsid w:val="00527216"/>
    <w:rsid w:val="0054548C"/>
    <w:rsid w:val="00553156"/>
    <w:rsid w:val="00573E3C"/>
    <w:rsid w:val="005821D8"/>
    <w:rsid w:val="00590F6E"/>
    <w:rsid w:val="005A6BA4"/>
    <w:rsid w:val="005E1AE1"/>
    <w:rsid w:val="00614231"/>
    <w:rsid w:val="00627D2A"/>
    <w:rsid w:val="00636023"/>
    <w:rsid w:val="00670DDC"/>
    <w:rsid w:val="00674F56"/>
    <w:rsid w:val="006956F6"/>
    <w:rsid w:val="006B0A2A"/>
    <w:rsid w:val="0072485F"/>
    <w:rsid w:val="00725CAE"/>
    <w:rsid w:val="00761CDC"/>
    <w:rsid w:val="007B458B"/>
    <w:rsid w:val="007E1C17"/>
    <w:rsid w:val="007F3781"/>
    <w:rsid w:val="008044BB"/>
    <w:rsid w:val="00807E44"/>
    <w:rsid w:val="00812C62"/>
    <w:rsid w:val="0082047F"/>
    <w:rsid w:val="0082324D"/>
    <w:rsid w:val="008562C4"/>
    <w:rsid w:val="00857711"/>
    <w:rsid w:val="008B6E52"/>
    <w:rsid w:val="008F5F75"/>
    <w:rsid w:val="00903492"/>
    <w:rsid w:val="00903CCF"/>
    <w:rsid w:val="009129C2"/>
    <w:rsid w:val="009261C4"/>
    <w:rsid w:val="009510EC"/>
    <w:rsid w:val="0095516E"/>
    <w:rsid w:val="009974BB"/>
    <w:rsid w:val="009B7B5D"/>
    <w:rsid w:val="009C1B14"/>
    <w:rsid w:val="009D2113"/>
    <w:rsid w:val="009D3C3C"/>
    <w:rsid w:val="009E04F7"/>
    <w:rsid w:val="009E0867"/>
    <w:rsid w:val="009F0D01"/>
    <w:rsid w:val="009F360A"/>
    <w:rsid w:val="00A04103"/>
    <w:rsid w:val="00A35D37"/>
    <w:rsid w:val="00A55E03"/>
    <w:rsid w:val="00A62AC4"/>
    <w:rsid w:val="00A67924"/>
    <w:rsid w:val="00A72493"/>
    <w:rsid w:val="00A82936"/>
    <w:rsid w:val="00AB47D2"/>
    <w:rsid w:val="00AE12A7"/>
    <w:rsid w:val="00AF259A"/>
    <w:rsid w:val="00B26D2C"/>
    <w:rsid w:val="00B312EB"/>
    <w:rsid w:val="00BB1A9E"/>
    <w:rsid w:val="00BD715C"/>
    <w:rsid w:val="00BE4D15"/>
    <w:rsid w:val="00C3114B"/>
    <w:rsid w:val="00C62774"/>
    <w:rsid w:val="00C97AB0"/>
    <w:rsid w:val="00CA547C"/>
    <w:rsid w:val="00CC2DB0"/>
    <w:rsid w:val="00CE6E54"/>
    <w:rsid w:val="00CF257D"/>
    <w:rsid w:val="00D01756"/>
    <w:rsid w:val="00D14027"/>
    <w:rsid w:val="00D16915"/>
    <w:rsid w:val="00D172C9"/>
    <w:rsid w:val="00D51DD8"/>
    <w:rsid w:val="00D57A31"/>
    <w:rsid w:val="00D81512"/>
    <w:rsid w:val="00D8234C"/>
    <w:rsid w:val="00D936A8"/>
    <w:rsid w:val="00DA3F00"/>
    <w:rsid w:val="00DA54CB"/>
    <w:rsid w:val="00DC7618"/>
    <w:rsid w:val="00E00272"/>
    <w:rsid w:val="00E63AEB"/>
    <w:rsid w:val="00E65508"/>
    <w:rsid w:val="00E6639F"/>
    <w:rsid w:val="00E82D80"/>
    <w:rsid w:val="00EA1E83"/>
    <w:rsid w:val="00EA53FB"/>
    <w:rsid w:val="00ED1A6A"/>
    <w:rsid w:val="00F1000A"/>
    <w:rsid w:val="00F14F79"/>
    <w:rsid w:val="00F27CEC"/>
    <w:rsid w:val="00F27E0C"/>
    <w:rsid w:val="00F3601B"/>
    <w:rsid w:val="00F82897"/>
    <w:rsid w:val="00F91100"/>
    <w:rsid w:val="00F92AF3"/>
    <w:rsid w:val="00F97D12"/>
    <w:rsid w:val="00FB17EF"/>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085B2"/>
  <w15:docId w15:val="{76B66215-1541-4C47-9BA2-0627AF61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rPr>
  </w:style>
  <w:style w:type="paragraph" w:styleId="Heading1">
    <w:name w:val="heading 1"/>
    <w:basedOn w:val="Title"/>
    <w:next w:val="BodyText"/>
    <w:link w:val="Heading1Char"/>
    <w:uiPriority w:val="9"/>
    <w:qFormat/>
    <w:rsid w:val="004F7FD2"/>
    <w:pPr>
      <w:spacing w:before="240" w:after="240"/>
      <w:jc w:val="left"/>
      <w:outlineLvl w:val="0"/>
    </w:pPr>
    <w:rPr>
      <w:bCs w:val="0"/>
      <w:sz w:val="32"/>
      <w:szCs w:val="32"/>
    </w:rPr>
  </w:style>
  <w:style w:type="paragraph" w:styleId="Heading2">
    <w:name w:val="heading 2"/>
    <w:basedOn w:val="Heading1"/>
    <w:next w:val="BodyText"/>
    <w:link w:val="Heading2Char"/>
    <w:uiPriority w:val="9"/>
    <w:unhideWhenUsed/>
    <w:qFormat/>
    <w:rsid w:val="00C3114B"/>
    <w:pPr>
      <w:spacing w:before="200" w:after="0"/>
      <w:ind w:left="720"/>
      <w:outlineLvl w:val="1"/>
    </w:pPr>
    <w:rPr>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D730A"/>
    <w:pPr>
      <w:spacing w:before="180" w:after="180" w:line="480" w:lineRule="auto"/>
    </w:pPr>
    <w:rPr>
      <w:rFonts w:ascii="Helvetica" w:hAnsi="Helvetica"/>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rsid w:val="004F7FD2"/>
    <w:pPr>
      <w:keepNext/>
      <w:keepLines/>
      <w:spacing w:after="360" w:line="480" w:lineRule="auto"/>
      <w:jc w:val="center"/>
    </w:pPr>
    <w:rPr>
      <w:rFonts w:ascii="Helvetica" w:eastAsiaTheme="majorEastAsia" w:hAnsi="Helvetica" w:cstheme="majorBidi"/>
      <w:b/>
      <w:bCs/>
      <w:color w:val="000000" w:themeColor="text1"/>
      <w:sz w:val="36"/>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4F7FD2"/>
    <w:pPr>
      <w:tabs>
        <w:tab w:val="left" w:pos="380"/>
      </w:tabs>
      <w:spacing w:after="0"/>
      <w:ind w:left="384" w:hanging="384"/>
      <w:jc w:val="both"/>
    </w:pPr>
    <w:rPr>
      <w:rFonts w:ascii="Helvetica" w:hAnsi="Helvetica"/>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itleChar">
    <w:name w:val="Title Char"/>
    <w:basedOn w:val="DefaultParagraphFont"/>
    <w:link w:val="Title"/>
    <w:rsid w:val="004F7FD2"/>
    <w:rPr>
      <w:rFonts w:ascii="Helvetica" w:eastAsiaTheme="majorEastAsia" w:hAnsi="Helvetica" w:cstheme="majorBidi"/>
      <w:b/>
      <w:bCs/>
      <w:color w:val="000000" w:themeColor="text1"/>
      <w:sz w:val="36"/>
      <w:szCs w:val="36"/>
    </w:rPr>
  </w:style>
  <w:style w:type="character" w:customStyle="1" w:styleId="Heading1Char">
    <w:name w:val="Heading 1 Char"/>
    <w:basedOn w:val="TitleChar"/>
    <w:link w:val="Heading1"/>
    <w:uiPriority w:val="9"/>
    <w:rsid w:val="004F7FD2"/>
    <w:rPr>
      <w:rFonts w:ascii="Helvetica" w:eastAsiaTheme="majorEastAsia" w:hAnsi="Helvetica" w:cstheme="majorBidi"/>
      <w:b/>
      <w:bCs w:val="0"/>
      <w:color w:val="000000" w:themeColor="text1"/>
      <w:sz w:val="32"/>
      <w:szCs w:val="32"/>
    </w:rPr>
  </w:style>
  <w:style w:type="character" w:customStyle="1" w:styleId="Heading2Char">
    <w:name w:val="Heading 2 Char"/>
    <w:basedOn w:val="Heading1Char"/>
    <w:link w:val="Heading2"/>
    <w:uiPriority w:val="9"/>
    <w:rsid w:val="00C3114B"/>
    <w:rPr>
      <w:rFonts w:ascii="Helvetica" w:eastAsiaTheme="majorEastAsia" w:hAnsi="Helvetica" w:cstheme="majorBidi"/>
      <w:b/>
      <w:bCs/>
      <w:color w:val="000000" w:themeColor="text1"/>
      <w:sz w:val="28"/>
      <w:szCs w:val="28"/>
      <w:lang w:val="en-GB"/>
    </w:rPr>
  </w:style>
  <w:style w:type="character" w:styleId="LineNumber">
    <w:name w:val="line number"/>
    <w:basedOn w:val="DefaultParagraphFont"/>
    <w:rsid w:val="00A04103"/>
  </w:style>
  <w:style w:type="paragraph" w:styleId="Footer">
    <w:name w:val="footer"/>
    <w:basedOn w:val="Normal"/>
    <w:link w:val="FooterChar"/>
    <w:rsid w:val="00A04103"/>
    <w:pPr>
      <w:tabs>
        <w:tab w:val="center" w:pos="4513"/>
        <w:tab w:val="right" w:pos="9026"/>
      </w:tabs>
      <w:spacing w:after="0"/>
    </w:pPr>
  </w:style>
  <w:style w:type="character" w:customStyle="1" w:styleId="FooterChar">
    <w:name w:val="Footer Char"/>
    <w:basedOn w:val="DefaultParagraphFont"/>
    <w:link w:val="Footer"/>
    <w:rsid w:val="00A04103"/>
  </w:style>
  <w:style w:type="character" w:styleId="PageNumber">
    <w:name w:val="page number"/>
    <w:basedOn w:val="DefaultParagraphFont"/>
    <w:rsid w:val="00A04103"/>
  </w:style>
  <w:style w:type="numbering" w:customStyle="1" w:styleId="CurrentList1">
    <w:name w:val="Current List1"/>
    <w:uiPriority w:val="99"/>
    <w:rsid w:val="000D730A"/>
    <w:pPr>
      <w:numPr>
        <w:numId w:val="4"/>
      </w:numPr>
    </w:pPr>
  </w:style>
  <w:style w:type="paragraph" w:styleId="ListParagraph">
    <w:name w:val="List Paragraph"/>
    <w:basedOn w:val="Normal"/>
    <w:rsid w:val="00CE6E54"/>
    <w:pPr>
      <w:ind w:left="720"/>
      <w:contextualSpacing/>
    </w:pPr>
  </w:style>
  <w:style w:type="character" w:styleId="UnresolvedMention">
    <w:name w:val="Unresolved Mention"/>
    <w:basedOn w:val="DefaultParagraphFont"/>
    <w:uiPriority w:val="99"/>
    <w:semiHidden/>
    <w:unhideWhenUsed/>
    <w:rsid w:val="00CE6E54"/>
    <w:rPr>
      <w:color w:val="605E5C"/>
      <w:shd w:val="clear" w:color="auto" w:fill="E1DFDD"/>
    </w:rPr>
  </w:style>
  <w:style w:type="character" w:styleId="FollowedHyperlink">
    <w:name w:val="FollowedHyperlink"/>
    <w:basedOn w:val="DefaultParagraphFont"/>
    <w:rsid w:val="00CE6E54"/>
    <w:rPr>
      <w:color w:val="800080" w:themeColor="followedHyperlink"/>
      <w:u w:val="single"/>
    </w:rPr>
  </w:style>
  <w:style w:type="paragraph" w:styleId="NormalWeb">
    <w:name w:val="Normal (Web)"/>
    <w:basedOn w:val="Normal"/>
    <w:uiPriority w:val="99"/>
    <w:unhideWhenUsed/>
    <w:rsid w:val="00230F0A"/>
    <w:pPr>
      <w:spacing w:before="100" w:beforeAutospacing="1" w:after="100" w:afterAutospacing="1"/>
    </w:pPr>
    <w:rPr>
      <w:rFonts w:ascii="Times New Roman" w:eastAsia="Times New Roman" w:hAnsi="Times New Roman" w:cs="Times New Roman"/>
      <w:lang w:eastAsia="zh-CN"/>
    </w:rPr>
  </w:style>
  <w:style w:type="character" w:customStyle="1" w:styleId="BodyTextChar">
    <w:name w:val="Body Text Char"/>
    <w:basedOn w:val="DefaultParagraphFont"/>
    <w:link w:val="BodyText"/>
    <w:rsid w:val="00D172C9"/>
    <w:rPr>
      <w:rFonts w:ascii="Helvetica" w:hAnsi="Helvetica"/>
    </w:rPr>
  </w:style>
  <w:style w:type="paragraph" w:styleId="Revision">
    <w:name w:val="Revision"/>
    <w:hidden/>
    <w:rsid w:val="00190893"/>
    <w:pPr>
      <w:spacing w:after="0"/>
    </w:pPr>
  </w:style>
  <w:style w:type="numbering" w:customStyle="1" w:styleId="CurrentList2">
    <w:name w:val="Current List2"/>
    <w:uiPriority w:val="99"/>
    <w:rsid w:val="00190893"/>
    <w:pPr>
      <w:numPr>
        <w:numId w:val="7"/>
      </w:numPr>
    </w:pPr>
  </w:style>
  <w:style w:type="table" w:styleId="PlainTable2">
    <w:name w:val="Plain Table 2"/>
    <w:basedOn w:val="TableNormal"/>
    <w:rsid w:val="001A4E9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rsid w:val="00151140"/>
    <w:rPr>
      <w:sz w:val="16"/>
      <w:szCs w:val="16"/>
    </w:rPr>
  </w:style>
  <w:style w:type="paragraph" w:styleId="CommentText">
    <w:name w:val="annotation text"/>
    <w:basedOn w:val="Normal"/>
    <w:link w:val="CommentTextChar"/>
    <w:rsid w:val="00151140"/>
    <w:rPr>
      <w:sz w:val="20"/>
      <w:szCs w:val="20"/>
    </w:rPr>
  </w:style>
  <w:style w:type="character" w:customStyle="1" w:styleId="CommentTextChar">
    <w:name w:val="Comment Text Char"/>
    <w:basedOn w:val="DefaultParagraphFont"/>
    <w:link w:val="CommentText"/>
    <w:rsid w:val="00151140"/>
    <w:rPr>
      <w:sz w:val="20"/>
      <w:szCs w:val="20"/>
      <w:lang w:val="en-GB"/>
    </w:rPr>
  </w:style>
  <w:style w:type="paragraph" w:styleId="CommentSubject">
    <w:name w:val="annotation subject"/>
    <w:basedOn w:val="CommentText"/>
    <w:next w:val="CommentText"/>
    <w:link w:val="CommentSubjectChar"/>
    <w:rsid w:val="00151140"/>
    <w:rPr>
      <w:b/>
      <w:bCs/>
    </w:rPr>
  </w:style>
  <w:style w:type="character" w:customStyle="1" w:styleId="CommentSubjectChar">
    <w:name w:val="Comment Subject Char"/>
    <w:basedOn w:val="CommentTextChar"/>
    <w:link w:val="CommentSubject"/>
    <w:rsid w:val="00151140"/>
    <w:rPr>
      <w:b/>
      <w:bCs/>
      <w:sz w:val="20"/>
      <w:szCs w:val="20"/>
      <w:lang w:val="en-GB"/>
    </w:rPr>
  </w:style>
  <w:style w:type="table" w:styleId="PlainTable1">
    <w:name w:val="Plain Table 1"/>
    <w:basedOn w:val="TableNormal"/>
    <w:rsid w:val="00F8289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F8289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B47D2"/>
    <w:pPr>
      <w:tabs>
        <w:tab w:val="center" w:pos="4513"/>
        <w:tab w:val="right" w:pos="9026"/>
      </w:tabs>
      <w:spacing w:after="0"/>
    </w:pPr>
  </w:style>
  <w:style w:type="character" w:customStyle="1" w:styleId="HeaderChar">
    <w:name w:val="Header Char"/>
    <w:basedOn w:val="DefaultParagraphFont"/>
    <w:link w:val="Header"/>
    <w:rsid w:val="00AB47D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111733">
      <w:bodyDiv w:val="1"/>
      <w:marLeft w:val="0"/>
      <w:marRight w:val="0"/>
      <w:marTop w:val="0"/>
      <w:marBottom w:val="0"/>
      <w:divBdr>
        <w:top w:val="none" w:sz="0" w:space="0" w:color="auto"/>
        <w:left w:val="none" w:sz="0" w:space="0" w:color="auto"/>
        <w:bottom w:val="none" w:sz="0" w:space="0" w:color="auto"/>
        <w:right w:val="none" w:sz="0" w:space="0" w:color="auto"/>
      </w:divBdr>
    </w:div>
    <w:div w:id="452017893">
      <w:bodyDiv w:val="1"/>
      <w:marLeft w:val="0"/>
      <w:marRight w:val="0"/>
      <w:marTop w:val="0"/>
      <w:marBottom w:val="0"/>
      <w:divBdr>
        <w:top w:val="none" w:sz="0" w:space="0" w:color="auto"/>
        <w:left w:val="none" w:sz="0" w:space="0" w:color="auto"/>
        <w:bottom w:val="none" w:sz="0" w:space="0" w:color="auto"/>
        <w:right w:val="none" w:sz="0" w:space="0" w:color="auto"/>
      </w:divBdr>
      <w:divsChild>
        <w:div w:id="756174671">
          <w:marLeft w:val="0"/>
          <w:marRight w:val="0"/>
          <w:marTop w:val="0"/>
          <w:marBottom w:val="0"/>
          <w:divBdr>
            <w:top w:val="none" w:sz="0" w:space="0" w:color="auto"/>
            <w:left w:val="none" w:sz="0" w:space="0" w:color="auto"/>
            <w:bottom w:val="none" w:sz="0" w:space="0" w:color="auto"/>
            <w:right w:val="none" w:sz="0" w:space="0" w:color="auto"/>
          </w:divBdr>
          <w:divsChild>
            <w:div w:id="931015848">
              <w:marLeft w:val="0"/>
              <w:marRight w:val="0"/>
              <w:marTop w:val="0"/>
              <w:marBottom w:val="0"/>
              <w:divBdr>
                <w:top w:val="none" w:sz="0" w:space="0" w:color="auto"/>
                <w:left w:val="none" w:sz="0" w:space="0" w:color="auto"/>
                <w:bottom w:val="none" w:sz="0" w:space="0" w:color="auto"/>
                <w:right w:val="none" w:sz="0" w:space="0" w:color="auto"/>
              </w:divBdr>
              <w:divsChild>
                <w:div w:id="6481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83069">
      <w:bodyDiv w:val="1"/>
      <w:marLeft w:val="0"/>
      <w:marRight w:val="0"/>
      <w:marTop w:val="0"/>
      <w:marBottom w:val="0"/>
      <w:divBdr>
        <w:top w:val="none" w:sz="0" w:space="0" w:color="auto"/>
        <w:left w:val="none" w:sz="0" w:space="0" w:color="auto"/>
        <w:bottom w:val="none" w:sz="0" w:space="0" w:color="auto"/>
        <w:right w:val="none" w:sz="0" w:space="0" w:color="auto"/>
      </w:divBdr>
      <w:divsChild>
        <w:div w:id="1866365207">
          <w:marLeft w:val="0"/>
          <w:marRight w:val="0"/>
          <w:marTop w:val="0"/>
          <w:marBottom w:val="0"/>
          <w:divBdr>
            <w:top w:val="none" w:sz="0" w:space="0" w:color="auto"/>
            <w:left w:val="none" w:sz="0" w:space="0" w:color="auto"/>
            <w:bottom w:val="none" w:sz="0" w:space="0" w:color="auto"/>
            <w:right w:val="none" w:sz="0" w:space="0" w:color="auto"/>
          </w:divBdr>
          <w:divsChild>
            <w:div w:id="44569908">
              <w:marLeft w:val="0"/>
              <w:marRight w:val="0"/>
              <w:marTop w:val="0"/>
              <w:marBottom w:val="0"/>
              <w:divBdr>
                <w:top w:val="none" w:sz="0" w:space="0" w:color="auto"/>
                <w:left w:val="none" w:sz="0" w:space="0" w:color="auto"/>
                <w:bottom w:val="none" w:sz="0" w:space="0" w:color="auto"/>
                <w:right w:val="none" w:sz="0" w:space="0" w:color="auto"/>
              </w:divBdr>
              <w:divsChild>
                <w:div w:id="9641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344277">
      <w:bodyDiv w:val="1"/>
      <w:marLeft w:val="0"/>
      <w:marRight w:val="0"/>
      <w:marTop w:val="0"/>
      <w:marBottom w:val="0"/>
      <w:divBdr>
        <w:top w:val="none" w:sz="0" w:space="0" w:color="auto"/>
        <w:left w:val="none" w:sz="0" w:space="0" w:color="auto"/>
        <w:bottom w:val="none" w:sz="0" w:space="0" w:color="auto"/>
        <w:right w:val="none" w:sz="0" w:space="0" w:color="auto"/>
      </w:divBdr>
    </w:div>
    <w:div w:id="1054036844">
      <w:bodyDiv w:val="1"/>
      <w:marLeft w:val="0"/>
      <w:marRight w:val="0"/>
      <w:marTop w:val="0"/>
      <w:marBottom w:val="0"/>
      <w:divBdr>
        <w:top w:val="none" w:sz="0" w:space="0" w:color="auto"/>
        <w:left w:val="none" w:sz="0" w:space="0" w:color="auto"/>
        <w:bottom w:val="none" w:sz="0" w:space="0" w:color="auto"/>
        <w:right w:val="none" w:sz="0" w:space="0" w:color="auto"/>
      </w:divBdr>
      <w:divsChild>
        <w:div w:id="1971979783">
          <w:marLeft w:val="0"/>
          <w:marRight w:val="0"/>
          <w:marTop w:val="0"/>
          <w:marBottom w:val="0"/>
          <w:divBdr>
            <w:top w:val="none" w:sz="0" w:space="0" w:color="auto"/>
            <w:left w:val="none" w:sz="0" w:space="0" w:color="auto"/>
            <w:bottom w:val="none" w:sz="0" w:space="0" w:color="auto"/>
            <w:right w:val="none" w:sz="0" w:space="0" w:color="auto"/>
          </w:divBdr>
          <w:divsChild>
            <w:div w:id="1682974716">
              <w:marLeft w:val="0"/>
              <w:marRight w:val="0"/>
              <w:marTop w:val="0"/>
              <w:marBottom w:val="0"/>
              <w:divBdr>
                <w:top w:val="none" w:sz="0" w:space="0" w:color="auto"/>
                <w:left w:val="none" w:sz="0" w:space="0" w:color="auto"/>
                <w:bottom w:val="none" w:sz="0" w:space="0" w:color="auto"/>
                <w:right w:val="none" w:sz="0" w:space="0" w:color="auto"/>
              </w:divBdr>
              <w:divsChild>
                <w:div w:id="12482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25727">
      <w:bodyDiv w:val="1"/>
      <w:marLeft w:val="0"/>
      <w:marRight w:val="0"/>
      <w:marTop w:val="0"/>
      <w:marBottom w:val="0"/>
      <w:divBdr>
        <w:top w:val="none" w:sz="0" w:space="0" w:color="auto"/>
        <w:left w:val="none" w:sz="0" w:space="0" w:color="auto"/>
        <w:bottom w:val="none" w:sz="0" w:space="0" w:color="auto"/>
        <w:right w:val="none" w:sz="0" w:space="0" w:color="auto"/>
      </w:divBdr>
    </w:div>
    <w:div w:id="1288463658">
      <w:bodyDiv w:val="1"/>
      <w:marLeft w:val="0"/>
      <w:marRight w:val="0"/>
      <w:marTop w:val="0"/>
      <w:marBottom w:val="0"/>
      <w:divBdr>
        <w:top w:val="none" w:sz="0" w:space="0" w:color="auto"/>
        <w:left w:val="none" w:sz="0" w:space="0" w:color="auto"/>
        <w:bottom w:val="none" w:sz="0" w:space="0" w:color="auto"/>
        <w:right w:val="none" w:sz="0" w:space="0" w:color="auto"/>
      </w:divBdr>
      <w:divsChild>
        <w:div w:id="1477645425">
          <w:marLeft w:val="0"/>
          <w:marRight w:val="0"/>
          <w:marTop w:val="0"/>
          <w:marBottom w:val="0"/>
          <w:divBdr>
            <w:top w:val="none" w:sz="0" w:space="0" w:color="auto"/>
            <w:left w:val="none" w:sz="0" w:space="0" w:color="auto"/>
            <w:bottom w:val="none" w:sz="0" w:space="0" w:color="auto"/>
            <w:right w:val="none" w:sz="0" w:space="0" w:color="auto"/>
          </w:divBdr>
          <w:divsChild>
            <w:div w:id="1473907308">
              <w:marLeft w:val="0"/>
              <w:marRight w:val="0"/>
              <w:marTop w:val="0"/>
              <w:marBottom w:val="0"/>
              <w:divBdr>
                <w:top w:val="none" w:sz="0" w:space="0" w:color="auto"/>
                <w:left w:val="none" w:sz="0" w:space="0" w:color="auto"/>
                <w:bottom w:val="none" w:sz="0" w:space="0" w:color="auto"/>
                <w:right w:val="none" w:sz="0" w:space="0" w:color="auto"/>
              </w:divBdr>
              <w:divsChild>
                <w:div w:id="579019040">
                  <w:marLeft w:val="0"/>
                  <w:marRight w:val="0"/>
                  <w:marTop w:val="0"/>
                  <w:marBottom w:val="0"/>
                  <w:divBdr>
                    <w:top w:val="none" w:sz="0" w:space="0" w:color="auto"/>
                    <w:left w:val="none" w:sz="0" w:space="0" w:color="auto"/>
                    <w:bottom w:val="none" w:sz="0" w:space="0" w:color="auto"/>
                    <w:right w:val="none" w:sz="0" w:space="0" w:color="auto"/>
                  </w:divBdr>
                  <w:divsChild>
                    <w:div w:id="1938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929557">
      <w:bodyDiv w:val="1"/>
      <w:marLeft w:val="0"/>
      <w:marRight w:val="0"/>
      <w:marTop w:val="0"/>
      <w:marBottom w:val="0"/>
      <w:divBdr>
        <w:top w:val="none" w:sz="0" w:space="0" w:color="auto"/>
        <w:left w:val="none" w:sz="0" w:space="0" w:color="auto"/>
        <w:bottom w:val="none" w:sz="0" w:space="0" w:color="auto"/>
        <w:right w:val="none" w:sz="0" w:space="0" w:color="auto"/>
      </w:divBdr>
    </w:div>
    <w:div w:id="1408923007">
      <w:bodyDiv w:val="1"/>
      <w:marLeft w:val="0"/>
      <w:marRight w:val="0"/>
      <w:marTop w:val="0"/>
      <w:marBottom w:val="0"/>
      <w:divBdr>
        <w:top w:val="none" w:sz="0" w:space="0" w:color="auto"/>
        <w:left w:val="none" w:sz="0" w:space="0" w:color="auto"/>
        <w:bottom w:val="none" w:sz="0" w:space="0" w:color="auto"/>
        <w:right w:val="none" w:sz="0" w:space="0" w:color="auto"/>
      </w:divBdr>
    </w:div>
    <w:div w:id="1710715799">
      <w:bodyDiv w:val="1"/>
      <w:marLeft w:val="0"/>
      <w:marRight w:val="0"/>
      <w:marTop w:val="0"/>
      <w:marBottom w:val="0"/>
      <w:divBdr>
        <w:top w:val="none" w:sz="0" w:space="0" w:color="auto"/>
        <w:left w:val="none" w:sz="0" w:space="0" w:color="auto"/>
        <w:bottom w:val="none" w:sz="0" w:space="0" w:color="auto"/>
        <w:right w:val="none" w:sz="0" w:space="0" w:color="auto"/>
      </w:divBdr>
    </w:div>
    <w:div w:id="1894533930">
      <w:bodyDiv w:val="1"/>
      <w:marLeft w:val="0"/>
      <w:marRight w:val="0"/>
      <w:marTop w:val="0"/>
      <w:marBottom w:val="0"/>
      <w:divBdr>
        <w:top w:val="none" w:sz="0" w:space="0" w:color="auto"/>
        <w:left w:val="none" w:sz="0" w:space="0" w:color="auto"/>
        <w:bottom w:val="none" w:sz="0" w:space="0" w:color="auto"/>
        <w:right w:val="none" w:sz="0" w:space="0" w:color="auto"/>
      </w:divBdr>
      <w:divsChild>
        <w:div w:id="790781895">
          <w:marLeft w:val="0"/>
          <w:marRight w:val="0"/>
          <w:marTop w:val="0"/>
          <w:marBottom w:val="0"/>
          <w:divBdr>
            <w:top w:val="none" w:sz="0" w:space="0" w:color="auto"/>
            <w:left w:val="none" w:sz="0" w:space="0" w:color="auto"/>
            <w:bottom w:val="none" w:sz="0" w:space="0" w:color="auto"/>
            <w:right w:val="none" w:sz="0" w:space="0" w:color="auto"/>
          </w:divBdr>
          <w:divsChild>
            <w:div w:id="900871797">
              <w:marLeft w:val="0"/>
              <w:marRight w:val="0"/>
              <w:marTop w:val="0"/>
              <w:marBottom w:val="0"/>
              <w:divBdr>
                <w:top w:val="none" w:sz="0" w:space="0" w:color="auto"/>
                <w:left w:val="none" w:sz="0" w:space="0" w:color="auto"/>
                <w:bottom w:val="none" w:sz="0" w:space="0" w:color="auto"/>
                <w:right w:val="none" w:sz="0" w:space="0" w:color="auto"/>
              </w:divBdr>
              <w:divsChild>
                <w:div w:id="18396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460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data.nhs.scot" TargetMode="Externa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opendata.nhs.scot" TargetMode="External"/><Relationship Id="rId4" Type="http://schemas.openxmlformats.org/officeDocument/2006/relationships/settings" Target="settings.xml"/><Relationship Id="rId9" Type="http://schemas.openxmlformats.org/officeDocument/2006/relationships/hyperlink" Target="https://www.opendata.nhs.scot"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15ED0-4299-3247-A10A-7415110FE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23</Pages>
  <Words>10245</Words>
  <Characters>58399</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Effects of Covid-19 on contraceptive prescribing in Scottish General Practices.</vt:lpstr>
    </vt:vector>
  </TitlesOfParts>
  <Company/>
  <LinksUpToDate>false</LinksUpToDate>
  <CharactersWithSpaces>68507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Covid-19 on contraceptive prescribing in Scottish General Practices.</dc:title>
  <dc:creator>Elliot Johnson-Hall</dc:creator>
  <cp:keywords/>
  <cp:lastModifiedBy>Elliot Johnson-Hall</cp:lastModifiedBy>
  <cp:revision>38</cp:revision>
  <cp:lastPrinted>2023-09-06T07:48:00Z</cp:lastPrinted>
  <dcterms:created xsi:type="dcterms:W3CDTF">2023-09-04T15:25:00Z</dcterms:created>
  <dcterms:modified xsi:type="dcterms:W3CDTF">2023-09-06T07:48:00Z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2023-08-30</vt:lpwstr>
  </property>
  <property fmtid="{D5CDD505-2E9C-101B-9397-08002B2CF9AE}" pid="4" name="header-includes">
    <vt:lpwstr/>
  </property>
  <property fmtid="{D5CDD505-2E9C-101B-9397-08002B2CF9AE}" pid="5" name="output">
    <vt:lpwstr/>
  </property>
  <property fmtid="{D5CDD505-2E9C-101B-9397-08002B2CF9AE}" pid="6" name="ZOTERO_PREF_1">
    <vt:lpwstr>&lt;data data-version="3" zotero-version="6.0.26"&gt;&lt;session id="mjTltI2t"/&gt;&lt;style id="http://www.zotero.org/styles/elsevier-vancouver" hasBibliography="1" bibliographyStyleHasBeenSet="1"/&gt;&lt;prefs&gt;&lt;pref name="fieldType" value="Field"/&gt;&lt;pref name="automaticJourn</vt:lpwstr>
  </property>
  <property fmtid="{D5CDD505-2E9C-101B-9397-08002B2CF9AE}" pid="7" name="ZOTERO_PREF_2">
    <vt:lpwstr>alAbbreviations" value="true"/&gt;&lt;/prefs&gt;&lt;/data&gt;</vt:lpwstr>
  </property>
</Properties>
</file>