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p>
    <w:bookmarkEnd w:id="0"/>
    <w:p w14:paraId="65C8F3C4" w14:textId="5F929F60"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 xml:space="preserve"> 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del w:id="1" w:author="Elliot Martin" w:date="2022-01-25T10:55:00Z">
        <w:r w:rsidR="0084125A" w:rsidDel="00AD7B12">
          <w:rPr>
            <w:rFonts w:ascii="Arial" w:eastAsia="Arial" w:hAnsi="Arial" w:cs="Arial"/>
            <w:color w:val="000000" w:themeColor="text1"/>
          </w:rPr>
          <w:delText xml:space="preserve"> </w:delText>
        </w:r>
      </w:del>
      <w:ins w:id="2" w:author="Elliot Martin" w:date="2022-01-25T10:55:00Z">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ins>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proofErr w:type="gramStart"/>
      <w:r w:rsidR="003D6457" w:rsidRPr="005203CF">
        <w:rPr>
          <w:rFonts w:ascii="Arial" w:eastAsia="Arial" w:hAnsi="Arial" w:cs="Arial"/>
          <w:color w:val="000000" w:themeColor="text1"/>
          <w:vertAlign w:val="superscript"/>
        </w:rPr>
        <w:t>*</w:t>
      </w:r>
      <w:r w:rsidR="007C7FC5" w:rsidRPr="005203CF">
        <w:rPr>
          <w:rFonts w:ascii="Arial" w:eastAsia="Arial" w:hAnsi="Arial" w:cs="Arial"/>
          <w:color w:val="000000" w:themeColor="text1"/>
          <w:vertAlign w:val="superscript"/>
        </w:rPr>
        <w:t>,#</w:t>
      </w:r>
      <w:proofErr w:type="gramEnd"/>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48AA3B31"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color w:val="201F1E"/>
          <w:bdr w:val="none" w:sz="0" w:space="0" w:color="auto" w:frame="1"/>
          <w:shd w:val="clear" w:color="auto" w:fill="FFFFFF"/>
          <w:vertAlign w:val="superscript"/>
        </w:rPr>
        <w:t>#</w:t>
      </w:r>
      <w:r w:rsidRPr="005203CF">
        <w:rPr>
          <w:rFonts w:ascii="Arial" w:hAnsi="Arial" w:cs="Arial"/>
          <w:color w:val="201F1E"/>
          <w:bdr w:val="none" w:sz="0" w:space="0" w:color="auto" w:frame="1"/>
          <w:shd w:val="clear" w:color="auto" w:fill="FFFFFF"/>
        </w:rPr>
        <w:t>Current Address:</w:t>
      </w:r>
      <w:r w:rsidRPr="005203CF">
        <w:rPr>
          <w:rFonts w:ascii="Arial" w:hAnsi="Arial" w:cs="Arial"/>
          <w:vertAlign w:val="superscript"/>
        </w:rPr>
        <w:t xml:space="preserve"> 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6C4D1F2A"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proofErr w:type="gramStart"/>
      <w:r w:rsidR="00B42E83" w:rsidRPr="005203CF">
        <w:rPr>
          <w:rFonts w:ascii="Arial" w:eastAsia="Arial" w:hAnsi="Arial" w:cs="Arial"/>
          <w:color w:val="000000" w:themeColor="text1"/>
        </w:rPr>
        <w:t xml:space="preserve">and </w:t>
      </w:r>
      <w:r w:rsidR="003B0C15" w:rsidRPr="005203CF">
        <w:rPr>
          <w:rFonts w:ascii="Arial" w:eastAsia="Arial" w:hAnsi="Arial" w:cs="Arial"/>
          <w:color w:val="000000" w:themeColor="text1"/>
        </w:rPr>
        <w:t>also</w:t>
      </w:r>
      <w:proofErr w:type="gramEnd"/>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6B80AA33"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FB75E5" w:rsidRPr="005203CF">
        <w:rPr>
          <w:rFonts w:ascii="Arial" w:hAnsi="Arial" w:cs="Arial"/>
        </w:rPr>
        <w:t xml:space="preserve">(Lehmann 2012; </w:t>
      </w:r>
      <w:proofErr w:type="spellStart"/>
      <w:r w:rsidR="00FB75E5" w:rsidRPr="005203CF">
        <w:rPr>
          <w:rFonts w:ascii="Arial" w:hAnsi="Arial" w:cs="Arial"/>
        </w:rPr>
        <w:t>Spradling</w:t>
      </w:r>
      <w:proofErr w:type="spellEnd"/>
      <w:r w:rsidR="00FB75E5" w:rsidRPr="005203CF">
        <w:rPr>
          <w:rFonts w:ascii="Arial" w:hAnsi="Arial" w:cs="Arial"/>
        </w:rPr>
        <w:t xml:space="preserve">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016CA1" w:rsidRPr="005203CF">
        <w:rPr>
          <w:rFonts w:ascii="Arial" w:hAnsi="Arial" w:cs="Arial"/>
          <w:szCs w:val="24"/>
        </w:rPr>
        <w:t>(</w:t>
      </w:r>
      <w:proofErr w:type="spellStart"/>
      <w:r w:rsidR="00016CA1" w:rsidRPr="005203CF">
        <w:rPr>
          <w:rFonts w:ascii="Arial" w:hAnsi="Arial" w:cs="Arial"/>
          <w:szCs w:val="24"/>
        </w:rPr>
        <w:t>Schüpbach</w:t>
      </w:r>
      <w:proofErr w:type="spellEnd"/>
      <w:r w:rsidR="00016CA1" w:rsidRPr="005203CF">
        <w:rPr>
          <w:rFonts w:ascii="Arial" w:hAnsi="Arial" w:cs="Arial"/>
          <w:szCs w:val="24"/>
        </w:rPr>
        <w:t xml:space="preserve"> 1987; Roth 2001; </w:t>
      </w:r>
      <w:proofErr w:type="spellStart"/>
      <w:r w:rsidR="00016CA1" w:rsidRPr="005203CF">
        <w:rPr>
          <w:rFonts w:ascii="Arial" w:hAnsi="Arial" w:cs="Arial"/>
          <w:szCs w:val="24"/>
        </w:rPr>
        <w:t>Xie</w:t>
      </w:r>
      <w:proofErr w:type="spellEnd"/>
      <w:r w:rsidR="00016CA1" w:rsidRPr="005203CF">
        <w:rPr>
          <w:rFonts w:ascii="Arial" w:hAnsi="Arial" w:cs="Arial"/>
          <w:szCs w:val="24"/>
        </w:rPr>
        <w:t xml:space="preserve"> and </w:t>
      </w:r>
      <w:proofErr w:type="spellStart"/>
      <w:r w:rsidR="00016CA1" w:rsidRPr="005203CF">
        <w:rPr>
          <w:rFonts w:ascii="Arial" w:hAnsi="Arial" w:cs="Arial"/>
          <w:szCs w:val="24"/>
        </w:rPr>
        <w:t>Spradling</w:t>
      </w:r>
      <w:proofErr w:type="spellEnd"/>
      <w:r w:rsidR="00016CA1" w:rsidRPr="005203CF">
        <w:rPr>
          <w:rFonts w:ascii="Arial" w:hAnsi="Arial" w:cs="Arial"/>
          <w:szCs w:val="24"/>
        </w:rPr>
        <w:t xml:space="preserve">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lastRenderedPageBreak/>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5E56" w:rsidRPr="005203CF">
        <w:rPr>
          <w:rFonts w:ascii="Arial" w:hAnsi="Arial" w:cs="Arial"/>
        </w:rPr>
        <w:t>(</w:t>
      </w:r>
      <w:proofErr w:type="spellStart"/>
      <w:r w:rsidR="00865E56" w:rsidRPr="005203CF">
        <w:rPr>
          <w:rFonts w:ascii="Arial" w:hAnsi="Arial" w:cs="Arial"/>
        </w:rPr>
        <w:t>Xie</w:t>
      </w:r>
      <w:proofErr w:type="spellEnd"/>
      <w:r w:rsidR="00865E56" w:rsidRPr="005203CF">
        <w:rPr>
          <w:rFonts w:ascii="Arial" w:hAnsi="Arial" w:cs="Arial"/>
        </w:rPr>
        <w:t xml:space="preserve"> and </w:t>
      </w:r>
      <w:proofErr w:type="spellStart"/>
      <w:r w:rsidR="00865E56" w:rsidRPr="005203CF">
        <w:rPr>
          <w:rFonts w:ascii="Arial" w:hAnsi="Arial" w:cs="Arial"/>
        </w:rPr>
        <w:t>Spradling</w:t>
      </w:r>
      <w:proofErr w:type="spellEnd"/>
      <w:r w:rsidR="00865E56" w:rsidRPr="005203CF">
        <w:rPr>
          <w:rFonts w:ascii="Arial" w:hAnsi="Arial" w:cs="Arial"/>
        </w:rPr>
        <w:t xml:space="preserve"> 1998; Dansereau and </w:t>
      </w:r>
      <w:proofErr w:type="spellStart"/>
      <w:r w:rsidR="00865E56" w:rsidRPr="005203CF">
        <w:rPr>
          <w:rFonts w:ascii="Arial" w:hAnsi="Arial" w:cs="Arial"/>
        </w:rPr>
        <w:t>Lasko</w:t>
      </w:r>
      <w:proofErr w:type="spellEnd"/>
      <w:r w:rsidR="00865E56" w:rsidRPr="005203CF">
        <w:rPr>
          <w:rFonts w:ascii="Arial" w:hAnsi="Arial" w:cs="Arial"/>
        </w:rPr>
        <w:t xml:space="preserve">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016CA1" w:rsidRPr="005203CF">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5E56" w:rsidRPr="005203CF">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 xml:space="preserve">(Carpenter 1975; J. Huynh and St Johnston 2000; J.-R. Huynh and St Johnston 2004; </w:t>
      </w:r>
      <w:proofErr w:type="spellStart"/>
      <w:r w:rsidR="00645EB6" w:rsidRPr="005203CF">
        <w:rPr>
          <w:rFonts w:ascii="Arial" w:hAnsi="Arial" w:cs="Arial"/>
        </w:rPr>
        <w:t>Theurkauf</w:t>
      </w:r>
      <w:proofErr w:type="spellEnd"/>
      <w:r w:rsidR="00645EB6" w:rsidRPr="005203CF">
        <w:rPr>
          <w:rFonts w:ascii="Arial" w:hAnsi="Arial" w:cs="Arial"/>
        </w:rPr>
        <w:t xml:space="preserve">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145C81" w:rsidRPr="005203CF">
        <w:rPr>
          <w:rFonts w:ascii="Arial" w:hAnsi="Arial" w:cs="Arial"/>
        </w:rPr>
        <w:t>(Narbonne-</w:t>
      </w:r>
      <w:proofErr w:type="spellStart"/>
      <w:r w:rsidR="00145C81" w:rsidRPr="005203CF">
        <w:rPr>
          <w:rFonts w:ascii="Arial" w:hAnsi="Arial" w:cs="Arial"/>
        </w:rPr>
        <w:t>Reveau</w:t>
      </w:r>
      <w:proofErr w:type="spellEnd"/>
      <w:r w:rsidR="00145C81" w:rsidRPr="005203CF">
        <w:rPr>
          <w:rFonts w:ascii="Arial" w:hAnsi="Arial" w:cs="Arial"/>
        </w:rPr>
        <w:t xml:space="preserve"> et al. 2006; </w:t>
      </w:r>
      <w:proofErr w:type="spellStart"/>
      <w:r w:rsidR="00145C81" w:rsidRPr="005203CF">
        <w:rPr>
          <w:rFonts w:ascii="Arial" w:hAnsi="Arial" w:cs="Arial"/>
        </w:rPr>
        <w:t>Xie</w:t>
      </w:r>
      <w:proofErr w:type="spellEnd"/>
      <w:r w:rsidR="00145C81" w:rsidRPr="005203CF">
        <w:rPr>
          <w:rFonts w:ascii="Arial" w:hAnsi="Arial" w:cs="Arial"/>
        </w:rPr>
        <w:t xml:space="preserve"> and </w:t>
      </w:r>
      <w:proofErr w:type="spellStart"/>
      <w:r w:rsidR="00145C81" w:rsidRPr="005203CF">
        <w:rPr>
          <w:rFonts w:ascii="Arial" w:hAnsi="Arial" w:cs="Arial"/>
        </w:rPr>
        <w:t>Spradling</w:t>
      </w:r>
      <w:proofErr w:type="spellEnd"/>
      <w:r w:rsidR="00145C81" w:rsidRPr="005203CF">
        <w:rPr>
          <w:rFonts w:ascii="Arial" w:hAnsi="Arial" w:cs="Arial"/>
        </w:rPr>
        <w:t xml:space="preserve"> 2000; Forbes et al. 1996)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(J. Huynh and St Johnston 2000; Narbonne-</w:t>
      </w:r>
      <w:proofErr w:type="spellStart"/>
      <w:r w:rsidR="00645EB6" w:rsidRPr="005203CF">
        <w:rPr>
          <w:rFonts w:ascii="Arial" w:hAnsi="Arial" w:cs="Arial"/>
        </w:rPr>
        <w:t>Reveau</w:t>
      </w:r>
      <w:proofErr w:type="spellEnd"/>
      <w:r w:rsidR="00645EB6" w:rsidRPr="005203CF">
        <w:rPr>
          <w:rFonts w:ascii="Arial" w:hAnsi="Arial" w:cs="Arial"/>
        </w:rPr>
        <w:t xml:space="preserve"> et al.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0553179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3" w:author="Elliot Martin" w:date="2022-01-24T15:03:00Z">
        <w:r w:rsidR="0010691B">
          <w:rPr>
            <w:rFonts w:ascii="Arial" w:eastAsia="Arial" w:hAnsi="Arial" w:cs="Arial"/>
            <w:color w:val="000000" w:themeColor="text1"/>
          </w:rPr>
          <w:t>B</w:t>
        </w:r>
        <w:r w:rsidR="0010691B">
          <w:rPr>
            <w:rFonts w:ascii="Arial" w:eastAsia="Arial" w:hAnsi="Arial" w:cs="Arial"/>
            <w:color w:val="000000" w:themeColor="text1"/>
          </w:rPr>
          <w:t>eginning</w:t>
        </w:r>
      </w:ins>
      <w:ins w:id="4" w:author="Elliot Martin" w:date="2022-01-25T10:55:00Z">
        <w:r w:rsidR="00AD7B12">
          <w:rPr>
            <w:rFonts w:ascii="Arial" w:eastAsia="Arial" w:hAnsi="Arial" w:cs="Arial"/>
            <w:color w:val="000000" w:themeColor="text1"/>
          </w:rPr>
          <w:t xml:space="preserve"> with</w:t>
        </w:r>
      </w:ins>
      <w:ins w:id="5" w:author="Elliot Martin" w:date="2022-01-24T15:03:00Z">
        <w:r w:rsidR="0010691B">
          <w:rPr>
            <w:rFonts w:ascii="Arial" w:eastAsia="Arial" w:hAnsi="Arial" w:cs="Arial"/>
            <w:color w:val="000000" w:themeColor="text1"/>
          </w:rPr>
          <w:t xml:space="preserve"> </w:t>
        </w:r>
      </w:ins>
      <w:ins w:id="6" w:author="Elliot Martin" w:date="2022-01-24T17:28:00Z">
        <w:r w:rsidR="00C43DE4">
          <w:rPr>
            <w:rFonts w:ascii="Arial" w:eastAsia="Arial" w:hAnsi="Arial" w:cs="Arial"/>
            <w:color w:val="000000" w:themeColor="text1"/>
          </w:rPr>
          <w:t>the</w:t>
        </w:r>
      </w:ins>
      <w:ins w:id="7" w:author="Elliot Martin" w:date="2022-01-24T15:03:00Z">
        <w:r w:rsidR="0010691B" w:rsidRPr="005203CF">
          <w:rPr>
            <w:rFonts w:ascii="Arial" w:eastAsia="Arial" w:hAnsi="Arial" w:cs="Arial"/>
            <w:color w:val="000000" w:themeColor="text1"/>
          </w:rPr>
          <w:t xml:space="preserve"> </w:t>
        </w:r>
        <w:r w:rsidR="0010691B" w:rsidRPr="005203CF">
          <w:rPr>
            <w:rFonts w:ascii="Arial" w:eastAsia="Arial" w:hAnsi="Arial" w:cs="Arial"/>
            <w:color w:val="000000" w:themeColor="text1"/>
          </w:rPr>
          <w:t>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is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4356" w:rsidRPr="005203CF">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 xml:space="preserve">(Li et al. 2009; </w:t>
      </w:r>
      <w:proofErr w:type="spellStart"/>
      <w:r w:rsidR="00C30721" w:rsidRPr="005203CF">
        <w:rPr>
          <w:rFonts w:ascii="Arial" w:hAnsi="Arial" w:cs="Arial"/>
        </w:rPr>
        <w:t>Carreira</w:t>
      </w:r>
      <w:proofErr w:type="spellEnd"/>
      <w:r w:rsidR="00C30721" w:rsidRPr="005203CF">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EE0497" w:rsidRPr="005203CF">
        <w:rPr>
          <w:rFonts w:ascii="Arial" w:hAnsi="Arial" w:cs="Arial"/>
        </w:rPr>
        <w:t xml:space="preserve">(Slaidina and Lehmann 2014; </w:t>
      </w:r>
      <w:proofErr w:type="spellStart"/>
      <w:r w:rsidR="00EE0497" w:rsidRPr="005203CF">
        <w:rPr>
          <w:rFonts w:ascii="Arial" w:hAnsi="Arial" w:cs="Arial"/>
        </w:rPr>
        <w:t>Carreira</w:t>
      </w:r>
      <w:proofErr w:type="spellEnd"/>
      <w:r w:rsidR="00EE0497" w:rsidRPr="005203CF">
        <w:rPr>
          <w:rFonts w:ascii="Arial" w:hAnsi="Arial" w:cs="Arial"/>
        </w:rPr>
        <w:t>-Rosario et al. 2016; Mercer et al.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751C68E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w:t>
      </w:r>
      <w:proofErr w:type="spellStart"/>
      <w:r w:rsidR="00322A91" w:rsidRPr="005203CF">
        <w:rPr>
          <w:rFonts w:ascii="Arial" w:hAnsi="Arial" w:cs="Arial"/>
        </w:rPr>
        <w:t>Decotto</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2005; </w:t>
      </w:r>
      <w:proofErr w:type="spellStart"/>
      <w:r w:rsidR="00322A91" w:rsidRPr="005203CF">
        <w:rPr>
          <w:rFonts w:ascii="Arial" w:hAnsi="Arial" w:cs="Arial"/>
        </w:rPr>
        <w:t>Xie</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w:t>
      </w:r>
      <w:r w:rsidR="000E0EF8" w:rsidRPr="005203CF">
        <w:rPr>
          <w:rFonts w:ascii="Arial" w:eastAsia="Arial" w:hAnsi="Arial" w:cs="Arial"/>
          <w:color w:val="000000" w:themeColor="text1"/>
        </w:rPr>
        <w:lastRenderedPageBreak/>
        <w:t xml:space="preserve">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 xml:space="preserve">(Nystul and </w:t>
      </w:r>
      <w:proofErr w:type="spellStart"/>
      <w:r w:rsidR="0011241E" w:rsidRPr="005203CF">
        <w:rPr>
          <w:rFonts w:ascii="Arial" w:hAnsi="Arial" w:cs="Arial"/>
        </w:rPr>
        <w:t>Spradling</w:t>
      </w:r>
      <w:proofErr w:type="spellEnd"/>
      <w:r w:rsidR="0011241E" w:rsidRPr="005203CF">
        <w:rPr>
          <w:rFonts w:ascii="Arial" w:hAnsi="Arial" w:cs="Arial"/>
        </w:rPr>
        <w:t xml:space="preserve"> 2010; Margolis and </w:t>
      </w:r>
      <w:proofErr w:type="spellStart"/>
      <w:r w:rsidR="0011241E" w:rsidRPr="005203CF">
        <w:rPr>
          <w:rFonts w:ascii="Arial" w:hAnsi="Arial" w:cs="Arial"/>
        </w:rPr>
        <w:t>Spradling</w:t>
      </w:r>
      <w:proofErr w:type="spellEnd"/>
      <w:r w:rsidR="0011241E" w:rsidRPr="005203CF">
        <w:rPr>
          <w:rFonts w:ascii="Arial" w:hAnsi="Arial" w:cs="Arial"/>
        </w:rPr>
        <w:t xml:space="preserve">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 xml:space="preserve">(Margolis and </w:t>
      </w:r>
      <w:proofErr w:type="spellStart"/>
      <w:r w:rsidR="00142685" w:rsidRPr="005203CF">
        <w:rPr>
          <w:rFonts w:ascii="Arial" w:hAnsi="Arial" w:cs="Arial"/>
        </w:rPr>
        <w:t>Spradling</w:t>
      </w:r>
      <w:proofErr w:type="spellEnd"/>
      <w:r w:rsidR="00142685" w:rsidRPr="005203CF">
        <w:rPr>
          <w:rFonts w:ascii="Arial" w:hAnsi="Arial" w:cs="Arial"/>
        </w:rPr>
        <w:t xml:space="preserve"> 1995; Nystul and </w:t>
      </w:r>
      <w:proofErr w:type="spellStart"/>
      <w:r w:rsidR="00142685" w:rsidRPr="005203CF">
        <w:rPr>
          <w:rFonts w:ascii="Arial" w:hAnsi="Arial" w:cs="Arial"/>
        </w:rPr>
        <w:t>Spradling</w:t>
      </w:r>
      <w:proofErr w:type="spellEnd"/>
      <w:r w:rsidR="00142685" w:rsidRPr="005203CF">
        <w:rPr>
          <w:rFonts w:ascii="Arial" w:hAnsi="Arial" w:cs="Arial"/>
        </w:rPr>
        <w:t xml:space="preserve">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w:t>
      </w:r>
      <w:r w:rsidR="00926556">
        <w:rPr>
          <w:rFonts w:ascii="Arial" w:eastAsia="Arial" w:hAnsi="Arial" w:cs="Arial"/>
          <w:color w:val="000000" w:themeColor="text1"/>
        </w:rPr>
        <w:t xml:space="preserve">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49D24C65"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421551E"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2B372A3D"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and discussion</w:t>
      </w:r>
    </w:p>
    <w:p w14:paraId="1D2FC2D1" w14:textId="3597A3BF"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lastRenderedPageBreak/>
        <w:fldChar w:fldCharType="begin"/>
      </w:r>
      <w:r w:rsidR="00D335D8">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1FF06FD1"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8"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9"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335D8">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10"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11"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however, this work focuses on germline cells</w:t>
        </w:r>
      </w:ins>
      <w:ins w:id="12" w:author="Elliot Martin" w:date="2022-01-24T14:26: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13" w:author="Elliot Martin" w:date="2022-01-24T14:25:00Z">
        <w:r w:rsidR="00D335D8">
          <w:rPr>
            <w:rFonts w:ascii="Arial" w:eastAsia="Arial" w:hAnsi="Arial" w:cs="Arial"/>
            <w:color w:val="000000" w:themeColor="text1"/>
          </w:rPr>
          <w:t>.</w:t>
        </w:r>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05FEAD62"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616DE1F"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RpS19b,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36D28AC5"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w:t>
      </w:r>
      <w:r w:rsidR="005F6841" w:rsidRPr="005203CF">
        <w:rPr>
          <w:rFonts w:ascii="Arial" w:eastAsia="Arial" w:hAnsi="Arial" w:cs="Arial"/>
          <w:color w:val="000000" w:themeColor="text1"/>
        </w:rPr>
        <w:lastRenderedPageBreak/>
        <w:t xml:space="preserve">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6FFBA634"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 xml:space="preserve"> RNAi;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-HS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14"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15"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16" w:author="Elliot Martin" w:date="2022-01-25T12:48:00Z">
        <w:r w:rsidR="002D3BD7" w:rsidRPr="005203CF" w:rsidDel="00D00C35">
          <w:rPr>
            <w:rFonts w:ascii="Arial" w:eastAsia="Arial" w:hAnsi="Arial" w:cs="Arial"/>
            <w:color w:val="000000" w:themeColor="text1"/>
          </w:rPr>
          <w:delText>in</w:delText>
        </w:r>
      </w:del>
      <w:ins w:id="17" w:author="Elliot Martin" w:date="2022-01-25T12:48:00Z">
        <w:r w:rsidR="00D00C35">
          <w:rPr>
            <w:rFonts w:ascii="Arial" w:eastAsia="Arial" w:hAnsi="Arial" w:cs="Arial"/>
            <w:color w:val="000000" w:themeColor="text1"/>
          </w:rPr>
          <w:t xml:space="preserve">in the </w:t>
        </w:r>
      </w:ins>
      <w:del w:id="18"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19" w:author="Elliot Martin" w:date="2022-01-25T12:48:00Z">
        <w:r w:rsidR="00D00C35">
          <w:rPr>
            <w:rFonts w:ascii="Arial" w:eastAsia="Arial" w:hAnsi="Arial" w:cs="Arial"/>
            <w:color w:val="000000" w:themeColor="text1"/>
          </w:rPr>
          <w:t xml:space="preserve">cluster </w:t>
        </w:r>
      </w:ins>
      <w:del w:id="20"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21" w:author="Elliot Martin" w:date="2022-01-25T12:47:00Z">
        <w:r w:rsidR="00540A4A" w:rsidRPr="005203CF" w:rsidDel="00152B0C">
          <w:rPr>
            <w:rFonts w:ascii="Arial" w:eastAsia="Arial" w:hAnsi="Arial" w:cs="Arial"/>
            <w:color w:val="000000" w:themeColor="text1"/>
          </w:rPr>
          <w:delText xml:space="preserve">and 1.19 fold </w:delText>
        </w:r>
      </w:del>
      <w:del w:id="22" w:author="Elliot Martin" w:date="2022-01-25T12:48:00Z">
        <w:r w:rsidR="00540A4A" w:rsidRPr="005203CF" w:rsidDel="00D00C35">
          <w:rPr>
            <w:rFonts w:ascii="Arial" w:eastAsia="Arial" w:hAnsi="Arial" w:cs="Arial"/>
            <w:color w:val="000000" w:themeColor="text1"/>
          </w:rPr>
          <w:delText xml:space="preserve">in the 4CC </w:delText>
        </w:r>
      </w:del>
      <w:del w:id="23" w:author="Elliot Martin" w:date="2022-01-25T12:47:00Z">
        <w:r w:rsidR="00540A4A" w:rsidRPr="005203CF" w:rsidDel="00152B0C">
          <w:rPr>
            <w:rFonts w:ascii="Arial" w:eastAsia="Arial" w:hAnsi="Arial" w:cs="Arial"/>
            <w:color w:val="000000" w:themeColor="text1"/>
          </w:rPr>
          <w:delText xml:space="preserve">and 8CC </w:delText>
        </w:r>
      </w:del>
      <w:del w:id="24"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25"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0EE61CB1"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 xml:space="preserve">peak in </w:t>
      </w:r>
      <w:r w:rsidR="00F10031" w:rsidRPr="005203CF">
        <w:rPr>
          <w:rFonts w:ascii="Arial" w:eastAsia="Arial" w:hAnsi="Arial" w:cs="Arial"/>
          <w:color w:val="000000" w:themeColor="text1"/>
        </w:rPr>
        <w:lastRenderedPageBreak/>
        <w:t>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38E24F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C44617F"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 xml:space="preserve">(Page and Hawley 2003; </w:t>
      </w:r>
      <w:r w:rsidR="00DF0C49" w:rsidRPr="005203CF">
        <w:rPr>
          <w:rFonts w:ascii="Arial" w:hAnsi="Arial" w:cs="Arial"/>
        </w:rPr>
        <w:lastRenderedPageBreak/>
        <w:t>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504695E0"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commentRangeStart w:id="26"/>
      <w:r w:rsidR="001923CB">
        <w:rPr>
          <w:rFonts w:ascii="Arial" w:eastAsia="Arial" w:hAnsi="Arial" w:cs="Arial"/>
          <w:color w:val="000000" w:themeColor="text1"/>
        </w:rPr>
        <w:t>reproducing</w:t>
      </w:r>
      <w:r w:rsidR="001923CB" w:rsidRPr="005203CF">
        <w:rPr>
          <w:rFonts w:ascii="Arial" w:eastAsia="Arial" w:hAnsi="Arial" w:cs="Arial"/>
          <w:color w:val="000000" w:themeColor="text1"/>
        </w:rPr>
        <w:t xml:space="preserve"> </w:t>
      </w:r>
      <w:commentRangeEnd w:id="26"/>
      <w:r w:rsidR="00345578">
        <w:rPr>
          <w:rStyle w:val="CommentReference"/>
        </w:rPr>
        <w:commentReference w:id="26"/>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6B96D36"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B8298E" w:rsidRPr="005203CF">
        <w:rPr>
          <w:rFonts w:ascii="Arial" w:hAnsi="Arial" w:cs="Arial"/>
          <w:szCs w:val="24"/>
        </w:rPr>
        <w:t xml:space="preserve">(Wang, </w:t>
      </w:r>
      <w:proofErr w:type="spellStart"/>
      <w:r w:rsidR="00B8298E" w:rsidRPr="005203CF">
        <w:rPr>
          <w:rFonts w:ascii="Arial" w:hAnsi="Arial" w:cs="Arial"/>
          <w:szCs w:val="24"/>
        </w:rPr>
        <w:t>Lachmann</w:t>
      </w:r>
      <w:proofErr w:type="spellEnd"/>
      <w:r w:rsidR="00B8298E" w:rsidRPr="005203CF">
        <w:rPr>
          <w:rFonts w:ascii="Arial" w:hAnsi="Arial" w:cs="Arial"/>
          <w:szCs w:val="24"/>
        </w:rPr>
        <w:t xml:space="preserve">, and </w:t>
      </w:r>
      <w:proofErr w:type="spellStart"/>
      <w:r w:rsidR="00B8298E" w:rsidRPr="005203CF">
        <w:rPr>
          <w:rFonts w:ascii="Arial" w:hAnsi="Arial" w:cs="Arial"/>
          <w:szCs w:val="24"/>
        </w:rPr>
        <w:t>Ma’ayan</w:t>
      </w:r>
      <w:proofErr w:type="spellEnd"/>
      <w:r w:rsidR="00B8298E" w:rsidRPr="005203CF">
        <w:rPr>
          <w:rFonts w:ascii="Arial" w:hAnsi="Arial" w:cs="Arial"/>
          <w:szCs w:val="24"/>
        </w:rPr>
        <w:t xml:space="preserve">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XXXX</w:t>
      </w:r>
      <w:ins w:id="27" w:author="Rangan, Prashanth" w:date="2022-01-22T11:18:00Z">
        <w:r w:rsidR="00FC04A6">
          <w:rPr>
            <w:rFonts w:ascii="Arial" w:eastAsia="Arial" w:hAnsi="Arial" w:cs="Arial"/>
            <w:color w:val="000000" w:themeColor="text1"/>
          </w:rPr>
          <w:t xml:space="preserve"> for </w:t>
        </w:r>
      </w:ins>
      <w:ins w:id="28" w:author="Elliot Martin" w:date="2022-01-24T14:51:00Z">
        <w:r w:rsidR="00BB5887">
          <w:rPr>
            <w:rFonts w:ascii="Arial" w:eastAsia="Arial" w:hAnsi="Arial" w:cs="Arial"/>
            <w:color w:val="000000" w:themeColor="text1"/>
          </w:rPr>
          <w:t xml:space="preserve">critically </w:t>
        </w:r>
      </w:ins>
      <w:ins w:id="29" w:author="Rangan, Prashanth" w:date="2022-01-22T11:18:00Z">
        <w:r w:rsidR="00FC04A6">
          <w:rPr>
            <w:rFonts w:ascii="Arial" w:eastAsia="Arial" w:hAnsi="Arial" w:cs="Arial"/>
            <w:color w:val="000000" w:themeColor="text1"/>
          </w:rPr>
          <w:t>reading</w:t>
        </w:r>
      </w:ins>
      <w:ins w:id="30" w:author="Elliot Martin" w:date="2022-01-24T14:51:00Z">
        <w:r w:rsidR="00BB5887">
          <w:rPr>
            <w:rFonts w:ascii="Arial" w:eastAsia="Arial" w:hAnsi="Arial" w:cs="Arial"/>
            <w:color w:val="000000" w:themeColor="text1"/>
          </w:rPr>
          <w:t xml:space="preserve"> and editing</w:t>
        </w:r>
      </w:ins>
      <w:ins w:id="31" w:author="Rangan, Prashanth" w:date="2022-01-22T11:18:00Z">
        <w:r w:rsidR="00FC04A6">
          <w:rPr>
            <w:rFonts w:ascii="Arial" w:eastAsia="Arial" w:hAnsi="Arial" w:cs="Arial"/>
            <w:color w:val="000000" w:themeColor="text1"/>
          </w:rPr>
          <w:t xml:space="preserve"> the man</w:t>
        </w:r>
      </w:ins>
      <w:ins w:id="32"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66238BD5"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962E82" w:rsidRPr="005203CF">
        <w:rPr>
          <w:rFonts w:ascii="Arial" w:eastAsia="Arial" w:hAnsi="Arial" w:cs="Arial"/>
          <w:color w:val="000000" w:themeColor="text1"/>
        </w:rPr>
        <w:t>Cartoon 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661AE4F2"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proofErr w:type="gramStart"/>
      <w:r w:rsidRPr="005203CF">
        <w:rPr>
          <w:rFonts w:ascii="Arial" w:eastAsia="Arial" w:hAnsi="Arial" w:cs="Arial"/>
          <w:color w:val="000000" w:themeColor="text1"/>
        </w:rPr>
        <w:t>displayed</w:t>
      </w:r>
      <w:proofErr w:type="gramEnd"/>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w:t>
      </w:r>
      <w:r w:rsidRPr="005203CF">
        <w:rPr>
          <w:rFonts w:ascii="Arial" w:eastAsia="Arial" w:hAnsi="Arial" w:cs="Arial"/>
          <w:color w:val="000000" w:themeColor="text1"/>
        </w:rPr>
        <w:lastRenderedPageBreak/>
        <w:t xml:space="preserve">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33" w:author="Elliot Martin" w:date="2022-01-24T17:40:00Z">
        <w:r w:rsidR="0056216D" w:rsidRPr="005203CF" w:rsidDel="00EE5975">
          <w:rPr>
            <w:rFonts w:ascii="Arial" w:eastAsia="Arial" w:hAnsi="Arial" w:cs="Arial"/>
            <w:color w:val="000000" w:themeColor="text1"/>
          </w:rPr>
          <w:delText>function</w:delText>
        </w:r>
      </w:del>
      <w:ins w:id="34"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35" w:author="Elliot Martin" w:date="2022-01-24T17:40:00Z">
        <w:r w:rsidR="00D12878" w:rsidRPr="005203CF" w:rsidDel="00EE5975">
          <w:rPr>
            <w:rFonts w:ascii="Arial" w:eastAsia="Arial" w:hAnsi="Arial" w:cs="Arial"/>
            <w:color w:val="000000" w:themeColor="text1"/>
          </w:rPr>
          <w:delText>function</w:delText>
        </w:r>
      </w:del>
      <w:ins w:id="36"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37" w:author="Elliot Martin" w:date="2022-01-25T12:45:00Z">
        <w:r w:rsidR="00721D35" w:rsidRPr="005203CF">
          <w:rPr>
            <w:rFonts w:ascii="Arial" w:eastAsia="Arial" w:hAnsi="Arial" w:cs="Arial"/>
            <w:color w:val="000000" w:themeColor="text1"/>
          </w:rPr>
          <w:t xml:space="preserve">Values above plots represent </w:t>
        </w:r>
        <w:r w:rsidR="00721D35" w:rsidRPr="005203CF">
          <w:rPr>
            <w:rFonts w:ascii="Arial" w:eastAsia="Arial" w:hAnsi="Arial" w:cs="Arial"/>
            <w:color w:val="000000" w:themeColor="text1"/>
          </w:rPr>
          <w:lastRenderedPageBreak/>
          <w:t>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Pr>
            <w:rFonts w:ascii="Arial" w:eastAsia="Arial" w:hAnsi="Arial" w:cs="Arial"/>
            <w:color w:val="000000" w:themeColor="text1"/>
          </w:rPr>
          <w:t>.</w:t>
        </w:r>
        <w:r w:rsidR="00721D35" w:rsidRPr="005203CF" w:rsidDel="00721D35">
          <w:rPr>
            <w:rFonts w:ascii="Arial" w:eastAsia="Arial" w:hAnsi="Arial" w:cs="Arial"/>
            <w:color w:val="000000" w:themeColor="text1"/>
          </w:rPr>
          <w:t xml:space="preserve"> </w:t>
        </w:r>
      </w:ins>
      <w:del w:id="38"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39" w:author="Elliot Martin" w:date="2022-01-25T12:44:00Z">
        <w:r w:rsidR="00721D35">
          <w:rPr>
            <w:rFonts w:ascii="Arial" w:eastAsia="Arial" w:hAnsi="Arial" w:cs="Arial"/>
            <w:color w:val="000000" w:themeColor="text1"/>
          </w:rPr>
          <w:t xml:space="preserve">from a Welch’s t-test </w:t>
        </w:r>
      </w:ins>
      <w:ins w:id="40" w:author="Elliot Martin" w:date="2022-01-25T12:40:00Z">
        <w:r w:rsidR="00721D35">
          <w:rPr>
            <w:rFonts w:ascii="Arial" w:eastAsia="Arial" w:hAnsi="Arial" w:cs="Arial"/>
            <w:color w:val="000000" w:themeColor="text1"/>
          </w:rPr>
          <w:t>between the indicated genotypes</w:t>
        </w:r>
      </w:ins>
      <w:del w:id="41"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6C607546"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42"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43"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055CA43B"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w:t>
      </w:r>
      <w:r w:rsidRPr="005203CF">
        <w:rPr>
          <w:rFonts w:ascii="Arial" w:eastAsia="Arial" w:hAnsi="Arial" w:cs="Arial"/>
          <w:color w:val="000000" w:themeColor="text1"/>
        </w:rPr>
        <w:lastRenderedPageBreak/>
        <w:t xml:space="preserve">developmental milestones compared to GSCs. </w:t>
      </w:r>
      <w:ins w:id="44"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45"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4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r w:rsidR="004346C7">
          <w:rPr>
            <w:rFonts w:ascii="Arial" w:eastAsia="Arial" w:hAnsi="Arial" w:cs="Arial"/>
            <w:color w:val="000000" w:themeColor="text1"/>
          </w:rPr>
          <w:t xml:space="preserve"> </w:t>
        </w:r>
      </w:ins>
      <w:del w:id="47"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48"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0E091AB3"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49"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50"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10691B" w:rsidRPr="00971F87">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51"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52"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53"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54"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55"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56"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57"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58" w:author="Elliot Martin" w:date="2022-01-24T17:37:00Z">
            <w:rPr>
              <w:rFonts w:ascii="Lucida Sans" w:hAnsi="Lucida Sans"/>
              <w:color w:val="191919"/>
              <w:shd w:val="clear" w:color="auto" w:fill="FFFFFF"/>
            </w:rPr>
          </w:rPrChange>
        </w:rPr>
        <w:t> RNAi (Bloomington #58178)</w:t>
      </w:r>
      <w:r w:rsidR="00971F87" w:rsidRPr="00971F87">
        <w:rPr>
          <w:rFonts w:ascii="Arial" w:hAnsi="Arial" w:cs="Arial"/>
          <w:color w:val="191919"/>
          <w:shd w:val="clear" w:color="auto" w:fill="FFFFFF"/>
          <w:rPrChange w:id="59" w:author="Elliot Martin" w:date="2022-01-24T17:37:00Z">
            <w:rPr>
              <w:rFonts w:ascii="Lucida Sans" w:hAnsi="Lucida Sans"/>
              <w:color w:val="191919"/>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60"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61"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62"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63" w:author="Elliot Martin" w:date="2022-01-24T17:37:00Z">
            <w:rPr>
              <w:rFonts w:ascii="Lucida Sans" w:hAnsi="Lucida Sans"/>
              <w:color w:val="191919"/>
              <w:shd w:val="clear" w:color="auto" w:fill="FFFFFF"/>
            </w:rPr>
          </w:rPrChange>
        </w:rPr>
        <w:t>/TM3 (Bloomington #24637)</w:t>
      </w:r>
      <w:ins w:id="64"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65" w:author="Elliot Martin" w:date="2022-01-24T17:37:00Z">
        <w:r w:rsidR="008D54AC" w:rsidRPr="00971F87" w:rsidDel="00971F87">
          <w:rPr>
            <w:rFonts w:ascii="Arial" w:hAnsi="Arial" w:cs="Arial"/>
            <w:color w:val="191919"/>
            <w:shd w:val="clear" w:color="auto" w:fill="FFFFFF"/>
            <w:rPrChange w:id="66"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67"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68"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69"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70"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71"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72" w:author="Elliot Martin" w:date="2022-01-24T17:35:00Z">
        <w:r w:rsidRPr="00875858">
          <w:rPr>
            <w:rFonts w:ascii="Arial" w:eastAsia="Arial" w:hAnsi="Arial" w:cs="Arial"/>
            <w:color w:val="000000" w:themeColor="text1"/>
            <w:rPrChange w:id="73"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74"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75"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76"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77"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78"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79"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5203CF">
      <w:pPr>
        <w:spacing w:line="360" w:lineRule="auto"/>
        <w:jc w:val="both"/>
        <w:rPr>
          <w:ins w:id="80" w:author="Elliot Martin" w:date="2022-01-24T15:07:00Z"/>
          <w:rFonts w:ascii="Arial" w:eastAsia="Arial" w:hAnsi="Arial" w:cs="Arial"/>
        </w:rPr>
      </w:pPr>
      <w:bookmarkStart w:id="81" w:name="_Hlk74227195"/>
      <w:r w:rsidRPr="005203CF">
        <w:rPr>
          <w:rFonts w:ascii="Arial" w:eastAsia="Arial" w:hAnsi="Arial" w:cs="Arial"/>
        </w:rPr>
        <w:lastRenderedPageBreak/>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82"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83" w:author="Elliot Martin" w:date="2022-01-24T16:22:00Z">
        <w:r w:rsidRPr="005203CF" w:rsidDel="001417C5">
          <w:rPr>
            <w:rFonts w:ascii="Arial" w:eastAsia="Arial" w:hAnsi="Arial" w:cs="Arial"/>
          </w:rPr>
          <w:delText xml:space="preserve">CPMs </w:delText>
        </w:r>
      </w:del>
      <w:ins w:id="84"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85" w:author="Elliot Martin" w:date="2022-01-24T16:22:00Z">
        <w:r w:rsidRPr="005203CF" w:rsidDel="001417C5">
          <w:rPr>
            <w:rFonts w:ascii="Arial" w:eastAsia="Arial" w:hAnsi="Arial" w:cs="Arial"/>
          </w:rPr>
          <w:delText xml:space="preserve">counts </w:delText>
        </w:r>
      </w:del>
      <w:ins w:id="86" w:author="Elliot Martin" w:date="2022-01-24T16:22:00Z">
        <w:r w:rsidR="001417C5">
          <w:rPr>
            <w:rFonts w:ascii="Arial" w:eastAsia="Arial" w:hAnsi="Arial" w:cs="Arial"/>
          </w:rPr>
          <w:t>trans</w:t>
        </w:r>
      </w:ins>
      <w:ins w:id="87" w:author="Elliot Martin" w:date="2022-01-24T16:23:00Z">
        <w:r w:rsidR="001417C5">
          <w:rPr>
            <w:rFonts w:ascii="Arial" w:eastAsia="Arial" w:hAnsi="Arial" w:cs="Arial"/>
          </w:rPr>
          <w:t>cripts</w:t>
        </w:r>
      </w:ins>
      <w:ins w:id="88"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89"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90" w:author="Elliot Martin" w:date="2022-01-24T16:22:00Z">
        <w:r w:rsidR="001417C5">
          <w:rPr>
            <w:rFonts w:ascii="Arial" w:eastAsia="Arial" w:hAnsi="Arial" w:cs="Arial"/>
          </w:rPr>
          <w:t>T</w:t>
        </w:r>
      </w:ins>
      <w:del w:id="91"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92" w:author="Elliot Martin" w:date="2022-01-24T16:23:00Z">
        <w:r w:rsidR="001417C5">
          <w:rPr>
            <w:rFonts w:ascii="Arial" w:eastAsia="Arial" w:hAnsi="Arial" w:cs="Arial"/>
          </w:rPr>
          <w:t>as such</w:t>
        </w:r>
      </w:ins>
      <w:ins w:id="93" w:author="Elliot Martin" w:date="2022-01-24T16:25:00Z">
        <w:r w:rsidR="008802A5">
          <w:rPr>
            <w:rFonts w:ascii="Arial" w:eastAsia="Arial" w:hAnsi="Arial" w:cs="Arial"/>
          </w:rPr>
          <w:t xml:space="preserve"> to prevent zero counts from overly influencing the data and to prevent div</w:t>
        </w:r>
      </w:ins>
      <w:ins w:id="94" w:author="Elliot Martin" w:date="2022-01-24T16:26:00Z">
        <w:r w:rsidR="008802A5">
          <w:rPr>
            <w:rFonts w:ascii="Arial" w:eastAsia="Arial" w:hAnsi="Arial" w:cs="Arial"/>
          </w:rPr>
          <w:t>ide by zero errors</w:t>
        </w:r>
      </w:ins>
      <w:ins w:id="95" w:author="Elliot Martin" w:date="2022-01-24T16:23:00Z">
        <w:r w:rsidR="001417C5">
          <w:rPr>
            <w:rFonts w:ascii="Arial" w:eastAsia="Arial" w:hAnsi="Arial" w:cs="Arial"/>
          </w:rPr>
          <w:t>:</w:t>
        </w:r>
      </w:ins>
      <w:ins w:id="96" w:author="Elliot Martin" w:date="2022-01-24T16:26:00Z">
        <w:r w:rsidR="008802A5">
          <w:rPr>
            <w:rFonts w:ascii="Arial" w:eastAsia="Arial" w:hAnsi="Arial" w:cs="Arial"/>
          </w:rPr>
          <w:t xml:space="preserve"> </w:t>
        </w:r>
      </w:ins>
      <m:oMath>
        <m:f>
          <m:fPr>
            <m:ctrlPr>
              <w:ins w:id="97" w:author="Elliot Martin" w:date="2022-01-24T16:29:00Z">
                <w:rPr>
                  <w:rFonts w:ascii="Cambria Math" w:eastAsia="Arial" w:hAnsi="Cambria Math" w:cs="Arial"/>
                  <w:i/>
                </w:rPr>
              </w:ins>
            </m:ctrlPr>
          </m:fPr>
          <m:num>
            <m:sSub>
              <m:sSubPr>
                <m:ctrlPr>
                  <w:ins w:id="98" w:author="Elliot Martin" w:date="2022-01-24T16:29:00Z">
                    <w:rPr>
                      <w:rFonts w:ascii="Cambria Math" w:eastAsia="Arial" w:hAnsi="Cambria Math" w:cs="Arial"/>
                      <w:i/>
                    </w:rPr>
                  </w:ins>
                </m:ctrlPr>
              </m:sSubPr>
              <m:e>
                <m:r>
                  <w:ins w:id="99" w:author="Elliot Martin" w:date="2022-01-24T16:29:00Z">
                    <w:rPr>
                      <w:rFonts w:ascii="Cambria Math" w:eastAsia="Arial" w:hAnsi="Cambria Math" w:cs="Arial"/>
                    </w:rPr>
                    <m:t>Polysome</m:t>
                  </w:ins>
                </m:r>
              </m:e>
              <m:sub>
                <m:r>
                  <w:ins w:id="100" w:author="Elliot Martin" w:date="2022-01-24T16:29:00Z">
                    <w:rPr>
                      <w:rFonts w:ascii="Cambria Math" w:eastAsia="Arial" w:hAnsi="Cambria Math" w:cs="Arial"/>
                    </w:rPr>
                    <m:t>TPM</m:t>
                  </w:ins>
                </m:r>
              </m:sub>
            </m:sSub>
            <m:r>
              <w:ins w:id="101" w:author="Elliot Martin" w:date="2022-01-24T16:29:00Z">
                <w:rPr>
                  <w:rFonts w:ascii="Cambria Math" w:eastAsia="Arial" w:hAnsi="Cambria Math" w:cs="Arial"/>
                </w:rPr>
                <m:t>+1</m:t>
              </w:ins>
            </m:r>
          </m:num>
          <m:den>
            <m:sSub>
              <m:sSubPr>
                <m:ctrlPr>
                  <w:ins w:id="102" w:author="Elliot Martin" w:date="2022-01-24T16:29:00Z">
                    <w:rPr>
                      <w:rFonts w:ascii="Cambria Math" w:eastAsia="Arial" w:hAnsi="Cambria Math" w:cs="Arial"/>
                      <w:i/>
                    </w:rPr>
                  </w:ins>
                </m:ctrlPr>
              </m:sSubPr>
              <m:e>
                <m:r>
                  <w:ins w:id="103" w:author="Elliot Martin" w:date="2022-01-24T16:29:00Z">
                    <w:rPr>
                      <w:rFonts w:ascii="Cambria Math" w:eastAsia="Arial" w:hAnsi="Cambria Math" w:cs="Arial"/>
                    </w:rPr>
                    <m:t>Input</m:t>
                  </w:ins>
                </m:r>
              </m:e>
              <m:sub>
                <m:r>
                  <w:ins w:id="104" w:author="Elliot Martin" w:date="2022-01-24T16:29:00Z">
                    <w:rPr>
                      <w:rFonts w:ascii="Cambria Math" w:eastAsia="Arial" w:hAnsi="Cambria Math" w:cs="Arial"/>
                    </w:rPr>
                    <m:t>TPM</m:t>
                  </w:ins>
                </m:r>
              </m:sub>
            </m:sSub>
            <m:r>
              <w:ins w:id="105" w:author="Elliot Martin" w:date="2022-01-24T16:29:00Z">
                <w:rPr>
                  <w:rFonts w:ascii="Cambria Math" w:eastAsia="Arial" w:hAnsi="Cambria Math" w:cs="Arial"/>
                </w:rPr>
                <m:t>+1</m:t>
              </w:ins>
            </m:r>
          </m:den>
        </m:f>
      </m:oMath>
      <w:ins w:id="106" w:author="Elliot Martin" w:date="2022-01-24T16:23:00Z">
        <w:r w:rsidR="001417C5">
          <w:rPr>
            <w:rFonts w:ascii="Arial" w:eastAsia="Arial" w:hAnsi="Arial" w:cs="Arial"/>
          </w:rPr>
          <w:t xml:space="preserve"> </w:t>
        </w:r>
      </w:ins>
      <w:del w:id="107"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108" w:author="Elliot Martin" w:date="2022-01-24T16:23:00Z">
        <w:r w:rsidR="001417C5">
          <w:rPr>
            <w:rFonts w:ascii="Arial" w:eastAsia="Arial" w:hAnsi="Arial" w:cs="Arial"/>
          </w:rPr>
          <w:t xml:space="preserve"> a</w:t>
        </w:r>
      </w:ins>
      <w:ins w:id="109"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110"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111"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81"/>
    </w:p>
    <w:p w14:paraId="61B05107" w14:textId="1ABDECA3" w:rsidR="00DC20CE" w:rsidRDefault="00DC20CE" w:rsidP="005203CF">
      <w:pPr>
        <w:spacing w:line="360" w:lineRule="auto"/>
        <w:jc w:val="both"/>
        <w:rPr>
          <w:ins w:id="112" w:author="Elliot Martin" w:date="2022-01-24T15:08:00Z"/>
          <w:rFonts w:ascii="Arial" w:eastAsia="Arial" w:hAnsi="Arial" w:cs="Arial"/>
          <w:b/>
          <w:bCs/>
        </w:rPr>
      </w:pPr>
      <w:ins w:id="113"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3693895" w:rsidR="00DC20CE" w:rsidRDefault="00DC20CE" w:rsidP="005203CF">
      <w:pPr>
        <w:spacing w:line="360" w:lineRule="auto"/>
        <w:jc w:val="both"/>
        <w:rPr>
          <w:ins w:id="114" w:author="Elliot Martin" w:date="2022-01-24T16:05:00Z"/>
          <w:rFonts w:ascii="Arial" w:eastAsia="Arial" w:hAnsi="Arial" w:cs="Arial"/>
        </w:rPr>
      </w:pPr>
      <w:ins w:id="115" w:author="Elliot Martin" w:date="2022-01-24T15:08:00Z">
        <w:r w:rsidRPr="00DC20CE">
          <w:rPr>
            <w:rFonts w:ascii="Arial" w:eastAsia="Arial" w:hAnsi="Arial" w:cs="Arial"/>
            <w:rPrChange w:id="116" w:author="Elliot Martin" w:date="2022-01-24T15:08:00Z">
              <w:rPr>
                <w:rFonts w:ascii="Arial" w:eastAsia="Arial" w:hAnsi="Arial" w:cs="Arial"/>
                <w:b/>
                <w:bCs/>
              </w:rPr>
            </w:rPrChange>
          </w:rPr>
          <w:t>Differential expression</w:t>
        </w:r>
      </w:ins>
      <w:ins w:id="117" w:author="Elliot Martin" w:date="2022-01-24T15:12:00Z">
        <w:r>
          <w:rPr>
            <w:rFonts w:ascii="Arial" w:eastAsia="Arial" w:hAnsi="Arial" w:cs="Arial"/>
          </w:rPr>
          <w:t xml:space="preserve"> analysis</w:t>
        </w:r>
        <w:r w:rsidR="00DA2B95">
          <w:rPr>
            <w:rFonts w:ascii="Arial" w:eastAsia="Arial" w:hAnsi="Arial" w:cs="Arial"/>
          </w:rPr>
          <w:t xml:space="preserve"> </w:t>
        </w:r>
      </w:ins>
      <w:ins w:id="118" w:author="Elliot Martin" w:date="2022-01-24T15:08:00Z">
        <w:r w:rsidRPr="00DC20CE">
          <w:rPr>
            <w:rFonts w:ascii="Arial" w:eastAsia="Arial" w:hAnsi="Arial" w:cs="Arial"/>
            <w:rPrChange w:id="119" w:author="Elliot Martin" w:date="2022-01-24T15:08:00Z">
              <w:rPr>
                <w:rFonts w:ascii="Arial" w:eastAsia="Arial" w:hAnsi="Arial" w:cs="Arial"/>
                <w:b/>
                <w:bCs/>
              </w:rPr>
            </w:rPrChange>
          </w:rPr>
          <w:t>between</w:t>
        </w:r>
      </w:ins>
      <w:ins w:id="120" w:author="Elliot Martin" w:date="2022-01-24T15:13:00Z">
        <w:r w:rsidR="00DA2B95">
          <w:rPr>
            <w:rFonts w:ascii="Arial" w:eastAsia="Arial" w:hAnsi="Arial" w:cs="Arial"/>
          </w:rPr>
          <w:t xml:space="preserve"> all</w:t>
        </w:r>
      </w:ins>
      <w:ins w:id="121" w:author="Elliot Martin" w:date="2022-01-24T15:08:00Z">
        <w:r w:rsidRPr="00DC20CE">
          <w:rPr>
            <w:rFonts w:ascii="Arial" w:eastAsia="Arial" w:hAnsi="Arial" w:cs="Arial"/>
            <w:rPrChange w:id="122" w:author="Elliot Martin" w:date="2022-01-24T15:08:00Z">
              <w:rPr>
                <w:rFonts w:ascii="Arial" w:eastAsia="Arial" w:hAnsi="Arial" w:cs="Arial"/>
                <w:b/>
                <w:bCs/>
              </w:rPr>
            </w:rPrChange>
          </w:rPr>
          <w:t xml:space="preserve"> </w:t>
        </w:r>
      </w:ins>
      <w:ins w:id="123"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124" w:author="Elliot Martin" w:date="2022-01-24T15:12:00Z">
        <w:r w:rsidR="00DA2B95">
          <w:rPr>
            <w:rFonts w:ascii="Arial" w:eastAsia="Arial" w:hAnsi="Arial" w:cs="Arial"/>
          </w:rPr>
          <w:t>using DEseq2</w:t>
        </w:r>
      </w:ins>
      <w:ins w:id="125"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A2B95">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126" w:author="Elliot Martin" w:date="2022-01-24T15:13:00Z">
        <w:r w:rsidR="00DA2B95">
          <w:rPr>
            <w:rFonts w:ascii="Arial" w:eastAsia="Arial" w:hAnsi="Arial" w:cs="Arial"/>
          </w:rPr>
          <w:t>.</w:t>
        </w:r>
      </w:ins>
      <w:ins w:id="127" w:author="Elliot Martin" w:date="2022-01-24T15:12:00Z">
        <w:r w:rsidR="00DA2B95" w:rsidRPr="003D0112">
          <w:rPr>
            <w:rFonts w:ascii="Arial" w:eastAsia="Arial" w:hAnsi="Arial" w:cs="Arial"/>
          </w:rPr>
          <w:t xml:space="preserve"> </w:t>
        </w:r>
      </w:ins>
      <w:ins w:id="128" w:author="Elliot Martin" w:date="2022-01-24T15:13:00Z">
        <w:r w:rsidR="00DA2B95">
          <w:rPr>
            <w:rFonts w:ascii="Arial" w:eastAsia="Arial" w:hAnsi="Arial" w:cs="Arial"/>
          </w:rPr>
          <w:t>D</w:t>
        </w:r>
      </w:ins>
      <w:ins w:id="129" w:author="Elliot Martin" w:date="2022-01-24T15:12:00Z">
        <w:r w:rsidR="00DA2B95">
          <w:rPr>
            <w:rFonts w:ascii="Arial" w:eastAsia="Arial" w:hAnsi="Arial" w:cs="Arial"/>
          </w:rPr>
          <w:t xml:space="preserve">ifferential expression </w:t>
        </w:r>
      </w:ins>
      <w:ins w:id="130" w:author="Elliot Martin" w:date="2022-01-24T15:08:00Z">
        <w:r w:rsidRPr="00DC20CE">
          <w:rPr>
            <w:rFonts w:ascii="Arial" w:eastAsia="Arial" w:hAnsi="Arial" w:cs="Arial"/>
            <w:rPrChange w:id="131"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32" w:author="Elliot Martin" w:date="2022-01-24T16:10:00Z">
        <w:r w:rsidR="00A50B13">
          <w:rPr>
            <w:rFonts w:ascii="Arial" w:eastAsia="Arial" w:hAnsi="Arial" w:cs="Arial"/>
          </w:rPr>
          <w:t>4</w:t>
        </w:r>
      </w:ins>
      <w:ins w:id="133" w:author="Elliot Martin" w:date="2022-01-24T15:08:00Z">
        <w:r w:rsidRPr="00DC20CE">
          <w:rPr>
            <w:rFonts w:ascii="Arial" w:eastAsia="Arial" w:hAnsi="Arial" w:cs="Arial"/>
          </w:rPr>
          <w:t>| fold, FDR &lt; 0.</w:t>
        </w:r>
      </w:ins>
      <w:ins w:id="134" w:author="Elliot Martin" w:date="2022-01-24T16:10:00Z">
        <w:r w:rsidR="00A50B13">
          <w:rPr>
            <w:rFonts w:ascii="Arial" w:eastAsia="Arial" w:hAnsi="Arial" w:cs="Arial"/>
          </w:rPr>
          <w:t>05</w:t>
        </w:r>
      </w:ins>
      <w:ins w:id="135" w:author="Elliot Martin" w:date="2022-01-24T15:08:00Z">
        <w:r>
          <w:rPr>
            <w:rFonts w:ascii="Arial" w:eastAsia="Arial" w:hAnsi="Arial" w:cs="Arial"/>
          </w:rPr>
          <w:t xml:space="preserve">. </w:t>
        </w:r>
      </w:ins>
    </w:p>
    <w:p w14:paraId="71A1E5AD" w14:textId="28DA2942" w:rsidR="003C20C8" w:rsidRDefault="003C20C8" w:rsidP="003C20C8">
      <w:pPr>
        <w:spacing w:line="360" w:lineRule="auto"/>
        <w:jc w:val="both"/>
        <w:rPr>
          <w:ins w:id="136" w:author="Elliot Martin" w:date="2022-01-24T16:06:00Z"/>
          <w:rFonts w:ascii="Arial" w:eastAsia="Arial" w:hAnsi="Arial" w:cs="Arial"/>
        </w:rPr>
      </w:pPr>
      <w:ins w:id="137"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polysome-seq</w:t>
        </w:r>
        <w:r>
          <w:rPr>
            <w:rFonts w:ascii="Arial" w:eastAsia="Arial" w:hAnsi="Arial" w:cs="Arial"/>
          </w:rPr>
          <w:t xml:space="preserve">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using DEseq2</w:t>
        </w:r>
        <w:r>
          <w:rPr>
            <w:rFonts w:ascii="Arial" w:eastAsia="Arial" w:hAnsi="Arial" w:cs="Arial"/>
          </w:rPr>
          <w:t xml:space="preserve"> </w:t>
        </w:r>
      </w:ins>
      <w:r>
        <w:rPr>
          <w:rFonts w:ascii="Arial" w:eastAsia="Arial" w:hAnsi="Arial" w:cs="Arial"/>
        </w:rPr>
        <w:fldChar w:fldCharType="begin"/>
      </w:r>
      <w:r>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138" w:author="Elliot Martin" w:date="2022-01-24T16:07:00Z">
        <w:r>
          <w:rPr>
            <w:rFonts w:ascii="Arial" w:eastAsia="Arial" w:hAnsi="Arial" w:cs="Arial"/>
          </w:rPr>
          <w:t xml:space="preserve"> </w:t>
        </w:r>
      </w:ins>
      <w:ins w:id="139" w:author="Elliot Martin" w:date="2022-01-24T16:05:00Z">
        <w:r>
          <w:rPr>
            <w:rFonts w:ascii="Arial" w:eastAsia="Arial" w:hAnsi="Arial" w:cs="Arial"/>
          </w:rPr>
          <w:t>usi</w:t>
        </w:r>
      </w:ins>
      <w:ins w:id="140" w:author="Elliot Martin" w:date="2022-01-24T16:06:00Z">
        <w:r>
          <w:rPr>
            <w:rFonts w:ascii="Arial" w:eastAsia="Arial" w:hAnsi="Arial" w:cs="Arial"/>
          </w:rPr>
          <w:t xml:space="preserve">ng </w:t>
        </w:r>
      </w:ins>
      <w:ins w:id="141"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42" w:author="Elliot Martin" w:date="2022-01-24T16:06:00Z">
        <w:r>
          <w:rPr>
            <w:rFonts w:ascii="Arial" w:eastAsia="Arial" w:hAnsi="Arial" w:cs="Arial"/>
          </w:rPr>
          <w:t xml:space="preserve"> LRT</w:t>
        </w:r>
      </w:ins>
      <w:ins w:id="143"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44" w:author="Elliot Martin" w:date="2022-01-24T16:06:00Z">
        <w:r>
          <w:rPr>
            <w:rFonts w:ascii="Arial" w:eastAsia="Arial" w:hAnsi="Arial" w:cs="Arial"/>
          </w:rPr>
          <w:t xml:space="preserve"> to test for changes in polysome counts controlling for input counts.</w:t>
        </w:r>
      </w:ins>
      <w:ins w:id="145" w:author="Elliot Martin" w:date="2022-01-24T16:09:00Z">
        <w:r w:rsidR="00A50B13">
          <w:rPr>
            <w:rFonts w:ascii="Arial" w:eastAsia="Arial" w:hAnsi="Arial" w:cs="Arial"/>
          </w:rPr>
          <w:t xml:space="preserve"> Differential </w:t>
        </w:r>
      </w:ins>
      <w:ins w:id="146"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7C2ED016" w:rsidR="00DC20CE" w:rsidRDefault="00DA2B95" w:rsidP="005203CF">
      <w:pPr>
        <w:spacing w:line="360" w:lineRule="auto"/>
        <w:jc w:val="both"/>
        <w:rPr>
          <w:ins w:id="147" w:author="Elliot Martin" w:date="2022-01-24T16:20:00Z"/>
          <w:rFonts w:ascii="Arial" w:eastAsia="Arial" w:hAnsi="Arial" w:cs="Arial"/>
        </w:rPr>
      </w:pPr>
      <w:ins w:id="148"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149" w:author="Elliot Martin" w:date="2022-01-24T15:10:00Z">
        <w:r w:rsidR="00DC20CE" w:rsidRPr="003D0112">
          <w:rPr>
            <w:rFonts w:ascii="Arial" w:eastAsia="Arial" w:hAnsi="Arial" w:cs="Arial"/>
          </w:rPr>
          <w:t xml:space="preserve"> express</w:t>
        </w:r>
      </w:ins>
      <w:ins w:id="150" w:author="Elliot Martin" w:date="2022-01-24T15:11:00Z">
        <w:r w:rsidR="00DC20CE">
          <w:rPr>
            <w:rFonts w:ascii="Arial" w:eastAsia="Arial" w:hAnsi="Arial" w:cs="Arial"/>
          </w:rPr>
          <w:t>ed genes</w:t>
        </w:r>
      </w:ins>
      <w:ins w:id="151" w:author="Elliot Martin" w:date="2022-01-24T15:10:00Z">
        <w:r w:rsidR="00DC20CE" w:rsidRPr="003D0112">
          <w:rPr>
            <w:rFonts w:ascii="Arial" w:eastAsia="Arial" w:hAnsi="Arial" w:cs="Arial"/>
          </w:rPr>
          <w:t xml:space="preserve"> between</w:t>
        </w:r>
      </w:ins>
      <w:ins w:id="152" w:author="Elliot Martin" w:date="2022-01-24T15:11:00Z">
        <w:r w:rsidR="00DC20CE">
          <w:rPr>
            <w:rFonts w:ascii="Arial" w:eastAsia="Arial" w:hAnsi="Arial" w:cs="Arial"/>
          </w:rPr>
          <w:t xml:space="preserve"> all germline</w:t>
        </w:r>
      </w:ins>
      <w:ins w:id="153" w:author="Elliot Martin" w:date="2022-01-24T15:10:00Z">
        <w:r w:rsidR="00DC20CE">
          <w:rPr>
            <w:rFonts w:ascii="Arial" w:eastAsia="Arial" w:hAnsi="Arial" w:cs="Arial"/>
          </w:rPr>
          <w:t xml:space="preserve"> clusters from </w:t>
        </w:r>
      </w:ins>
      <w:proofErr w:type="spellStart"/>
      <w:ins w:id="154"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155"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156"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3C20C8">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57" w:author="Elliot Martin" w:date="2022-01-24T15:12:00Z">
        <w:r w:rsidR="00DC20CE">
          <w:rPr>
            <w:rFonts w:ascii="Arial" w:eastAsia="Arial" w:hAnsi="Arial" w:cs="Arial"/>
          </w:rPr>
          <w:t>.</w:t>
        </w:r>
      </w:ins>
      <w:ins w:id="158" w:author="Elliot Martin" w:date="2022-01-24T16:12:00Z">
        <w:r w:rsidR="004E26F0">
          <w:rPr>
            <w:rFonts w:ascii="Arial" w:eastAsia="Arial" w:hAnsi="Arial" w:cs="Arial"/>
          </w:rPr>
          <w:t xml:space="preserve"> Cutoff</w:t>
        </w:r>
      </w:ins>
      <w:ins w:id="159" w:author="Elliot Martin" w:date="2022-01-24T16:31:00Z">
        <w:r w:rsidR="00CC65FE">
          <w:rPr>
            <w:rFonts w:ascii="Arial" w:eastAsia="Arial" w:hAnsi="Arial" w:cs="Arial"/>
          </w:rPr>
          <w:t xml:space="preserve"> was </w:t>
        </w:r>
      </w:ins>
      <w:proofErr w:type="spellStart"/>
      <w:proofErr w:type="gramStart"/>
      <w:ins w:id="160"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260E232E" w:rsidR="00146F9A" w:rsidRDefault="00146F9A" w:rsidP="00146F9A">
      <w:pPr>
        <w:spacing w:line="360" w:lineRule="auto"/>
        <w:jc w:val="both"/>
        <w:rPr>
          <w:ins w:id="161" w:author="Elliot Martin" w:date="2022-01-24T16:20:00Z"/>
          <w:rFonts w:ascii="Arial" w:eastAsia="Arial" w:hAnsi="Arial" w:cs="Arial"/>
        </w:rPr>
      </w:pPr>
      <w:ins w:id="162"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w:t>
        </w:r>
        <w:r>
          <w:rPr>
            <w:rFonts w:ascii="Arial" w:eastAsia="Arial" w:hAnsi="Arial" w:cs="Arial"/>
          </w:rPr>
          <w:t>germarium soma clusters</w:t>
        </w:r>
        <w:r>
          <w:rPr>
            <w:rFonts w:ascii="Arial" w:eastAsia="Arial" w:hAnsi="Arial" w:cs="Arial"/>
          </w:rPr>
          <w:t xml:space="preserve">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r>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163" w:author="Elliot Martin" w:date="2022-01-24T16:31:00Z">
        <w:r w:rsidR="00CC65FE">
          <w:rPr>
            <w:rFonts w:ascii="Arial" w:eastAsia="Arial" w:hAnsi="Arial" w:cs="Arial"/>
          </w:rPr>
          <w:t>was</w:t>
        </w:r>
      </w:ins>
      <w:ins w:id="164"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77476784"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165"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166"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356D3">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lastRenderedPageBreak/>
        <w:t>Fluorescent in situ hybridization:</w:t>
      </w:r>
    </w:p>
    <w:p w14:paraId="5CF98A78" w14:textId="1D84EAD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167" w:author="Elliot Martin" w:date="2022-01-24T16:33:00Z">
        <w:r w:rsidR="00F4537D">
          <w:rPr>
            <w:rFonts w:ascii="Arial" w:eastAsia="Arial" w:hAnsi="Arial" w:cs="Arial"/>
            <w:sz w:val="22"/>
            <w:szCs w:val="22"/>
          </w:rPr>
          <w:t xml:space="preserve"> </w:t>
        </w:r>
      </w:ins>
      <w:del w:id="168"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169" w:author="Elliot Martin" w:date="2022-01-24T16:33:00Z">
        <w:r w:rsidR="00F4537D">
          <w:rPr>
            <w:rFonts w:ascii="Arial" w:eastAsia="Arial" w:hAnsi="Arial" w:cs="Arial"/>
            <w:sz w:val="22"/>
            <w:szCs w:val="22"/>
          </w:rPr>
          <w:t>-</w:t>
        </w:r>
      </w:ins>
      <w:ins w:id="170"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171"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172" w:author="Elliot Martin" w:date="2022-01-24T15:00:00Z"/>
          <w:rFonts w:ascii="Arial" w:eastAsia="Arial" w:hAnsi="Arial" w:cs="Arial"/>
          <w:b/>
          <w:bCs/>
        </w:rPr>
      </w:pPr>
      <w:r w:rsidRPr="005203CF">
        <w:rPr>
          <w:rFonts w:ascii="Arial" w:eastAsia="Arial" w:hAnsi="Arial" w:cs="Arial"/>
          <w:b/>
          <w:bCs/>
        </w:rPr>
        <w:t>References:</w:t>
      </w:r>
    </w:p>
    <w:p w14:paraId="12549E8B" w14:textId="77777777" w:rsidR="008356D3" w:rsidRDefault="001923CB" w:rsidP="008356D3">
      <w:pPr>
        <w:pStyle w:val="Bibliography"/>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356D3">
        <w:t xml:space="preserve">Blatt, Patrick, Elliot T. Martin, Shane M. Breznak, and Prashanth Rangan. 2020. “Post-Transcriptional Gene Regulation Regulates Germline Stem Cell to Oocyte Transition during Drosophila Oogenesis.” In </w:t>
      </w:r>
      <w:r w:rsidR="008356D3">
        <w:rPr>
          <w:i/>
          <w:iCs/>
        </w:rPr>
        <w:t>Current Topics in Developmental Biology</w:t>
      </w:r>
      <w:r w:rsidR="008356D3">
        <w:t>, 140:3–34. Elsevier. https://linkinghub.elsevier.com/retrieve/pii/S007021531930078X.</w:t>
      </w:r>
    </w:p>
    <w:p w14:paraId="5352E5F4" w14:textId="77777777" w:rsidR="008356D3" w:rsidRDefault="008356D3" w:rsidP="008356D3">
      <w:pPr>
        <w:pStyle w:val="Bibliography"/>
      </w:pPr>
      <w:r>
        <w:t xml:space="preserve">Carpenter, Adelaide T. C. 1979. “Synaptonemal Complex and Recombination Nodules in Wild-Type Drosophila Melanogaster Females.” </w:t>
      </w:r>
      <w:r>
        <w:rPr>
          <w:i/>
          <w:iCs/>
        </w:rPr>
        <w:t>Genetics</w:t>
      </w:r>
      <w:r>
        <w:t xml:space="preserve"> 92 (2): 511.</w:t>
      </w:r>
    </w:p>
    <w:p w14:paraId="2E4CA8F8" w14:textId="77777777" w:rsidR="008356D3" w:rsidRDefault="008356D3" w:rsidP="008356D3">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4DFAF814" w14:textId="77777777" w:rsidR="008356D3" w:rsidRDefault="008356D3" w:rsidP="008356D3">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300BE3C5" w14:textId="77777777" w:rsidR="008356D3" w:rsidRDefault="008356D3" w:rsidP="008356D3">
      <w:pPr>
        <w:pStyle w:val="Bibliography"/>
      </w:pPr>
      <w:r>
        <w:lastRenderedPageBreak/>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532DC180" w14:textId="77777777" w:rsidR="008356D3" w:rsidRDefault="008356D3" w:rsidP="008356D3">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1D65298A" w14:textId="77777777" w:rsidR="008356D3" w:rsidRDefault="008356D3" w:rsidP="008356D3">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CF74509" w14:textId="77777777" w:rsidR="008356D3" w:rsidRDefault="008356D3" w:rsidP="008356D3">
      <w:pPr>
        <w:pStyle w:val="Bibliography"/>
      </w:pPr>
      <w:r>
        <w:t xml:space="preserve">Dansereau, David A, and Paul </w:t>
      </w:r>
      <w:proofErr w:type="spellStart"/>
      <w:r>
        <w:t>Lasko</w:t>
      </w:r>
      <w:proofErr w:type="spellEnd"/>
      <w:r>
        <w:t xml:space="preserve">. 2008. “The Development of Germline Stem Cells in Drosophila.” </w:t>
      </w:r>
      <w:r>
        <w:rPr>
          <w:i/>
          <w:iCs/>
        </w:rPr>
        <w:t>Methods in Molecular Biology (Clifton, N.J.)</w:t>
      </w:r>
      <w:r>
        <w:t xml:space="preserve"> 450: 3–26. https://doi.org/10.1007/978-1-60327-214-8_1.</w:t>
      </w:r>
    </w:p>
    <w:p w14:paraId="4520430F" w14:textId="77777777" w:rsidR="008356D3" w:rsidRDefault="008356D3" w:rsidP="008356D3">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01B979A9" w14:textId="77777777" w:rsidR="008356D3" w:rsidRDefault="008356D3" w:rsidP="008356D3">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437CE864" w14:textId="77777777" w:rsidR="008356D3" w:rsidRDefault="008356D3" w:rsidP="008356D3">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29EC0D50" w14:textId="77777777" w:rsidR="008356D3" w:rsidRDefault="008356D3" w:rsidP="008356D3">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5FC77D65" w14:textId="77777777" w:rsidR="008356D3" w:rsidRDefault="008356D3" w:rsidP="008356D3">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0322628A" w14:textId="77777777" w:rsidR="008356D3" w:rsidRDefault="008356D3" w:rsidP="008356D3">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592AE940" w14:textId="77777777" w:rsidR="008356D3" w:rsidRDefault="008356D3" w:rsidP="008356D3">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E432108" w14:textId="77777777" w:rsidR="008356D3" w:rsidRDefault="008356D3" w:rsidP="008356D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50570626" w14:textId="77777777" w:rsidR="008356D3" w:rsidRDefault="008356D3" w:rsidP="008356D3">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593BC44" w14:textId="77777777" w:rsidR="008356D3" w:rsidRDefault="008356D3" w:rsidP="008356D3">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7FAA5C15" w14:textId="77777777" w:rsidR="008356D3" w:rsidRDefault="008356D3" w:rsidP="008356D3">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59B9A99" w14:textId="77777777" w:rsidR="008356D3" w:rsidRDefault="008356D3" w:rsidP="008356D3">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7D86BAEB" w14:textId="77777777" w:rsidR="008356D3" w:rsidRDefault="008356D3" w:rsidP="008356D3">
      <w:pPr>
        <w:pStyle w:val="Bibliography"/>
      </w:pPr>
      <w:proofErr w:type="spellStart"/>
      <w:r>
        <w:lastRenderedPageBreak/>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4BDB352" w14:textId="77777777" w:rsidR="008356D3" w:rsidRDefault="008356D3" w:rsidP="008356D3">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6C9524A2" w14:textId="77777777" w:rsidR="008356D3" w:rsidRDefault="008356D3" w:rsidP="008356D3">
      <w:pPr>
        <w:pStyle w:val="Bibliography"/>
      </w:pPr>
      <w:r>
        <w:t xml:space="preserve">Lehmann, Ruth. 2012. “Germline Stem Cells: Origin and Destiny.” </w:t>
      </w:r>
      <w:r>
        <w:rPr>
          <w:i/>
          <w:iCs/>
        </w:rPr>
        <w:t>Cell Stem Cell</w:t>
      </w:r>
      <w:r>
        <w:t xml:space="preserve"> 10 (6): 729–39. https://doi.org/10.1016/j.stem.2012.05.016.</w:t>
      </w:r>
    </w:p>
    <w:p w14:paraId="30AB3E82" w14:textId="77777777" w:rsidR="008356D3" w:rsidRDefault="008356D3" w:rsidP="008356D3">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3489CB2F" w14:textId="77777777" w:rsidR="008356D3" w:rsidRDefault="008356D3" w:rsidP="008356D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5448844" w14:textId="77777777" w:rsidR="008356D3" w:rsidRDefault="008356D3" w:rsidP="008356D3">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512C6966" w14:textId="77777777" w:rsidR="008356D3" w:rsidRDefault="008356D3" w:rsidP="008356D3">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2FD45FF2" w14:textId="77777777" w:rsidR="008356D3" w:rsidRDefault="008356D3" w:rsidP="008356D3">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0171A45B" w14:textId="77777777" w:rsidR="008356D3" w:rsidRDefault="008356D3" w:rsidP="008356D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7FBAD793" w14:textId="77777777" w:rsidR="008356D3" w:rsidRDefault="008356D3" w:rsidP="008356D3">
      <w:pPr>
        <w:pStyle w:val="Bibliography"/>
      </w:pPr>
      <w:r>
        <w:t xml:space="preserve">Mercer, Marianne, </w:t>
      </w:r>
      <w:proofErr w:type="spellStart"/>
      <w:r>
        <w:t>Seoyeon</w:t>
      </w:r>
      <w:proofErr w:type="spellEnd"/>
      <w:r>
        <w:t xml:space="preserve"> Jang, </w:t>
      </w:r>
      <w:proofErr w:type="spellStart"/>
      <w:r>
        <w:t>Chunyang</w:t>
      </w:r>
      <w:proofErr w:type="spellEnd"/>
      <w:r>
        <w:t xml:space="preserve"> Ni, and Michael </w:t>
      </w:r>
      <w:proofErr w:type="spellStart"/>
      <w:r>
        <w:t>Buszczak</w:t>
      </w:r>
      <w:proofErr w:type="spellEnd"/>
      <w:r>
        <w:t xml:space="preserve">. 2021. “The Dynamic Regulation of MRNA Translation and Ribosome Biogenesis During Germ Cell Development and Reproductive Aging.” </w:t>
      </w:r>
      <w:r>
        <w:rPr>
          <w:i/>
          <w:iCs/>
        </w:rPr>
        <w:t>Frontiers in Cell and Developmental Biology</w:t>
      </w:r>
      <w:r>
        <w:t xml:space="preserve"> 9. https://doi.org/10.3389/fcell.2021.710186.</w:t>
      </w:r>
    </w:p>
    <w:p w14:paraId="3DED1C2A" w14:textId="77777777" w:rsidR="008356D3" w:rsidRDefault="008356D3" w:rsidP="008356D3">
      <w:pPr>
        <w:pStyle w:val="Bibliography"/>
      </w:pPr>
      <w:r>
        <w:t>Narbonne-</w:t>
      </w:r>
      <w:proofErr w:type="spellStart"/>
      <w:r>
        <w:t>Reveau</w:t>
      </w:r>
      <w:proofErr w:type="spellEnd"/>
      <w:r>
        <w:t xml:space="preserve">, </w:t>
      </w:r>
      <w:proofErr w:type="spellStart"/>
      <w:r>
        <w:t>Karine</w:t>
      </w:r>
      <w:proofErr w:type="spellEnd"/>
      <w:r>
        <w:t xml:space="preserve">, Florence </w:t>
      </w:r>
      <w:proofErr w:type="spellStart"/>
      <w:r>
        <w:t>Besse</w:t>
      </w:r>
      <w:proofErr w:type="spellEnd"/>
      <w:r>
        <w:t>, Claudie Lamour-</w:t>
      </w:r>
      <w:proofErr w:type="spellStart"/>
      <w:r>
        <w:t>Isnard</w:t>
      </w:r>
      <w:proofErr w:type="spellEnd"/>
      <w:r>
        <w:t xml:space="preserve">, Denise </w:t>
      </w:r>
      <w:proofErr w:type="spellStart"/>
      <w:r>
        <w:t>Busson</w:t>
      </w:r>
      <w:proofErr w:type="spellEnd"/>
      <w:r>
        <w:t xml:space="preserve">, and Anne-Marie Pret. 2006. “Fused Regulates Germline Cyst Mitosis and Differentiation during Drosophila Oogenesis.” </w:t>
      </w:r>
      <w:r>
        <w:rPr>
          <w:i/>
          <w:iCs/>
        </w:rPr>
        <w:t>Mechanisms of Development</w:t>
      </w:r>
      <w:r>
        <w:t xml:space="preserve"> 123 (3): 197–209. https://doi.org/10.1016/j.mod.2006.01.001.</w:t>
      </w:r>
    </w:p>
    <w:p w14:paraId="4C5E3CB7" w14:textId="77777777" w:rsidR="008356D3" w:rsidRDefault="008356D3" w:rsidP="008356D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64C20EE" w14:textId="77777777" w:rsidR="008356D3" w:rsidRDefault="008356D3" w:rsidP="008356D3">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41982C3E" w14:textId="77777777" w:rsidR="008356D3" w:rsidRDefault="008356D3" w:rsidP="008356D3">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05E621F1" w14:textId="77777777" w:rsidR="008356D3" w:rsidRDefault="008356D3" w:rsidP="008356D3">
      <w:pPr>
        <w:pStyle w:val="Bibliography"/>
      </w:pPr>
      <w:r>
        <w:t xml:space="preserve">Page, Scott L., and R. Scott Hawley. 2003. “Chromosome Choreography: The Meiotic Ballet.” </w:t>
      </w:r>
      <w:r>
        <w:rPr>
          <w:i/>
          <w:iCs/>
        </w:rPr>
        <w:t>Science</w:t>
      </w:r>
      <w:r>
        <w:t>, August. https://doi.org/10.1126/science.1086605.</w:t>
      </w:r>
    </w:p>
    <w:p w14:paraId="68B0BEBD" w14:textId="77777777" w:rsidR="008356D3" w:rsidRDefault="008356D3" w:rsidP="008356D3">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5F924E98" w14:textId="77777777" w:rsidR="008356D3" w:rsidRDefault="008356D3" w:rsidP="008356D3">
      <w:pPr>
        <w:pStyle w:val="Bibliography"/>
      </w:pPr>
      <w:r>
        <w:t xml:space="preserve">Roth, Siegfried. 2001. “Drosophila Oogenesis: Coordinating Germ Line and Soma.” </w:t>
      </w:r>
      <w:r>
        <w:rPr>
          <w:i/>
          <w:iCs/>
        </w:rPr>
        <w:t>Current Biology</w:t>
      </w:r>
      <w:r>
        <w:t xml:space="preserve"> 11 (19): R779–81. https://doi.org/10.1016/S0960-9822(01)00469-9.</w:t>
      </w:r>
    </w:p>
    <w:p w14:paraId="0ADE19AE" w14:textId="77777777" w:rsidR="008356D3" w:rsidRDefault="008356D3" w:rsidP="008356D3">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xml:space="preserve">, Morgan A. Sammons, and Prashanth Rangan. 2021. “A Feedback Loop between </w:t>
      </w:r>
      <w:r>
        <w:lastRenderedPageBreak/>
        <w:t>Heterochromatin and the Nucleopore Complex Controls Germ-Cell to Oocyte Transition during Drosophila Oogenesis.” https://doi.org/10.1101/2021.10.31.466575.</w:t>
      </w:r>
    </w:p>
    <w:p w14:paraId="058BD060" w14:textId="77777777" w:rsidR="008356D3" w:rsidRDefault="008356D3" w:rsidP="008356D3">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FC5B423" w14:textId="77777777" w:rsidR="008356D3" w:rsidRDefault="008356D3" w:rsidP="008356D3">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3E9C8492" w14:textId="77777777" w:rsidR="008356D3" w:rsidRDefault="008356D3" w:rsidP="008356D3">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1596B76C" w14:textId="77777777" w:rsidR="008356D3" w:rsidRDefault="008356D3" w:rsidP="008356D3">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520770AB" w14:textId="77777777" w:rsidR="008356D3" w:rsidRDefault="008356D3" w:rsidP="008356D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027A2013" w14:textId="77777777" w:rsidR="008356D3" w:rsidRDefault="008356D3" w:rsidP="008356D3">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222D251D" w14:textId="77777777" w:rsidR="008356D3" w:rsidRDefault="008356D3" w:rsidP="008356D3">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38F58375" w14:textId="77777777" w:rsidR="008356D3" w:rsidRDefault="008356D3" w:rsidP="008356D3">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3DC0F9A5" w14:textId="77777777" w:rsidR="008356D3" w:rsidRDefault="008356D3" w:rsidP="008356D3">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2F35F620" w14:textId="77777777" w:rsidR="008356D3" w:rsidRDefault="008356D3" w:rsidP="008356D3">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42FF288" w14:textId="77777777" w:rsidR="008356D3" w:rsidRDefault="008356D3" w:rsidP="008356D3">
      <w:pPr>
        <w:pStyle w:val="Bibliography"/>
      </w:pPr>
      <w:r>
        <w:t xml:space="preserve">Wang, </w:t>
      </w:r>
      <w:proofErr w:type="spellStart"/>
      <w:r>
        <w:t>Zichen</w:t>
      </w:r>
      <w:proofErr w:type="spellEnd"/>
      <w:r>
        <w:t xml:space="preserve">, Alexander </w:t>
      </w:r>
      <w:proofErr w:type="spellStart"/>
      <w:r>
        <w:t>Lachmann</w:t>
      </w:r>
      <w:proofErr w:type="spellEnd"/>
      <w:r>
        <w:t xml:space="preserve">, and </w:t>
      </w:r>
      <w:proofErr w:type="spellStart"/>
      <w:r>
        <w:t>Avi</w:t>
      </w:r>
      <w:proofErr w:type="spellEnd"/>
      <w:r>
        <w:t xml:space="preserve"> </w:t>
      </w:r>
      <w:proofErr w:type="spellStart"/>
      <w:r>
        <w:t>Ma’ayan</w:t>
      </w:r>
      <w:proofErr w:type="spellEnd"/>
      <w:r>
        <w:t xml:space="preserve">. 2019. “Mining Data and Metadata from the Gene Expression Omnibus.” </w:t>
      </w:r>
      <w:r>
        <w:rPr>
          <w:i/>
          <w:iCs/>
        </w:rPr>
        <w:t>Biophysical Reviews</w:t>
      </w:r>
      <w:r>
        <w:t xml:space="preserve"> 11 (1): 103–10. https://doi.org/10.1007/s12551-018-0490-8.</w:t>
      </w:r>
    </w:p>
    <w:p w14:paraId="7E781B20" w14:textId="77777777" w:rsidR="008356D3" w:rsidRDefault="008356D3" w:rsidP="008356D3">
      <w:pPr>
        <w:pStyle w:val="Bibliography"/>
      </w:pPr>
      <w:r>
        <w:t xml:space="preserve">Wickham, Hadley. 2016. </w:t>
      </w:r>
      <w:r>
        <w:rPr>
          <w:i/>
          <w:iCs/>
        </w:rPr>
        <w:t>Ggplot2: Elegant Graphics for Data Analysis</w:t>
      </w:r>
      <w:r>
        <w:t>. Springer-Verlag New York. https://ggplot2.tidyverse.org.</w:t>
      </w:r>
    </w:p>
    <w:p w14:paraId="60B5A504" w14:textId="77777777" w:rsidR="008356D3" w:rsidRDefault="008356D3" w:rsidP="008356D3">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3388772D" w14:textId="77777777" w:rsidR="008356D3" w:rsidRDefault="008356D3" w:rsidP="008356D3">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1550C255" w14:textId="77777777" w:rsidR="008356D3" w:rsidRDefault="008356D3" w:rsidP="008356D3">
      <w:pPr>
        <w:pStyle w:val="Bibliography"/>
      </w:pPr>
      <w:r>
        <w:lastRenderedPageBreak/>
        <w:t xml:space="preserve">———. 2000. “A Niche Maintaining Germ Line Stem Cells in the Drosophila Ovary.” </w:t>
      </w:r>
      <w:r>
        <w:rPr>
          <w:i/>
          <w:iCs/>
        </w:rPr>
        <w:t>Science</w:t>
      </w:r>
      <w:r>
        <w:t xml:space="preserve"> 290 (5490): 328–30. https://doi.org/10.1126/science.290.5490.328.</w:t>
      </w:r>
    </w:p>
    <w:p w14:paraId="5A803938" w14:textId="503C5DEA"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Elliot Martin" w:date="2022-01-25T10:56:00Z" w:initials="EM">
    <w:p w14:paraId="14564378" w14:textId="6670A90C" w:rsidR="00345578" w:rsidRDefault="00345578">
      <w:pPr>
        <w:pStyle w:val="CommentText"/>
      </w:pPr>
      <w:r>
        <w:rPr>
          <w:rStyle w:val="CommentReference"/>
        </w:rPr>
        <w:annotationRef/>
      </w:r>
      <w:r>
        <w:t>Representing?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64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55F2" w16cex:dateUtc="2022-01-25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64378" w16cid:durableId="259A5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4764" w14:textId="77777777" w:rsidR="00A85FE7" w:rsidRDefault="00A85FE7" w:rsidP="00796E44">
      <w:pPr>
        <w:spacing w:after="0" w:line="240" w:lineRule="auto"/>
      </w:pPr>
      <w:r>
        <w:separator/>
      </w:r>
    </w:p>
  </w:endnote>
  <w:endnote w:type="continuationSeparator" w:id="0">
    <w:p w14:paraId="5EA5894A" w14:textId="77777777" w:rsidR="00A85FE7" w:rsidRDefault="00A85FE7"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9C4F" w14:textId="77777777" w:rsidR="00A85FE7" w:rsidRDefault="00A85FE7" w:rsidP="00796E44">
      <w:pPr>
        <w:spacing w:after="0" w:line="240" w:lineRule="auto"/>
      </w:pPr>
      <w:r>
        <w:separator/>
      </w:r>
    </w:p>
  </w:footnote>
  <w:footnote w:type="continuationSeparator" w:id="0">
    <w:p w14:paraId="70EF71B3" w14:textId="77777777" w:rsidR="00A85FE7" w:rsidRDefault="00A85FE7"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14BF4"/>
    <w:rsid w:val="00322A91"/>
    <w:rsid w:val="00322F00"/>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829A6"/>
    <w:rsid w:val="00585B68"/>
    <w:rsid w:val="00585F83"/>
    <w:rsid w:val="005957E4"/>
    <w:rsid w:val="005972A8"/>
    <w:rsid w:val="005A7EC6"/>
    <w:rsid w:val="005B4BB8"/>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22BE"/>
    <w:rsid w:val="00755D7A"/>
    <w:rsid w:val="007604FF"/>
    <w:rsid w:val="0077163B"/>
    <w:rsid w:val="00775AE6"/>
    <w:rsid w:val="007819FC"/>
    <w:rsid w:val="007848BD"/>
    <w:rsid w:val="0079365D"/>
    <w:rsid w:val="00796466"/>
    <w:rsid w:val="00796E44"/>
    <w:rsid w:val="007A0B1D"/>
    <w:rsid w:val="007A285E"/>
    <w:rsid w:val="007B0B0D"/>
    <w:rsid w:val="007B2815"/>
    <w:rsid w:val="007B6C35"/>
    <w:rsid w:val="007C2BE4"/>
    <w:rsid w:val="007C5E45"/>
    <w:rsid w:val="007C7FC5"/>
    <w:rsid w:val="007D1F67"/>
    <w:rsid w:val="007E4C75"/>
    <w:rsid w:val="007F3C85"/>
    <w:rsid w:val="007F5532"/>
    <w:rsid w:val="007F5B39"/>
    <w:rsid w:val="00801740"/>
    <w:rsid w:val="00804503"/>
    <w:rsid w:val="00812D16"/>
    <w:rsid w:val="00816AB9"/>
    <w:rsid w:val="008175A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5FE7"/>
    <w:rsid w:val="00A860C3"/>
    <w:rsid w:val="00A9108B"/>
    <w:rsid w:val="00AA0290"/>
    <w:rsid w:val="00AA20CC"/>
    <w:rsid w:val="00AA4ABB"/>
    <w:rsid w:val="00AB3086"/>
    <w:rsid w:val="00AC5EE2"/>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0C35"/>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E3E"/>
    <w:rsid w:val="00E9376A"/>
    <w:rsid w:val="00E94100"/>
    <w:rsid w:val="00EA2F70"/>
    <w:rsid w:val="00EB5E28"/>
    <w:rsid w:val="00EC04ED"/>
    <w:rsid w:val="00EC5F6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18</Pages>
  <Words>34768</Words>
  <Characters>198182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33</cp:revision>
  <dcterms:created xsi:type="dcterms:W3CDTF">2022-01-24T19:21:00Z</dcterms:created>
  <dcterms:modified xsi:type="dcterms:W3CDTF">2022-01-25T17:48:00Z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