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C1F5" w14:textId="2FE7CF25" w:rsidR="00617FB8" w:rsidRDefault="00493F60">
      <w:r>
        <w:t>Screen of post-translational modifying enzymes for their effects on translation</w:t>
      </w:r>
    </w:p>
    <w:p w14:paraId="7C361D20" w14:textId="000DBAC1" w:rsidR="00493F60" w:rsidRDefault="00493F60">
      <w:r>
        <w:t>Elliot Martin, Siu Wah Wong-</w:t>
      </w:r>
      <w:proofErr w:type="spellStart"/>
      <w:r>
        <w:t>Deyrup</w:t>
      </w:r>
      <w:proofErr w:type="spellEnd"/>
      <w:r>
        <w:t>, Gaby Fuchs, and Prashanth Rangan</w:t>
      </w:r>
    </w:p>
    <w:p w14:paraId="31EC2A5D" w14:textId="77777777" w:rsidR="00493F60" w:rsidRDefault="00493F60"/>
    <w:p w14:paraId="563E6851" w14:textId="591E7CD4" w:rsidR="00493F60" w:rsidRDefault="00493F60">
      <w:r>
        <w:t>Abstract</w:t>
      </w:r>
    </w:p>
    <w:p w14:paraId="01A7B666" w14:textId="7FCE3350" w:rsidR="00180808" w:rsidRPr="004C1EAB" w:rsidRDefault="00BE5DA5">
      <w:r>
        <w:t>The ribosome has been demonstrated to play an active role in regulating translation. We hypothesized that post-translational modifications on ribosomal proteins might modulate the activity of the ribosome. Therefore, we attempted to screen for enzymes known to deposit post-translational modifications with the goal of identifying genes that play a role in regulating translation using a dual-luciferase assay</w:t>
      </w:r>
      <w:r w:rsidR="00052CD1">
        <w:t xml:space="preserve"> which monitors the relative amount of </w:t>
      </w:r>
      <w:r w:rsidR="00052CD1">
        <w:t>Internal Ribosome Entry Site (IRES)</w:t>
      </w:r>
      <w:r w:rsidR="00052CD1">
        <w:t xml:space="preserve"> translation compared to cap-based translation</w:t>
      </w:r>
      <w:r>
        <w:t xml:space="preserve">. We identified several genes that had a significant </w:t>
      </w:r>
      <w:r w:rsidR="004C1EAB">
        <w:t>effect</w:t>
      </w:r>
      <w:r>
        <w:t xml:space="preserve"> on the translation of the dual luciferase reporter, however, these affects were modest</w:t>
      </w:r>
      <w:r w:rsidR="004C1EAB">
        <w:t>. We also found that ovaries enriched for stem cells and stem cell daughters had significantly higher relative IRES translation, however,</w:t>
      </w:r>
      <w:r>
        <w:t xml:space="preserve"> we did not observe the expected result when we knocked down RpS25, which </w:t>
      </w:r>
      <w:r w:rsidR="004C1EAB">
        <w:t>is known to be required for efficient IRES translation. Due to these limitations, we did not pursue these findings further.</w:t>
      </w:r>
    </w:p>
    <w:p w14:paraId="18CA4CFB" w14:textId="10AA2837" w:rsidR="00493F60" w:rsidRDefault="00493F60">
      <w:r>
        <w:t>Introduction</w:t>
      </w:r>
    </w:p>
    <w:p w14:paraId="1E7DCAED" w14:textId="69445A66" w:rsidR="000D1368" w:rsidRDefault="00493F60">
      <w:r>
        <w:t>In the past, ribosomes have been considered as passive players in the process of translation. However, evidence has begun to accumulate that ribosomes can play a regulatory role in translation</w:t>
      </w:r>
      <w:r w:rsidR="00052CD1">
        <w:t xml:space="preserve"> </w:t>
      </w:r>
      <w:r w:rsidR="0071484D">
        <w:fldChar w:fldCharType="begin"/>
      </w:r>
      <w:r w:rsidR="0071484D">
        <w:instrText xml:space="preserve"> ADDIN ZOTERO_ITEM CSL_CITATION {"citationID":"oPXzmhOx","properties":{"formattedCitation":"(Go\\uc0\\u347{}ci\\uc0\\u324{}ska and Topf, 2020)","plainCitation":"(Gościńska and Topf, 2020)","noteIndex":0},"citationItems":[{"id":1952,"uris":["http://zotero.org/users/6609021/items/RC6VJTSF"],"uri":["http://zotero.org/users/6609021/items/RC6VJTSF"],"itemData":{"id":1952,"type":"article-journal","abstract":"Maintenance of the cellular homeostasis is firmly linked with protein synthesis. Therefore, it is tightly controlled at multiple levels. An advancement in quantitative techniques, mainly over the last decade, shed new light on the regulation of protein production, which pointed the ribosome as a new player. Ribosomes are macromolecular machines that synthesize polypeptide chains using mRNA as a template. The enormous complexity of ribosomes provides many possibilities of changes in their composition and consecutively in their target specificity. However, it is not clear how this specialization is enforced by the cell and which stimuli provoke that diversity. This review presents an overview of currently available knowledge about ribosome heterogeneity, focusing on changes in protein composition, and their role in the control of translation specificity. Importantly, besides the potential advantage of ribosome-mediated regulation of protein synthesis, its failure can play a crucial role in disease development.","container-title":"Acta Biochimica Polonica","DOI":"10.18388/abp.2020_5384","ISSN":"1734-154X","issue":"4","language":"en","note":"number: 4","page":"465-473","source":"ojs.ptbioch.edu.pl","title":"The evolving role of ribosomes in the regulation of protein synthesis","volume":"67","author":[{"family":"Gościńska","given":"Karolina"},{"family":"Topf","given":"Ulrike"}],"issued":{"date-parts":[["2020",11,27]]},"citation-key":"goscinskaEvolvingRoleRibosomes2020"}}],"schema":"https://github.com/citation-style-language/schema/raw/master/csl-citation.json"} </w:instrText>
      </w:r>
      <w:r w:rsidR="0071484D">
        <w:fldChar w:fldCharType="separate"/>
      </w:r>
      <w:r w:rsidR="0071484D" w:rsidRPr="0071484D">
        <w:rPr>
          <w:rFonts w:ascii="Calibri" w:hAnsi="Calibri" w:cs="Calibri"/>
          <w:szCs w:val="24"/>
        </w:rPr>
        <w:t>(</w:t>
      </w:r>
      <w:proofErr w:type="spellStart"/>
      <w:r w:rsidR="0071484D" w:rsidRPr="0071484D">
        <w:rPr>
          <w:rFonts w:ascii="Calibri" w:hAnsi="Calibri" w:cs="Calibri"/>
          <w:szCs w:val="24"/>
        </w:rPr>
        <w:t>Gościńska</w:t>
      </w:r>
      <w:proofErr w:type="spellEnd"/>
      <w:r w:rsidR="0071484D" w:rsidRPr="0071484D">
        <w:rPr>
          <w:rFonts w:ascii="Calibri" w:hAnsi="Calibri" w:cs="Calibri"/>
          <w:szCs w:val="24"/>
        </w:rPr>
        <w:t xml:space="preserve"> and </w:t>
      </w:r>
      <w:proofErr w:type="spellStart"/>
      <w:r w:rsidR="0071484D" w:rsidRPr="0071484D">
        <w:rPr>
          <w:rFonts w:ascii="Calibri" w:hAnsi="Calibri" w:cs="Calibri"/>
          <w:szCs w:val="24"/>
        </w:rPr>
        <w:t>Topf</w:t>
      </w:r>
      <w:proofErr w:type="spellEnd"/>
      <w:r w:rsidR="0071484D" w:rsidRPr="0071484D">
        <w:rPr>
          <w:rFonts w:ascii="Calibri" w:hAnsi="Calibri" w:cs="Calibri"/>
          <w:szCs w:val="24"/>
        </w:rPr>
        <w:t>, 2020)</w:t>
      </w:r>
      <w:r w:rsidR="0071484D">
        <w:fldChar w:fldCharType="end"/>
      </w:r>
      <w:r>
        <w:t>. There are several mechanisms through which ribosomes have been found to regulate translation</w:t>
      </w:r>
      <w:r w:rsidR="000D1368">
        <w:t xml:space="preserve">. One example of this is </w:t>
      </w:r>
      <w:r w:rsidR="006E0C92">
        <w:t>Rack1</w:t>
      </w:r>
      <w:r w:rsidR="002212EB">
        <w:t xml:space="preserve"> </w:t>
      </w:r>
      <w:r w:rsidR="000D1368">
        <w:t xml:space="preserve">which </w:t>
      </w:r>
      <w:r w:rsidR="006E0C92">
        <w:t>is a core ribosomal protein</w:t>
      </w:r>
      <w:r w:rsidR="00DE1DB0">
        <w:t xml:space="preserve"> </w:t>
      </w:r>
      <w:r w:rsidR="00DE1DB0">
        <w:fldChar w:fldCharType="begin"/>
      </w:r>
      <w:r w:rsidR="00DE1DB0">
        <w:instrText xml:space="preserve"> ADDIN ZOTERO_ITEM CSL_CITATION {"citationID":"Ns2Pg5XU","properties":{"formattedCitation":"(Gerbasi et al., 2004)","plainCitation":"(Gerbasi et al., 2004)","noteIndex":0},"citationItems":[{"id":1912,"uris":["http://zotero.org/users/6609021/items/RD8MGIEL"],"uri":["http://zotero.org/users/6609021/items/RD8MGIEL"],"itemData":{"id":1912,"type":"article-journal","container-title":"Molecular and Cellular Biology","DOI":"10.1128/MCB.24.18.8276-8287.2004","issue":"18","note":"publisher: American Society for Microbiology","page":"8276-8287","source":"journals.asm.org (Atypon)","title":"Yeast Asc1p and Mammalian RACK1 Are Functionally Orthologous Core 40S Ribosomal Proteins That Repress Gene Expression","volume":"24","author":[{"family":"Gerbasi","given":"Vincent R."},{"family":"Weaver","given":"Connie M."},{"family":"Hill","given":"Salisha"},{"family":"Friedman","given":"David B."},{"family":"Link","given":"Andrew J."}],"issued":{"date-parts":[["2004",9,15]]},"citation-key":"gerbasiYeastAsc1pMammalian2004"}}],"schema":"https://github.com/citation-style-language/schema/raw/master/csl-citation.json"} </w:instrText>
      </w:r>
      <w:r w:rsidR="00DE1DB0">
        <w:fldChar w:fldCharType="separate"/>
      </w:r>
      <w:r w:rsidR="00DE1DB0" w:rsidRPr="00DE1DB0">
        <w:rPr>
          <w:rFonts w:ascii="Calibri" w:hAnsi="Calibri" w:cs="Calibri"/>
        </w:rPr>
        <w:t>(</w:t>
      </w:r>
      <w:proofErr w:type="spellStart"/>
      <w:r w:rsidR="00DE1DB0" w:rsidRPr="00DE1DB0">
        <w:rPr>
          <w:rFonts w:ascii="Calibri" w:hAnsi="Calibri" w:cs="Calibri"/>
        </w:rPr>
        <w:t>Gerbasi</w:t>
      </w:r>
      <w:proofErr w:type="spellEnd"/>
      <w:r w:rsidR="00DE1DB0" w:rsidRPr="00DE1DB0">
        <w:rPr>
          <w:rFonts w:ascii="Calibri" w:hAnsi="Calibri" w:cs="Calibri"/>
        </w:rPr>
        <w:t xml:space="preserve"> et al., 2004)</w:t>
      </w:r>
      <w:r w:rsidR="00DE1DB0">
        <w:fldChar w:fldCharType="end"/>
      </w:r>
      <w:r w:rsidR="000D1368">
        <w:t>.</w:t>
      </w:r>
      <w:r w:rsidR="002212EB">
        <w:t xml:space="preserve"> </w:t>
      </w:r>
      <w:r w:rsidR="006E0C92">
        <w:t xml:space="preserve">Despite the role of Rack1 as a core ribosomal protein, it is dispensable for cell viability, but required for efficient </w:t>
      </w:r>
      <w:r w:rsidR="006E0C92">
        <w:t>Internal Ribosome Entry Site (IRES)</w:t>
      </w:r>
      <w:r w:rsidR="006E0C92">
        <w:t xml:space="preserve"> translation</w:t>
      </w:r>
      <w:r w:rsidR="00DE1DB0">
        <w:t xml:space="preserve"> </w:t>
      </w:r>
      <w:r w:rsidR="00DE1DB0">
        <w:fldChar w:fldCharType="begin"/>
      </w:r>
      <w:r w:rsidR="00DE1DB0">
        <w:instrText xml:space="preserve"> ADDIN ZOTERO_ITEM CSL_CITATION {"citationID":"kLVYjNT4","properties":{"formattedCitation":"(Coyle et al., 2009; LaFontaine et al., 2020; Majzoub et al., 2014)","plainCitation":"(Coyle et al., 2009; LaFontaine et al., 2020; Majzoub et al., 2014)","noteIndex":0},"citationItems":[{"id":1917,"uris":["http://zotero.org/users/6609021/items/U58QEQFB"],"uri":["http://zotero.org/users/6609021/items/U58QEQFB"],"itemData":{"id":1917,"type":"article-journal","container-title":"Molecular and Cellular Biology","DOI":"10.1128/MCB.01718-08","issue":"6","note":"publisher: American Society for Microbiology","page":"1626-1634","source":"journals.asm.org (Atypon)","title":"Direct Link between RACK1 Function and Localization at the Ribosome In Vivo","volume":"29","author":[{"family":"Coyle","given":"Scott M."},{"family":"Gilbert","given":"Wendy V."},{"family":"Doudna","given":"Jennifer A."}],"issued":{"date-parts":[["2009",3,15]]},"citation-key":"coyleDirectLinkRACK12009"}},{"id":1634,"uris":["http://zotero.org/users/6609021/items/SFYY28CQ"],"uri":["http://zotero.org/users/6609021/items/SFYY28CQ"],"itemData":{"id":1634,"type":"article-journal","container-title":"Virology","note":"Citation Key: lafontaine2020ribosomal\npublisher: Elsevier","page":"53–62","title":"Ribosomal protein RACK1 enhances translation of poliovirus and other viral IRESs","volume":"545","author":[{"family":"LaFontaine","given":"Ethan"},{"family":"Miller","given":"Clare M"},{"family":"Permaul","given":"Natasha"},{"family":"Martin","given":"Elliot T"},{"family":"Fuchs","given":"Gabriele"}],"issued":{"date-parts":[["2020"]]},"citation-key":"lafontaine2020ribosomal"}},{"id":1920,"uris":["http://zotero.org/users/6609021/items/4UERK4P7"],"uri":["http://zotero.org/users/6609021/items/4UERK4P7"],"itemData":{"id":1920,"type":"article-journal","abstract":"Fighting viral infections is hampered by the scarcity of viral targets and their variability, resulting in development of resistance. Viruses depend on cellular molecules—which are attractive alternative targets—for their life cycle, provided that they are dispensable for normal cell functions. Using the model organism Drosophila melanogaster, we identify the ribosomal protein RACK1 as a cellular factor required for infection by internal ribosome entry site (IRES)-containing viruses. We further show that RACK1 is an essential determinant for hepatitis C virus translation and infection, indicating that its function is conserved for distantly related human and fly viruses. Inhibition of RACK1 does not affect Drosophila or human cell viability and proliferation, and RACK1-silenced adult flies are viable, indicating that this protein is not essential for general translation. Our findings demonstrate a specific function for RACK1 in selective mRNA translation and uncover a target for the development of broad antiviral intervention.","container-title":"Cell","DOI":"10.1016/j.cell.2014.10.041","ISSN":"0092-8674","issue":"5","journalAbbreviation":"Cell","language":"en","page":"1086-1095","source":"ScienceDirect","title":"RACK1 Controls IRES-Mediated Translation of Viruses","volume":"159","author":[{"family":"Majzoub","given":"Karim"},{"family":"Hafirassou","given":"Mohamed Lamine"},{"family":"Meignin","given":"Carine"},{"family":"Goto","given":"Akira"},{"family":"Marzi","given":"Stefano"},{"family":"Fedorova","given":"Antonina"},{"family":"Verdier","given":"Yann"},{"family":"Vinh","given":"Joëlle"},{"family":"Hoffmann","given":"Jules A."},{"family":"Martin","given":"Franck"},{"family":"Baumert","given":"Thomas F."},{"family":"Schuster","given":"Catherine"},{"family":"Imler","given":"Jean-Luc"}],"issued":{"date-parts":[["2014",11,20]]},"citation-key":"majzoubRACK1ControlsIRESMediated2014"}}],"schema":"https://github.com/citation-style-language/schema/raw/master/csl-citation.json"} </w:instrText>
      </w:r>
      <w:r w:rsidR="00DE1DB0">
        <w:fldChar w:fldCharType="separate"/>
      </w:r>
      <w:r w:rsidR="00DE1DB0" w:rsidRPr="00DE1DB0">
        <w:rPr>
          <w:rFonts w:ascii="Calibri" w:hAnsi="Calibri" w:cs="Calibri"/>
        </w:rPr>
        <w:t xml:space="preserve">(Coyle et al., 2009; LaFontaine et al., 2020; </w:t>
      </w:r>
      <w:proofErr w:type="spellStart"/>
      <w:r w:rsidR="00DE1DB0" w:rsidRPr="00DE1DB0">
        <w:rPr>
          <w:rFonts w:ascii="Calibri" w:hAnsi="Calibri" w:cs="Calibri"/>
        </w:rPr>
        <w:t>Majzoub</w:t>
      </w:r>
      <w:proofErr w:type="spellEnd"/>
      <w:r w:rsidR="00DE1DB0" w:rsidRPr="00DE1DB0">
        <w:rPr>
          <w:rFonts w:ascii="Calibri" w:hAnsi="Calibri" w:cs="Calibri"/>
        </w:rPr>
        <w:t xml:space="preserve"> et al., 2014)</w:t>
      </w:r>
      <w:r w:rsidR="00DE1DB0">
        <w:fldChar w:fldCharType="end"/>
      </w:r>
      <w:r w:rsidR="006E0C92">
        <w:t xml:space="preserve">. Furthermore, Rack1 activity can be regulated through post-translational phosphorylation which can be exploited during viral infection to allow for translation initiation on </w:t>
      </w:r>
      <w:proofErr w:type="spellStart"/>
      <w:r w:rsidR="006E0C92">
        <w:t>polyA</w:t>
      </w:r>
      <w:proofErr w:type="spellEnd"/>
      <w:r w:rsidR="006E0C92">
        <w:t>-leader sequences</w:t>
      </w:r>
      <w:r w:rsidR="00DE1DB0">
        <w:t xml:space="preserve"> </w:t>
      </w:r>
      <w:r w:rsidR="00DE1DB0">
        <w:fldChar w:fldCharType="begin"/>
      </w:r>
      <w:r w:rsidR="00DE1DB0">
        <w:instrText xml:space="preserve"> ADDIN ZOTERO_ITEM CSL_CITATION {"citationID":"ATm5w4xa","properties":{"formattedCitation":"(Jha et al., 2017)","plainCitation":"(Jha et al., 2017)","noteIndex":0},"citationItems":[{"id":1919,"uris":["http://zotero.org/users/6609021/items/VM69LR43"],"uri":["http://zotero.org/users/6609021/items/VM69LR43"],"itemData":{"id":1919,"type":"article-journal","abstract":"The poxvirus vaccinia virus phosphorylates serine/threonine residues in the human small ribosomal subunit RACK1, converting it to a plant-like state to favour translation of poxvirus mRNAs","container-title":"Nature","DOI":"10.1038/nature22814","ISSN":"1476-4687","issue":"7660","language":"en","note":"number: 7660\npublisher: Nature Publishing Group","page":"651-655","source":"www.nature.com","title":"Trans-kingdom mimicry underlies ribosome customization by a poxvirus kinase","volume":"546","author":[{"family":"Jha","given":"Sujata"},{"family":"Rollins","given":"Madeline G."},{"family":"Fuchs","given":"Gabriele"},{"family":"Procter","given":"Dean J."},{"family":"Hall","given":"Elizabeth A."},{"family":"Cozzolino","given":"Kira"},{"family":"Sarnow","given":"Peter"},{"family":"Savas","given":"Jeffrey N."},{"family":"Walsh","given":"Derek"}],"issued":{"date-parts":[["2017",6]]},"citation-key":"jhaTranskingdomMimicryUnderlies2017"}}],"schema":"https://github.com/citation-style-language/schema/raw/master/csl-citation.json"} </w:instrText>
      </w:r>
      <w:r w:rsidR="00DE1DB0">
        <w:fldChar w:fldCharType="separate"/>
      </w:r>
      <w:r w:rsidR="00DE1DB0" w:rsidRPr="00DE1DB0">
        <w:rPr>
          <w:rFonts w:ascii="Calibri" w:hAnsi="Calibri" w:cs="Calibri"/>
        </w:rPr>
        <w:t>(Jha et al., 2017)</w:t>
      </w:r>
      <w:r w:rsidR="00DE1DB0">
        <w:fldChar w:fldCharType="end"/>
      </w:r>
      <w:r w:rsidR="006E0C92">
        <w:t>.</w:t>
      </w:r>
    </w:p>
    <w:p w14:paraId="6AD57D0D" w14:textId="7BDD3F82" w:rsidR="00493F60" w:rsidRDefault="002212EB">
      <w:r>
        <w:t xml:space="preserve">Other mechanisms of translation control involving the ribosome have not been conclusively </w:t>
      </w:r>
      <w:r w:rsidR="000D1368">
        <w:t>demonstrated but</w:t>
      </w:r>
      <w:r>
        <w:t xml:space="preserve"> show promise. For instance, under stress conditions, ribosomal proteins have been shown to carry different post-translational modifications than under basal conditions</w:t>
      </w:r>
      <w:r w:rsidR="00DE1DB0">
        <w:t xml:space="preserve"> </w:t>
      </w:r>
      <w:r w:rsidR="00322BD2">
        <w:fldChar w:fldCharType="begin"/>
      </w:r>
      <w:r w:rsidR="00322BD2">
        <w:instrText xml:space="preserve"> ADDIN ZOTERO_ITEM CSL_CITATION {"citationID":"N3WNczlX","properties":{"formattedCitation":"(Jha et al., 2017; Mukhopadhyay et al., 2008; Simsek and Barna, 2017)","plainCitation":"(Jha et al., 2017; Mukhopadhyay et al., 2008; Simsek and Barna, 2017)","noteIndex":0},"citationItems":[{"id":1919,"uris":["http://zotero.org/users/6609021/items/VM69LR43"],"uri":["http://zotero.org/users/6609021/items/VM69LR43"],"itemData":{"id":1919,"type":"article-journal","abstract":"The poxvirus vaccinia virus phosphorylates serine/threonine residues in the human small ribosomal subunit RACK1, converting it to a plant-like state to favour translation of poxvirus mRNAs","container-title":"Nature","DOI":"10.1038/nature22814","ISSN":"1476-4687","issue":"7660","language":"en","note":"number: 7660\npublisher: Nature Publishing Group","page":"651-655","source":"www.nature.com","title":"Trans-kingdom mimicry underlies ribosome customization by a poxvirus kinase","volume":"546","author":[{"family":"Jha","given":"Sujata"},{"family":"Rollins","given":"Madeline G."},{"family":"Fuchs","given":"Gabriele"},{"family":"Procter","given":"Dean J."},{"family":"Hall","given":"Elizabeth A."},{"family":"Cozzolino","given":"Kira"},{"family":"Sarnow","given":"Peter"},{"family":"Savas","given":"Jeffrey N."},{"family":"Walsh","given":"Derek"}],"issued":{"date-parts":[["2017",6]]},"citation-key":"jhaTranskingdomMimicryUnderlies2017"}},{"id":1931,"uris":["http://zotero.org/users/6609021/items/YL9Z6V6Y"],"uri":["http://zotero.org/users/6609021/items/YL9Z6V6Y"],"itemData":{"id":1931,"type":"article-journal","abstract":"Phosphorylation of ribosomal protein L13a is essential for translational repression of inflammatory genes by the interferon (IFN)-gamma-activated inhibitor of translation (GAIT) complex. Here we show that IFN-γ activates a kinase cascade in which death-associated protein kinase-1 (DAPK) activates zipper-interacting protein kinase (ZIPK), culminating in L13a phosphorylation on Ser77, L13a release from the ribosome, and translational silencing of GAIT element-bearing target mRNAs. Remarkably, both kinase mRNAs contain functional 3′UTR GAIT elements, and thus the same inhibitory pathway activated by the kinases is co-opted to suppress their expression. Inhibition of DAPK and ZIPK facilitates cell restoration to the basal state and allows renewed induction of GAIT target transcripts by repeated stimulation. Thus, the DAPK-ZIPK-L13a axis forms a unique regulatory module that first represses, then repermits inflammatory gene expression. We propose that the module presents an important checkpoint in the macrophage “resolution of inflammation” program, and that pathway defects may contribute to chronic inflammatory disorders.","container-title":"Molecular Cell","DOI":"10.1016/j.molcel.2008.09.019","ISSN":"1097-2765","issue":"3","journalAbbreviation":"Molecular Cell","language":"en","page":"371-382","source":"ScienceDirect","title":"DAPK-ZIPK-L13a Axis Constitutes a Negative-Feedback Module Regulating Inflammatory Gene Expression","volume":"32","author":[{"family":"Mukhopadhyay","given":"Rupak"},{"family":"Ray","given":"Partho Sarothi"},{"family":"Arif","given":"Abul"},{"family":"Brady","given":"Anna K."},{"family":"Kinter","given":"Michael"},{"family":"Fox","given":"Paul L."}],"issued":{"date-parts":[["2008",11,7]]},"citation-key":"mukhopadhyayDAPKZIPKL13aAxisConstitutes2008"}},{"id":1925,"uris":["http://zotero.org/users/6609021/items/IYSF885P"],"uri":["http://zotero.org/users/6609021/items/IYSF885P"],"itemData":{"id":1925,"type":"article-journal","abstract":"The ribosome is one of life’s most ancient molecular machines that has historically been viewed as a backstage participant in gene regulation, translating the genetic code across all kingdoms of life in a rote-like fashion. However, recent studies suggest that intrinsic components of the ribosome can be regulated and diversified as a means to intricately control the expression of the cellular proteome. In this review, we discuss advances in the characterization of ribosome post-translational modifications (PTMs) from past to present. We specifically focus on emerging examples of ribosome phosphorylation and ubiquitylation, which are beginning to showcase that PTMs of the ribosome are versatile, may have functional consequences for translational control, and are intimately linked to human disease. We further highlight the key questions that remain to be addressed to gain a more complete picture of the array of ribosome PTMs and the upstream enzymes that control them, which may endow ribosomes with greater regulatory potential in gene regulation and control of cellular homeostasis.","collection-title":"Cell Regulation","container-title":"Current Opinion in Cell Biology","DOI":"10.1016/j.ceb.2017.02.010","ISSN":"0955-0674","journalAbbreviation":"Current Opinion in Cell Biology","language":"en","page":"92-101","source":"ScienceDirect","title":"An emerging role for the ribosome as a nexus for post-translational modifications","volume":"45","author":[{"family":"Simsek","given":"Deniz"},{"family":"Barna","given":"Maria"}],"issued":{"date-parts":[["2017",4,1]]},"citation-key":"simsekEmergingRoleRibosome2017"}}],"schema":"https://github.com/citation-style-language/schema/raw/master/csl-citation.json"} </w:instrText>
      </w:r>
      <w:r w:rsidR="00322BD2">
        <w:fldChar w:fldCharType="separate"/>
      </w:r>
      <w:r w:rsidR="00322BD2" w:rsidRPr="00322BD2">
        <w:rPr>
          <w:rFonts w:ascii="Calibri" w:hAnsi="Calibri" w:cs="Calibri"/>
        </w:rPr>
        <w:t xml:space="preserve">(Jha et al., 2017; Mukhopadhyay et al., 2008; </w:t>
      </w:r>
      <w:proofErr w:type="spellStart"/>
      <w:r w:rsidR="00322BD2" w:rsidRPr="00322BD2">
        <w:rPr>
          <w:rFonts w:ascii="Calibri" w:hAnsi="Calibri" w:cs="Calibri"/>
        </w:rPr>
        <w:t>Simsek</w:t>
      </w:r>
      <w:proofErr w:type="spellEnd"/>
      <w:r w:rsidR="00322BD2" w:rsidRPr="00322BD2">
        <w:rPr>
          <w:rFonts w:ascii="Calibri" w:hAnsi="Calibri" w:cs="Calibri"/>
        </w:rPr>
        <w:t xml:space="preserve"> and </w:t>
      </w:r>
      <w:proofErr w:type="spellStart"/>
      <w:r w:rsidR="00322BD2" w:rsidRPr="00322BD2">
        <w:rPr>
          <w:rFonts w:ascii="Calibri" w:hAnsi="Calibri" w:cs="Calibri"/>
        </w:rPr>
        <w:t>Barna</w:t>
      </w:r>
      <w:proofErr w:type="spellEnd"/>
      <w:r w:rsidR="00322BD2" w:rsidRPr="00322BD2">
        <w:rPr>
          <w:rFonts w:ascii="Calibri" w:hAnsi="Calibri" w:cs="Calibri"/>
        </w:rPr>
        <w:t>, 2017)</w:t>
      </w:r>
      <w:r w:rsidR="00322BD2">
        <w:fldChar w:fldCharType="end"/>
      </w:r>
      <w:r>
        <w:t>.</w:t>
      </w:r>
      <w:r w:rsidR="000D1368">
        <w:t xml:space="preserve"> </w:t>
      </w:r>
      <w:r w:rsidR="00322BD2">
        <w:t xml:space="preserve">The modifications in some </w:t>
      </w:r>
      <w:r w:rsidR="00ED2CB2">
        <w:t xml:space="preserve">cases </w:t>
      </w:r>
      <w:r w:rsidR="00322BD2">
        <w:t>can</w:t>
      </w:r>
      <w:r w:rsidR="000D1368">
        <w:t xml:space="preserve"> alter the propensity of the ribosome to translate certain mRNAs, which could allow the cell to better adapt to </w:t>
      </w:r>
      <w:r w:rsidR="00322BD2">
        <w:t>varying</w:t>
      </w:r>
      <w:r w:rsidR="000D1368">
        <w:t xml:space="preserve"> conditions</w:t>
      </w:r>
      <w:r w:rsidR="00322BD2">
        <w:t xml:space="preserve"> </w:t>
      </w:r>
      <w:r w:rsidR="00322BD2">
        <w:fldChar w:fldCharType="begin"/>
      </w:r>
      <w:r w:rsidR="00322BD2">
        <w:instrText xml:space="preserve"> ADDIN ZOTERO_ITEM CSL_CITATION {"citationID":"4ZRuADtQ","properties":{"formattedCitation":"(Jha et al., 2017)","plainCitation":"(Jha et al., 2017)","noteIndex":0},"citationItems":[{"id":1919,"uris":["http://zotero.org/users/6609021/items/VM69LR43"],"uri":["http://zotero.org/users/6609021/items/VM69LR43"],"itemData":{"id":1919,"type":"article-journal","abstract":"The poxvirus vaccinia virus phosphorylates serine/threonine residues in the human small ribosomal subunit RACK1, converting it to a plant-like state to favour translation of poxvirus mRNAs","container-title":"Nature","DOI":"10.1038/nature22814","ISSN":"1476-4687","issue":"7660","language":"en","note":"number: 7660\npublisher: Nature Publishing Group","page":"651-655","source":"www.nature.com","title":"Trans-kingdom mimicry underlies ribosome customization by a poxvirus kinase","volume":"546","author":[{"family":"Jha","given":"Sujata"},{"family":"Rollins","given":"Madeline G."},{"family":"Fuchs","given":"Gabriele"},{"family":"Procter","given":"Dean J."},{"family":"Hall","given":"Elizabeth A."},{"family":"Cozzolino","given":"Kira"},{"family":"Sarnow","given":"Peter"},{"family":"Savas","given":"Jeffrey N."},{"family":"Walsh","given":"Derek"}],"issued":{"date-parts":[["2017",6]]},"citation-key":"jhaTranskingdomMimicryUnderlies2017"}}],"schema":"https://github.com/citation-style-language/schema/raw/master/csl-citation.json"} </w:instrText>
      </w:r>
      <w:r w:rsidR="00322BD2">
        <w:fldChar w:fldCharType="separate"/>
      </w:r>
      <w:r w:rsidR="00322BD2" w:rsidRPr="00322BD2">
        <w:rPr>
          <w:rFonts w:ascii="Calibri" w:hAnsi="Calibri" w:cs="Calibri"/>
        </w:rPr>
        <w:t>(Jha et al., 2017)</w:t>
      </w:r>
      <w:r w:rsidR="00322BD2">
        <w:fldChar w:fldCharType="end"/>
      </w:r>
      <w:r w:rsidR="000D1368">
        <w:t>.</w:t>
      </w:r>
    </w:p>
    <w:p w14:paraId="3F8AA635" w14:textId="71E47D61" w:rsidR="00E538CA" w:rsidRDefault="00E538CA">
      <w:r>
        <w:t xml:space="preserve">There are two main modes of translation initiation, canonical cap-based </w:t>
      </w:r>
      <w:proofErr w:type="gramStart"/>
      <w:r>
        <w:t>translation</w:t>
      </w:r>
      <w:proofErr w:type="gramEnd"/>
      <w:r w:rsidR="00ED2CB2">
        <w:t xml:space="preserve"> and </w:t>
      </w:r>
      <w:r w:rsidR="00F1458F">
        <w:t>cap-</w:t>
      </w:r>
      <w:r w:rsidR="00F1458F">
        <w:t xml:space="preserve">independent </w:t>
      </w:r>
      <w:r w:rsidR="00ED2CB2">
        <w:t>translation.</w:t>
      </w:r>
      <w:r w:rsidR="00DB6360">
        <w:t xml:space="preserve"> </w:t>
      </w:r>
      <w:r w:rsidR="00ED2CB2">
        <w:t>C</w:t>
      </w:r>
      <w:r w:rsidR="00ED2CB2">
        <w:t xml:space="preserve">ap-based translation </w:t>
      </w:r>
      <w:r w:rsidR="00DB6360">
        <w:t>is a complex many-stepped process</w:t>
      </w:r>
      <w:r>
        <w:t xml:space="preserve"> in which the 4</w:t>
      </w:r>
      <w:r w:rsidR="000267B9">
        <w:t>3</w:t>
      </w:r>
      <w:r>
        <w:t>S ribosome pre-initiation complex (4</w:t>
      </w:r>
      <w:r w:rsidR="000267B9">
        <w:t>3</w:t>
      </w:r>
      <w:r>
        <w:t xml:space="preserve">S PIC) </w:t>
      </w:r>
      <w:r w:rsidR="000267B9">
        <w:t>is recruited to an mRNA through interacting with cap-binding protein (eIF4E) as well as other components</w:t>
      </w:r>
      <w:r w:rsidR="00502525">
        <w:t xml:space="preserve"> </w:t>
      </w:r>
      <w:r w:rsidR="00502525">
        <w:fldChar w:fldCharType="begin"/>
      </w:r>
      <w:r w:rsidR="00502525">
        <w:instrText xml:space="preserve"> ADDIN ZOTERO_ITEM CSL_CITATION {"citationID":"LSxJlWAL","properties":{"formattedCitation":"(Jackson et al., 2010)","plainCitation":"(Jackson et al., 2010)","noteIndex":0},"citationItems":[{"id":1936,"uris":["http://zotero.org/users/6609021/items/WKZJWRHW"],"uri":["http://zotero.org/users/6609021/items/WKZJWRHW"],"itemData":{"id":1936,"type":"article-journal","abstract":"Protein synthesis is principally regulated at the initiation stage (rather than during elongation or termination), allowing rapid, reversible and spatial control over gene expression. Progress over recent years in determining the structures and activities ...","container-title":"Nature reviews. Molecular cell biology","DOI":"10.1038/nrm2838","issue":"2","language":"en","note":"publisher: NIH Public Access\nPMID: 20094052","page":"113","source":"www.ncbi.nlm.nih.gov","title":"THE MECHANISM OF EUKARYOTIC TRANSLATION INITIATION AND PRINCIPLES OF ITS REGULATION","volume":"11","author":[{"family":"Jackson","given":"Richard J."},{"family":"Hellen","given":"Christopher U. T."},{"family":"Pestova","given":"Tatyana V."}],"issued":{"date-parts":[["2010",2]]},"citation-key":"jacksonMECHANISMEUKARYOTICTRANSLATION2010"}}],"schema":"https://github.com/citation-style-language/schema/raw/master/csl-citation.json"} </w:instrText>
      </w:r>
      <w:r w:rsidR="00502525">
        <w:fldChar w:fldCharType="separate"/>
      </w:r>
      <w:r w:rsidR="00502525" w:rsidRPr="00502525">
        <w:rPr>
          <w:rFonts w:ascii="Calibri" w:hAnsi="Calibri" w:cs="Calibri"/>
        </w:rPr>
        <w:t>(Jackson et al., 2010)</w:t>
      </w:r>
      <w:r w:rsidR="00502525">
        <w:fldChar w:fldCharType="end"/>
      </w:r>
      <w:r w:rsidR="000267B9">
        <w:t xml:space="preserve">. </w:t>
      </w:r>
      <w:r w:rsidR="002F6329">
        <w:t>This initiates</w:t>
      </w:r>
      <w:r w:rsidR="000267B9">
        <w:t xml:space="preserve"> scanning where the 4</w:t>
      </w:r>
      <w:r w:rsidR="00DB6360">
        <w:t>3S</w:t>
      </w:r>
      <w:r w:rsidR="000267B9">
        <w:t xml:space="preserve"> </w:t>
      </w:r>
      <w:r w:rsidR="00DB6360">
        <w:t xml:space="preserve">PIC </w:t>
      </w:r>
      <w:r w:rsidR="000267B9">
        <w:t>moves along the mRNA until a suitable start codon is identified and translation begins once a 60S ribosomal subunit is recruited</w:t>
      </w:r>
      <w:r w:rsidR="00502525">
        <w:t xml:space="preserve"> </w:t>
      </w:r>
      <w:r w:rsidR="00502525">
        <w:fldChar w:fldCharType="begin"/>
      </w:r>
      <w:r w:rsidR="00502525">
        <w:instrText xml:space="preserve"> ADDIN ZOTERO_ITEM CSL_CITATION {"citationID":"mCworugu","properties":{"formattedCitation":"(Jackson et al., 2010)","plainCitation":"(Jackson et al., 2010)","noteIndex":0},"citationItems":[{"id":1936,"uris":["http://zotero.org/users/6609021/items/WKZJWRHW"],"uri":["http://zotero.org/users/6609021/items/WKZJWRHW"],"itemData":{"id":1936,"type":"article-journal","abstract":"Protein synthesis is principally regulated at the initiation stage (rather than during elongation or termination), allowing rapid, reversible and spatial control over gene expression. Progress over recent years in determining the structures and activities ...","container-title":"Nature reviews. Molecular cell biology","DOI":"10.1038/nrm2838","issue":"2","language":"en","note":"publisher: NIH Public Access\nPMID: 20094052","page":"113","source":"www.ncbi.nlm.nih.gov","title":"THE MECHANISM OF EUKARYOTIC TRANSLATION INITIATION AND PRINCIPLES OF ITS REGULATION","volume":"11","author":[{"family":"Jackson","given":"Richard J."},{"family":"Hellen","given":"Christopher U. T."},{"family":"Pestova","given":"Tatyana V."}],"issued":{"date-parts":[["2010",2]]},"citation-key":"jacksonMECHANISMEUKARYOTICTRANSLATION2010"}}],"schema":"https://github.com/citation-style-language/schema/raw/master/csl-citation.json"} </w:instrText>
      </w:r>
      <w:r w:rsidR="00502525">
        <w:fldChar w:fldCharType="separate"/>
      </w:r>
      <w:r w:rsidR="00502525" w:rsidRPr="00502525">
        <w:rPr>
          <w:rFonts w:ascii="Calibri" w:hAnsi="Calibri" w:cs="Calibri"/>
        </w:rPr>
        <w:t>(Jackson et al., 2010)</w:t>
      </w:r>
      <w:r w:rsidR="00502525">
        <w:fldChar w:fldCharType="end"/>
      </w:r>
      <w:r w:rsidR="000267B9">
        <w:t>. Translation can also be initiated cap-independently</w:t>
      </w:r>
      <w:r w:rsidR="00502525">
        <w:t xml:space="preserve"> </w:t>
      </w:r>
      <w:r w:rsidR="00502525">
        <w:lastRenderedPageBreak/>
        <w:fldChar w:fldCharType="begin"/>
      </w:r>
      <w:r w:rsidR="00502525">
        <w:instrText xml:space="preserve"> ADDIN ZOTERO_ITEM CSL_CITATION {"citationID":"9LmllJcY","properties":{"formattedCitation":"(Jackson et al., 2010)","plainCitation":"(Jackson et al., 2010)","noteIndex":0},"citationItems":[{"id":1936,"uris":["http://zotero.org/users/6609021/items/WKZJWRHW"],"uri":["http://zotero.org/users/6609021/items/WKZJWRHW"],"itemData":{"id":1936,"type":"article-journal","abstract":"Protein synthesis is principally regulated at the initiation stage (rather than during elongation or termination), allowing rapid, reversible and spatial control over gene expression. Progress over recent years in determining the structures and activities ...","container-title":"Nature reviews. Molecular cell biology","DOI":"10.1038/nrm2838","issue":"2","language":"en","note":"publisher: NIH Public Access\nPMID: 20094052","page":"113","source":"www.ncbi.nlm.nih.gov","title":"THE MECHANISM OF EUKARYOTIC TRANSLATION INITIATION AND PRINCIPLES OF ITS REGULATION","volume":"11","author":[{"family":"Jackson","given":"Richard J."},{"family":"Hellen","given":"Christopher U. T."},{"family":"Pestova","given":"Tatyana V."}],"issued":{"date-parts":[["2010",2]]},"citation-key":"jacksonMECHANISMEUKARYOTICTRANSLATION2010"}}],"schema":"https://github.com/citation-style-language/schema/raw/master/csl-citation.json"} </w:instrText>
      </w:r>
      <w:r w:rsidR="00502525">
        <w:fldChar w:fldCharType="separate"/>
      </w:r>
      <w:r w:rsidR="00502525" w:rsidRPr="00502525">
        <w:rPr>
          <w:rFonts w:ascii="Calibri" w:hAnsi="Calibri" w:cs="Calibri"/>
        </w:rPr>
        <w:t>(Jackson et al., 2010)</w:t>
      </w:r>
      <w:r w:rsidR="00502525">
        <w:fldChar w:fldCharType="end"/>
      </w:r>
      <w:r w:rsidR="000267B9">
        <w:t xml:space="preserve">. Several mechanisms can allow translation to occur without the presence of eIF4E, but of interest to this work is </w:t>
      </w:r>
      <w:r w:rsidR="006E0C92">
        <w:t>IRES</w:t>
      </w:r>
      <w:r w:rsidR="000267B9">
        <w:t>-based initiation</w:t>
      </w:r>
      <w:r w:rsidR="00502525">
        <w:t xml:space="preserve"> </w:t>
      </w:r>
      <w:r w:rsidR="00041D7B">
        <w:fldChar w:fldCharType="begin"/>
      </w:r>
      <w:r w:rsidR="00041D7B">
        <w:instrText xml:space="preserve"> ADDIN ZOTERO_ITEM CSL_CITATION {"citationID":"rwtLMsEe","properties":{"formattedCitation":"(Shatsky et al., 2018)","plainCitation":"(Shatsky et al., 2018)","noteIndex":0},"citationItems":[{"id":1940,"uris":["http://zotero.org/users/6609021/items/I3IW2Q43"],"uri":["http://zotero.org/users/6609021/items/I3IW2Q43"],"itemData":{"id":1940,"type":"article-journal","abstract":"Eukaryotic translation initiation relies on the m7G cap present at the 5′ end of all mRNAs. Some viral mRNAs employ alternative mechanisms of initiation based on internal ribosome entry. The ‘IRES ideology’ was adopted by researchers to explain the differential translation of cellular mRNAs when the cap recognition is suppressed. However, some cellular IRESs have already been challenged and others are awaiting their validation. As an alternative cap-independent mechanism, we propose adopting the concept of cap-independent translation enhancers (CITEs) for mammalian mRNAs. Unlike IRESs, CITEs can be located both within 5′ and 3′ UTRs and bind mRNA-recruiting translational components. The respective 5′ UTRs are then inspected by the scanning machinery essentially in the same way as under cap-dependent translation.","container-title":"Trends in Biochemical Sciences","DOI":"10.1016/j.tibs.2018.04.011","ISSN":"0968-0004","issue":"11","journalAbbreviation":"Trends in Biochemical Sciences","language":"en","page":"882-895","source":"ScienceDirect","title":"Cap-Independent Translation: What’s in a Name?","title-short":"Cap-Independent Translation","volume":"43","author":[{"family":"Shatsky","given":"Ivan N."},{"family":"Terenin","given":"Ilya M."},{"family":"Smirnova","given":"Victoria V."},{"family":"Andreev","given":"Dmitri E."}],"issued":{"date-parts":[["2018",11,1]]},"citation-key":"shatskyCapIndependentTranslationWhat2018"}}],"schema":"https://github.com/citation-style-language/schema/raw/master/csl-citation.json"} </w:instrText>
      </w:r>
      <w:r w:rsidR="00041D7B">
        <w:fldChar w:fldCharType="separate"/>
      </w:r>
      <w:r w:rsidR="00041D7B" w:rsidRPr="00041D7B">
        <w:rPr>
          <w:rFonts w:ascii="Calibri" w:hAnsi="Calibri" w:cs="Calibri"/>
        </w:rPr>
        <w:t>(</w:t>
      </w:r>
      <w:proofErr w:type="spellStart"/>
      <w:r w:rsidR="00041D7B" w:rsidRPr="00041D7B">
        <w:rPr>
          <w:rFonts w:ascii="Calibri" w:hAnsi="Calibri" w:cs="Calibri"/>
        </w:rPr>
        <w:t>Shatsky</w:t>
      </w:r>
      <w:proofErr w:type="spellEnd"/>
      <w:r w:rsidR="00041D7B" w:rsidRPr="00041D7B">
        <w:rPr>
          <w:rFonts w:ascii="Calibri" w:hAnsi="Calibri" w:cs="Calibri"/>
        </w:rPr>
        <w:t xml:space="preserve"> et al., 2018)</w:t>
      </w:r>
      <w:r w:rsidR="00041D7B">
        <w:fldChar w:fldCharType="end"/>
      </w:r>
      <w:r w:rsidR="000267B9">
        <w:t>.</w:t>
      </w:r>
      <w:r w:rsidR="002F6329">
        <w:t xml:space="preserve"> IRESs are secondary structures of RNA of which several classes have been described which are classified based on the initiation factors they require as well as their secondary structure</w:t>
      </w:r>
      <w:r w:rsidR="00041D7B">
        <w:t xml:space="preserve"> </w:t>
      </w:r>
      <w:r w:rsidR="00041D7B">
        <w:fldChar w:fldCharType="begin"/>
      </w:r>
      <w:r w:rsidR="00041D7B">
        <w:instrText xml:space="preserve"> ADDIN ZOTERO_ITEM CSL_CITATION {"citationID":"bqLY1EqI","properties":{"formattedCitation":"(Mailliot and Martin, 2018)","plainCitation":"(Mailliot and Martin, 2018)","noteIndex":0},"citationItems":[{"id":1904,"uris":["http://zotero.org/users/6609021/items/RQ94S9FK"],"uri":["http://zotero.org/users/6609021/items/RQ94S9FK"],"itemData":{"id":1904,"type":"article-journal","abstract":"To ensure efficient propagation, viruses need to rapidly produce viral proteins after cell entrance. Since viral genomes do not encode any components of the protein biosynthesis machinery, viral proteins must be produced by the host cell. To hi-jack the host cellular translation, viruses use a great variety of distinct strategies. Many single-stranded positive-sensed RNA viruses contain so-called internal ribosome entry sites (IRESs). IRESs are structural RNA motifs that have evolved to specific folds that recruit the host ribosomes on the viral coding sequences in order to synthesize viral proteins. In host canonical translation, recruitment of the translation machinery components is essentially guided by the 5' cap (m7 G) of mRNA. In contrast, IRESs are able to promote efficient ribosome assembly internally and in cap-independent manner. IRESs have been categorized into four classes, based on their length, nucleotide sequence, secondary and tertiary structures, as well as their mode of action. Classes I and II require the assistance of cellular auxiliary factors, the eukaryotic intiation factors (eIF), for efficient ribosome assembly. Class III IRESs require only a subset of eIFs whereas Class IV, which are the more compact, can promote translation without any eIFs. Extensive functional and structural investigations of IRESs over the past decades have allowed a better understanding of their mode of action for viral translation. Because viral translation has a pivotal role in the infectious program, IRESs are therefore attractive targets for therapeutic purposes. WIREs RNA 2018, 9:e1458. doi: 10.1002/wrna.1458 This article is categorized under: Translation &gt; Ribosome Structure/Function Translation &gt; Translation Mechanisms RNA Interactions with Proteins and Other Molecules &gt; RNA-Protein Complexes.","container-title":"Wiley interdisciplinary reviews. RNA","DOI":"10.1002/wrna.1458","ISSN":"1757-7012","issue":"2","journalAbbreviation":"Wiley Interdiscip Rev RNA","language":"eng","note":"PMID: 29193740","source":"PubMed","title":"Viral internal ribosomal entry sites: four classes for one goal","title-short":"Viral internal ribosomal entry sites","volume":"9","author":[{"family":"Mailliot","given":"Justine"},{"family":"Martin","given":"Franck"}],"issued":{"date-parts":[["2018",3]]},"citation-key":"mailliotViralInternalRibosomal2018"}}],"schema":"https://github.com/citation-style-language/schema/raw/master/csl-citation.json"} </w:instrText>
      </w:r>
      <w:r w:rsidR="00041D7B">
        <w:fldChar w:fldCharType="separate"/>
      </w:r>
      <w:r w:rsidR="00041D7B" w:rsidRPr="00041D7B">
        <w:rPr>
          <w:rFonts w:ascii="Calibri" w:hAnsi="Calibri" w:cs="Calibri"/>
        </w:rPr>
        <w:t>(</w:t>
      </w:r>
      <w:proofErr w:type="spellStart"/>
      <w:r w:rsidR="00041D7B" w:rsidRPr="00041D7B">
        <w:rPr>
          <w:rFonts w:ascii="Calibri" w:hAnsi="Calibri" w:cs="Calibri"/>
        </w:rPr>
        <w:t>Mailliot</w:t>
      </w:r>
      <w:proofErr w:type="spellEnd"/>
      <w:r w:rsidR="00041D7B" w:rsidRPr="00041D7B">
        <w:rPr>
          <w:rFonts w:ascii="Calibri" w:hAnsi="Calibri" w:cs="Calibri"/>
        </w:rPr>
        <w:t xml:space="preserve"> and Martin, 2018)</w:t>
      </w:r>
      <w:r w:rsidR="00041D7B">
        <w:fldChar w:fldCharType="end"/>
      </w:r>
      <w:r w:rsidR="002F6329">
        <w:t xml:space="preserve">. IRESs bypass at least the use of eIF4E and can bypass the use of any initiation factors at all, requiring only the 40S and 60S ribosomal subunits to perform </w:t>
      </w:r>
      <w:r w:rsidR="00DB6360">
        <w:t>initiation</w:t>
      </w:r>
      <w:r w:rsidR="00041D7B">
        <w:t xml:space="preserve"> </w:t>
      </w:r>
      <w:r w:rsidR="00041D7B">
        <w:fldChar w:fldCharType="begin"/>
      </w:r>
      <w:r w:rsidR="00041D7B">
        <w:instrText xml:space="preserve"> ADDIN ZOTERO_ITEM CSL_CITATION {"citationID":"4RQ3TiLW","properties":{"formattedCitation":"(Mailliot and Martin, 2018; Shatsky et al., 2018)","plainCitation":"(Mailliot and Martin, 2018; Shatsky et al., 2018)","noteIndex":0},"citationItems":[{"id":1904,"uris":["http://zotero.org/users/6609021/items/RQ94S9FK"],"uri":["http://zotero.org/users/6609021/items/RQ94S9FK"],"itemData":{"id":1904,"type":"article-journal","abstract":"To ensure efficient propagation, viruses need to rapidly produce viral proteins after cell entrance. Since viral genomes do not encode any components of the protein biosynthesis machinery, viral proteins must be produced by the host cell. To hi-jack the host cellular translation, viruses use a great variety of distinct strategies. Many single-stranded positive-sensed RNA viruses contain so-called internal ribosome entry sites (IRESs). IRESs are structural RNA motifs that have evolved to specific folds that recruit the host ribosomes on the viral coding sequences in order to synthesize viral proteins. In host canonical translation, recruitment of the translation machinery components is essentially guided by the 5' cap (m7 G) of mRNA. In contrast, IRESs are able to promote efficient ribosome assembly internally and in cap-independent manner. IRESs have been categorized into four classes, based on their length, nucleotide sequence, secondary and tertiary structures, as well as their mode of action. Classes I and II require the assistance of cellular auxiliary factors, the eukaryotic intiation factors (eIF), for efficient ribosome assembly. Class III IRESs require only a subset of eIFs whereas Class IV, which are the more compact, can promote translation without any eIFs. Extensive functional and structural investigations of IRESs over the past decades have allowed a better understanding of their mode of action for viral translation. Because viral translation has a pivotal role in the infectious program, IRESs are therefore attractive targets for therapeutic purposes. WIREs RNA 2018, 9:e1458. doi: 10.1002/wrna.1458 This article is categorized under: Translation &gt; Ribosome Structure/Function Translation &gt; Translation Mechanisms RNA Interactions with Proteins and Other Molecules &gt; RNA-Protein Complexes.","container-title":"Wiley interdisciplinary reviews. RNA","DOI":"10.1002/wrna.1458","ISSN":"1757-7012","issue":"2","journalAbbreviation":"Wiley Interdiscip Rev RNA","language":"eng","note":"PMID: 29193740","source":"PubMed","title":"Viral internal ribosomal entry sites: four classes for one goal","title-short":"Viral internal ribosomal entry sites","volume":"9","author":[{"family":"Mailliot","given":"Justine"},{"family":"Martin","given":"Franck"}],"issued":{"date-parts":[["2018",3]]},"citation-key":"mailliotViralInternalRibosomal2018"}},{"id":1940,"uris":["http://zotero.org/users/6609021/items/I3IW2Q43"],"uri":["http://zotero.org/users/6609021/items/I3IW2Q43"],"itemData":{"id":1940,"type":"article-journal","abstract":"Eukaryotic translation initiation relies on the m7G cap present at the 5′ end of all mRNAs. Some viral mRNAs employ alternative mechanisms of initiation based on internal ribosome entry. The ‘IRES ideology’ was adopted by researchers to explain the differential translation of cellular mRNAs when the cap recognition is suppressed. However, some cellular IRESs have already been challenged and others are awaiting their validation. As an alternative cap-independent mechanism, we propose adopting the concept of cap-independent translation enhancers (CITEs) for mammalian mRNAs. Unlike IRESs, CITEs can be located both within 5′ and 3′ UTRs and bind mRNA-recruiting translational components. The respective 5′ UTRs are then inspected by the scanning machinery essentially in the same way as under cap-dependent translation.","container-title":"Trends in Biochemical Sciences","DOI":"10.1016/j.tibs.2018.04.011","ISSN":"0968-0004","issue":"11","journalAbbreviation":"Trends in Biochemical Sciences","language":"en","page":"882-895","source":"ScienceDirect","title":"Cap-Independent Translation: What’s in a Name?","title-short":"Cap-Independent Translation","volume":"43","author":[{"family":"Shatsky","given":"Ivan N."},{"family":"Terenin","given":"Ilya M."},{"family":"Smirnova","given":"Victoria V."},{"family":"Andreev","given":"Dmitri E."}],"issued":{"date-parts":[["2018",11,1]]},"citation-key":"shatskyCapIndependentTranslationWhat2018"}}],"schema":"https://github.com/citation-style-language/schema/raw/master/csl-citation.json"} </w:instrText>
      </w:r>
      <w:r w:rsidR="00041D7B">
        <w:fldChar w:fldCharType="separate"/>
      </w:r>
      <w:r w:rsidR="00041D7B" w:rsidRPr="00041D7B">
        <w:rPr>
          <w:rFonts w:ascii="Calibri" w:hAnsi="Calibri" w:cs="Calibri"/>
        </w:rPr>
        <w:t>(</w:t>
      </w:r>
      <w:proofErr w:type="spellStart"/>
      <w:r w:rsidR="00041D7B" w:rsidRPr="00041D7B">
        <w:rPr>
          <w:rFonts w:ascii="Calibri" w:hAnsi="Calibri" w:cs="Calibri"/>
        </w:rPr>
        <w:t>Mailliot</w:t>
      </w:r>
      <w:proofErr w:type="spellEnd"/>
      <w:r w:rsidR="00041D7B" w:rsidRPr="00041D7B">
        <w:rPr>
          <w:rFonts w:ascii="Calibri" w:hAnsi="Calibri" w:cs="Calibri"/>
        </w:rPr>
        <w:t xml:space="preserve"> and Martin, 2018; </w:t>
      </w:r>
      <w:proofErr w:type="spellStart"/>
      <w:r w:rsidR="00041D7B" w:rsidRPr="00041D7B">
        <w:rPr>
          <w:rFonts w:ascii="Calibri" w:hAnsi="Calibri" w:cs="Calibri"/>
        </w:rPr>
        <w:t>Shatsky</w:t>
      </w:r>
      <w:proofErr w:type="spellEnd"/>
      <w:r w:rsidR="00041D7B" w:rsidRPr="00041D7B">
        <w:rPr>
          <w:rFonts w:ascii="Calibri" w:hAnsi="Calibri" w:cs="Calibri"/>
        </w:rPr>
        <w:t xml:space="preserve"> et al., 2018)</w:t>
      </w:r>
      <w:r w:rsidR="00041D7B">
        <w:fldChar w:fldCharType="end"/>
      </w:r>
      <w:r w:rsidR="002F6329">
        <w:t xml:space="preserve">. In general, IRESs are used at a higher rate under stress conditions such as those </w:t>
      </w:r>
      <w:r w:rsidR="00F63381">
        <w:t>initiated by viral infection, but also under other stress conditions</w:t>
      </w:r>
      <w:r w:rsidR="00041D7B">
        <w:t xml:space="preserve"> </w:t>
      </w:r>
      <w:r w:rsidR="00041D7B">
        <w:fldChar w:fldCharType="begin"/>
      </w:r>
      <w:r w:rsidR="00041D7B">
        <w:instrText xml:space="preserve"> ADDIN ZOTERO_ITEM CSL_CITATION {"citationID":"zU2mqVqG","properties":{"formattedCitation":"(Mailliot and Martin, 2018; Shatsky et al., 2018)","plainCitation":"(Mailliot and Martin, 2018; Shatsky et al., 2018)","noteIndex":0},"citationItems":[{"id":1904,"uris":["http://zotero.org/users/6609021/items/RQ94S9FK"],"uri":["http://zotero.org/users/6609021/items/RQ94S9FK"],"itemData":{"id":1904,"type":"article-journal","abstract":"To ensure efficient propagation, viruses need to rapidly produce viral proteins after cell entrance. Since viral genomes do not encode any components of the protein biosynthesis machinery, viral proteins must be produced by the host cell. To hi-jack the host cellular translation, viruses use a great variety of distinct strategies. Many single-stranded positive-sensed RNA viruses contain so-called internal ribosome entry sites (IRESs). IRESs are structural RNA motifs that have evolved to specific folds that recruit the host ribosomes on the viral coding sequences in order to synthesize viral proteins. In host canonical translation, recruitment of the translation machinery components is essentially guided by the 5' cap (m7 G) of mRNA. In contrast, IRESs are able to promote efficient ribosome assembly internally and in cap-independent manner. IRESs have been categorized into four classes, based on their length, nucleotide sequence, secondary and tertiary structures, as well as their mode of action. Classes I and II require the assistance of cellular auxiliary factors, the eukaryotic intiation factors (eIF), for efficient ribosome assembly. Class III IRESs require only a subset of eIFs whereas Class IV, which are the more compact, can promote translation without any eIFs. Extensive functional and structural investigations of IRESs over the past decades have allowed a better understanding of their mode of action for viral translation. Because viral translation has a pivotal role in the infectious program, IRESs are therefore attractive targets for therapeutic purposes. WIREs RNA 2018, 9:e1458. doi: 10.1002/wrna.1458 This article is categorized under: Translation &gt; Ribosome Structure/Function Translation &gt; Translation Mechanisms RNA Interactions with Proteins and Other Molecules &gt; RNA-Protein Complexes.","container-title":"Wiley interdisciplinary reviews. RNA","DOI":"10.1002/wrna.1458","ISSN":"1757-7012","issue":"2","journalAbbreviation":"Wiley Interdiscip Rev RNA","language":"eng","note":"PMID: 29193740","source":"PubMed","title":"Viral internal ribosomal entry sites: four classes for one goal","title-short":"Viral internal ribosomal entry sites","volume":"9","author":[{"family":"Mailliot","given":"Justine"},{"family":"Martin","given":"Franck"}],"issued":{"date-parts":[["2018",3]]},"citation-key":"mailliotViralInternalRibosomal2018"}},{"id":1940,"uris":["http://zotero.org/users/6609021/items/I3IW2Q43"],"uri":["http://zotero.org/users/6609021/items/I3IW2Q43"],"itemData":{"id":1940,"type":"article-journal","abstract":"Eukaryotic translation initiation relies on the m7G cap present at the 5′ end of all mRNAs. Some viral mRNAs employ alternative mechanisms of initiation based on internal ribosome entry. The ‘IRES ideology’ was adopted by researchers to explain the differential translation of cellular mRNAs when the cap recognition is suppressed. However, some cellular IRESs have already been challenged and others are awaiting their validation. As an alternative cap-independent mechanism, we propose adopting the concept of cap-independent translation enhancers (CITEs) for mammalian mRNAs. Unlike IRESs, CITEs can be located both within 5′ and 3′ UTRs and bind mRNA-recruiting translational components. The respective 5′ UTRs are then inspected by the scanning machinery essentially in the same way as under cap-dependent translation.","container-title":"Trends in Biochemical Sciences","DOI":"10.1016/j.tibs.2018.04.011","ISSN":"0968-0004","issue":"11","journalAbbreviation":"Trends in Biochemical Sciences","language":"en","page":"882-895","source":"ScienceDirect","title":"Cap-Independent Translation: What’s in a Name?","title-short":"Cap-Independent Translation","volume":"43","author":[{"family":"Shatsky","given":"Ivan N."},{"family":"Terenin","given":"Ilya M."},{"family":"Smirnova","given":"Victoria V."},{"family":"Andreev","given":"Dmitri E."}],"issued":{"date-parts":[["2018",11,1]]},"citation-key":"shatskyCapIndependentTranslationWhat2018"}}],"schema":"https://github.com/citation-style-language/schema/raw/master/csl-citation.json"} </w:instrText>
      </w:r>
      <w:r w:rsidR="00041D7B">
        <w:fldChar w:fldCharType="separate"/>
      </w:r>
      <w:r w:rsidR="00041D7B" w:rsidRPr="00041D7B">
        <w:rPr>
          <w:rFonts w:ascii="Calibri" w:hAnsi="Calibri" w:cs="Calibri"/>
        </w:rPr>
        <w:t>(</w:t>
      </w:r>
      <w:proofErr w:type="spellStart"/>
      <w:r w:rsidR="00041D7B" w:rsidRPr="00041D7B">
        <w:rPr>
          <w:rFonts w:ascii="Calibri" w:hAnsi="Calibri" w:cs="Calibri"/>
        </w:rPr>
        <w:t>Mailliot</w:t>
      </w:r>
      <w:proofErr w:type="spellEnd"/>
      <w:r w:rsidR="00041D7B" w:rsidRPr="00041D7B">
        <w:rPr>
          <w:rFonts w:ascii="Calibri" w:hAnsi="Calibri" w:cs="Calibri"/>
        </w:rPr>
        <w:t xml:space="preserve"> and Martin, 2018; </w:t>
      </w:r>
      <w:proofErr w:type="spellStart"/>
      <w:r w:rsidR="00041D7B" w:rsidRPr="00041D7B">
        <w:rPr>
          <w:rFonts w:ascii="Calibri" w:hAnsi="Calibri" w:cs="Calibri"/>
        </w:rPr>
        <w:t>Shatsky</w:t>
      </w:r>
      <w:proofErr w:type="spellEnd"/>
      <w:r w:rsidR="00041D7B" w:rsidRPr="00041D7B">
        <w:rPr>
          <w:rFonts w:ascii="Calibri" w:hAnsi="Calibri" w:cs="Calibri"/>
        </w:rPr>
        <w:t xml:space="preserve"> et al., 2018)</w:t>
      </w:r>
      <w:r w:rsidR="00041D7B">
        <w:fldChar w:fldCharType="end"/>
      </w:r>
      <w:r w:rsidR="00F63381">
        <w:t xml:space="preserve">. However, how cellular stress changes the usage of IRES translation vs </w:t>
      </w:r>
      <w:r w:rsidR="00DB6360">
        <w:t>cap-based</w:t>
      </w:r>
      <w:r w:rsidR="00F63381">
        <w:t xml:space="preserve"> translation is not fully understood.</w:t>
      </w:r>
    </w:p>
    <w:p w14:paraId="580A3CFD" w14:textId="0915DD98" w:rsidR="000D1368" w:rsidRPr="00955F68" w:rsidRDefault="000D1368">
      <w:r>
        <w:t>We performed a screen to attempt to identify enzymes that post-</w:t>
      </w:r>
      <w:r w:rsidR="004F50CD">
        <w:t>translationally</w:t>
      </w:r>
      <w:r>
        <w:t xml:space="preserve"> modify proteins</w:t>
      </w:r>
      <w:r w:rsidR="004F50CD">
        <w:t xml:space="preserve"> and have the potential to alter the translation landscape. To perform this </w:t>
      </w:r>
      <w:r w:rsidR="00955F68">
        <w:t>screen,</w:t>
      </w:r>
      <w:r w:rsidR="004F50CD">
        <w:t xml:space="preserve"> we used the </w:t>
      </w:r>
      <w:r w:rsidR="004F50CD">
        <w:rPr>
          <w:i/>
          <w:iCs/>
        </w:rPr>
        <w:t>Drosophila</w:t>
      </w:r>
      <w:r w:rsidR="004F50CD">
        <w:t xml:space="preserve"> ovary as it has several advantages. First, </w:t>
      </w:r>
      <w:r w:rsidR="004F50CD">
        <w:rPr>
          <w:i/>
          <w:iCs/>
        </w:rPr>
        <w:t>Drosophila</w:t>
      </w:r>
      <w:r w:rsidR="004F50CD">
        <w:t xml:space="preserve"> have thousands of </w:t>
      </w:r>
      <w:r w:rsidR="00955F68">
        <w:t>available</w:t>
      </w:r>
      <w:r w:rsidR="004F50CD">
        <w:t xml:space="preserve"> RNAi lines that can be used to knock down genes of interest</w:t>
      </w:r>
      <w:r w:rsidR="00041D7B">
        <w:t xml:space="preserve"> </w:t>
      </w:r>
      <w:r w:rsidR="00A22086">
        <w:fldChar w:fldCharType="begin"/>
      </w:r>
      <w:r w:rsidR="00A22086">
        <w:instrText xml:space="preserve"> ADDIN ZOTERO_ITEM CSL_CITATION {"citationID":"63EoXelp","properties":{"formattedCitation":"(del Valle Rodr\\uc0\\u237{}guez et al., 2012)","plainCitation":"(del Valle Rodríguez et al., 2012)","noteIndex":0},"citationItems":[{"id":1941,"uris":["http://zotero.org/users/6609021/items/NL788HZC"],"uri":["http://zotero.org/users/6609021/items/NL788HZC"],"itemData":{"id":1941,"type":"article-journal","abstract":"This Review covers recent technological developments to label and manipulate genes in selected populations of cells in Drosophila melanogaster. The Review is intended as a user guide to help with the selection of the best expression systems and clonal analysis techniques for developmental studies in the fly.","container-title":"Nature Methods","DOI":"10.1038/nmeth.1800","ISSN":"1548-7105","issue":"1","journalAbbreviation":"Nat Methods","language":"en","note":"number: 1\npublisher: Nature Publishing Group","page":"47-55","source":"www.nature.com","title":"Power tools for gene expression and clonal analysis in Drosophila","volume":"9","author":[{"family":"Valle Rodríguez","given":"Alberto","non-dropping-particle":"del"},{"family":"Didiano","given":"Dominic"},{"family":"Desplan","given":"Claude"}],"issued":{"date-parts":[["2012",1]]},"citation-key":"delvallerodriguezPowerToolsGene2012"}}],"schema":"https://github.com/citation-style-language/schema/raw/master/csl-citation.json"} </w:instrText>
      </w:r>
      <w:r w:rsidR="00A22086">
        <w:fldChar w:fldCharType="separate"/>
      </w:r>
      <w:r w:rsidR="00A22086" w:rsidRPr="00A22086">
        <w:rPr>
          <w:rFonts w:ascii="Calibri" w:hAnsi="Calibri" w:cs="Calibri"/>
          <w:szCs w:val="24"/>
        </w:rPr>
        <w:t>(del Valle Rodríguez et al., 2012)</w:t>
      </w:r>
      <w:r w:rsidR="00A22086">
        <w:fldChar w:fldCharType="end"/>
      </w:r>
      <w:r w:rsidR="004F50CD">
        <w:t xml:space="preserve">. </w:t>
      </w:r>
      <w:r w:rsidR="00955F68">
        <w:t xml:space="preserve">Second, many of the genes we chose to screen are histone modifying enzymes that may be required for cell survival, by using the ovary as our tissue of interest, we were able to deplete those genes in the germline without affecting the viability of the flies. The last major advantage to working in the </w:t>
      </w:r>
      <w:r w:rsidR="00955F68">
        <w:rPr>
          <w:i/>
          <w:iCs/>
        </w:rPr>
        <w:t>Drosophila</w:t>
      </w:r>
      <w:r w:rsidR="00955F68">
        <w:t xml:space="preserve"> ovary in this case is that endogenous control elements have </w:t>
      </w:r>
      <w:r w:rsidR="000267B9">
        <w:t>been</w:t>
      </w:r>
      <w:r w:rsidR="00955F68">
        <w:t xml:space="preserve"> identified allowing for expression of a reporter specifically in the germline</w:t>
      </w:r>
      <w:r w:rsidR="00A22086">
        <w:t xml:space="preserve"> </w:t>
      </w:r>
      <w:r w:rsidR="00A22086">
        <w:fldChar w:fldCharType="begin"/>
      </w:r>
      <w:r w:rsidR="00B018F8">
        <w:instrText xml:space="preserve"> ADDIN ZOTERO_ITEM CSL_CITATION {"citationID":"dMJKfUbG","properties":{"formattedCitation":"(R\\uc0\\u248{}rth, 1998; Serano et al., 1994)","plainCitation":"(Rørth, 1998; Serano et al., 1994)","noteIndex":0},"citationItems":[{"id":665,"uris":["http://zotero.org/users/6609021/items/L8XNQA5H"],"uri":["http://zotero.org/users/6609021/items/L8XNQA5H"],"itemData":{"id":665,"type":"article-journal","abstract":"The modular Gal4 system has proven to be an extremely useful tool for conditional gene expression in Drosophila. One limitation has been the inability of the system to work in the female germline. A modified Gal4 system that works throughout oogenesis is presented here. To achieve germline expression, it was critical to change the basal promoter and 3′-UTR in the Gal4-responsive expression vector (generating UASp). Basal promoters and heterologous 3′-UTRs are often considered neutral, but as shown here, can endow qualitative tissue-specificity to a chimeric transcript. The modified Gal4 system was used to investigate the role of the Drosophila FGF homologue branchless, ligand for the FGF receptor breathless, in border cell migration. FGF signaling guides tracheal cell migration in the embryo. However, misexpression of branchless in the ovary had no effect on border cell migration. Thus border cells and tracheal cells appear to be guided differently.","container-title":"Mechanisms of Development","DOI":"10.1016/S0925-4773(98)00157-9","ISSN":"0925-4773","issue":"1","journalAbbreviation":"Mechanisms of Development","language":"en","note":"Citation Key: rorthGal4DrosophilaFemale1998","page":"113-118","source":"ScienceDirect","title":"Gal4 in the Drosophila female germline","volume":"78","author":[{"family":"Rørth","given":"Pernille"}],"issued":{"date-parts":[["1998",11,1]]},"citation-key":"rorthGal4DrosophilaFemale1998"}},{"id":679,"uris":["http://zotero.org/users/6609021/items/UUYV8QAH"],"uri":["http://zotero.org/users/6609021/items/UUYV8QAH"],"itemData":{"id":679,"type":"article-journal","abstract":"We have constructed six new P-element-based Drosophila melanogaster transformation vectors that specifically allow for the high-level accumulation of any RNA of interest in the developing egg and pre-blastoderm embryo. Such specificity results, in part, from the inclusion in the vectors of an enhancer active exclusively in nurse cells, the principal providers of RNA to the egg and early embryo. The nurse cell enhancer was derived from the hsp26 heat-shock (HS) gene, but its activity was neither dependent on nor sensitive to HS. In addition to the nurse cell enhancer, two of the vectors contain sequences from the K10 gene that promote the early transfer of RNAs from nurse cells into the oocyte; RNAs that contain the K10 sequence are transferred into the oocyte during the early to middle stages of oogenesis (i.e., during stages 2–9), while RNAs that lack such sequences are stored in nurse cells until stage 11. All of the vectors contain a tsp and a multiple cloning site (MCS) immediately downstream from the hsp26 nurse cell enhancer. In three of the vectors, the MCS is preceded by an ATG start codon. A wild-type copy of the white gene is included in all of the vectors as a selectable marker for transformation. The specificity of the vectors was demonstrated by the analysis of the expression patterns of lacZ derivatives.","container-title":"Gene","DOI":"10.1016/0378-1119(94)90804-4","ISSN":"0378-1119","issue":"1","journalAbbreviation":"Gene","language":"en","note":"Citation Key: seranoElementTransformationVectors1994\ntex.ids= seranoElementTransformationVectors1994a","page":"181-186","source":"ScienceDirect","title":"P element transformation vectors for studying Drosophila melanogaster oogenesis and early embryogenesis","volume":"138","author":[{"family":"Serano","given":"Thomas L."},{"family":"Cheung","given":"Hung-Kam"},{"family":"Frank","given":"Lawrence H."},{"family":"Cohen","given":"Robert S."}],"issued":{"date-parts":[["1994",1,28]]},"citation-key":"seranoElementTransformationVectors1994"}}],"schema":"https://github.com/citation-style-language/schema/raw/master/csl-citation.json"} </w:instrText>
      </w:r>
      <w:r w:rsidR="00A22086">
        <w:fldChar w:fldCharType="separate"/>
      </w:r>
      <w:r w:rsidR="00B018F8" w:rsidRPr="00B018F8">
        <w:rPr>
          <w:rFonts w:ascii="Calibri" w:hAnsi="Calibri" w:cs="Calibri"/>
          <w:szCs w:val="24"/>
        </w:rPr>
        <w:t>(</w:t>
      </w:r>
      <w:proofErr w:type="spellStart"/>
      <w:r w:rsidR="00B018F8" w:rsidRPr="00B018F8">
        <w:rPr>
          <w:rFonts w:ascii="Calibri" w:hAnsi="Calibri" w:cs="Calibri"/>
          <w:szCs w:val="24"/>
        </w:rPr>
        <w:t>Rørth</w:t>
      </w:r>
      <w:proofErr w:type="spellEnd"/>
      <w:r w:rsidR="00B018F8" w:rsidRPr="00B018F8">
        <w:rPr>
          <w:rFonts w:ascii="Calibri" w:hAnsi="Calibri" w:cs="Calibri"/>
          <w:szCs w:val="24"/>
        </w:rPr>
        <w:t xml:space="preserve">, 1998; </w:t>
      </w:r>
      <w:proofErr w:type="spellStart"/>
      <w:r w:rsidR="00B018F8" w:rsidRPr="00B018F8">
        <w:rPr>
          <w:rFonts w:ascii="Calibri" w:hAnsi="Calibri" w:cs="Calibri"/>
          <w:szCs w:val="24"/>
        </w:rPr>
        <w:t>Serano</w:t>
      </w:r>
      <w:proofErr w:type="spellEnd"/>
      <w:r w:rsidR="00B018F8" w:rsidRPr="00B018F8">
        <w:rPr>
          <w:rFonts w:ascii="Calibri" w:hAnsi="Calibri" w:cs="Calibri"/>
          <w:szCs w:val="24"/>
        </w:rPr>
        <w:t xml:space="preserve"> et al., 1994)</w:t>
      </w:r>
      <w:r w:rsidR="00A22086">
        <w:fldChar w:fldCharType="end"/>
      </w:r>
      <w:r w:rsidR="00955F68">
        <w:t xml:space="preserve">. This in combination with germline specific </w:t>
      </w:r>
      <w:r w:rsidR="00AB2D65">
        <w:t>RNAi allowed us to assay for changes in translation only in the germline tissue.</w:t>
      </w:r>
    </w:p>
    <w:p w14:paraId="0CDC3838" w14:textId="6EEA4EB2" w:rsidR="00493F60" w:rsidRDefault="00493F60">
      <w:r>
        <w:t>Results and Conclusions</w:t>
      </w:r>
    </w:p>
    <w:p w14:paraId="2DDA026B" w14:textId="27B7C4DF" w:rsidR="00AB2D65" w:rsidRDefault="00AB2D65">
      <w:r>
        <w:t xml:space="preserve">To assess the status of translation we adapted a dual luciferase assay commonly used to monitor translation status. This reporter contains two ORFs encoded in a single transcript which allowed us to assay for changes in translation while eliminating confounding differences in transcription. The reporter transcript was under the control of a Nos promoter, which is only expressed in the germline. The reporter had a Nos 5’UTR and a K10 3’UTR which have both been </w:t>
      </w:r>
      <w:r w:rsidR="00E538CA">
        <w:t>demonstrated</w:t>
      </w:r>
      <w:r>
        <w:t xml:space="preserve"> to have a neutral effect on translation</w:t>
      </w:r>
      <w:r w:rsidR="007E0749">
        <w:t xml:space="preserve"> </w:t>
      </w:r>
      <w:r w:rsidR="00B018F8">
        <w:fldChar w:fldCharType="begin"/>
      </w:r>
      <w:r w:rsidR="00B018F8">
        <w:instrText xml:space="preserve"> ADDIN ZOTERO_ITEM CSL_CITATION {"citationID":"3dfheTfM","properties":{"formattedCitation":"(Gavis and Lehmann, 1992, 1992; Serano et al., 1994)","plainCitation":"(Gavis and Lehmann, 1992, 1992; Serano et al., 1994)","noteIndex":0},"citationItems":[{"id":1948,"uris":["http://zotero.org/users/6609021/items/QTGSTYVE"],"uri":["http://zotero.org/users/6609021/items/QTGSTYVE"],"itemData":{"id":1948,"type":"article-journal","abstract":"Anterior-posterior polarity of the Drosophila embryo is initiated during oogenesis through differential maternal RNA localization. The RNA of the anterior morphogen bicoid is localized to the anterior pole of the embryo, where bicoid protein controls head and thorax development. The RNA of the posterior morphogen nanos is localized to the posterior pole, where nanos protein is required for abdomen formation. Here we show that the nanos 3′ untranslated region, like that of the bicoid RNA, is sufficient for RNA localization. We have used the bicoid RNA localization signal to mislocalize nanos, producing embryos with two sources of nanos protein. Such embryos form two abdomens with mirror image symmetry. Embryos with nanos RNA localized only to the anterior have greater nanos gene activity than embryos with nanos RNA localized posteriorly. We propose a role for RNA localization in regulating nanos activity.","container-title":"Cell","DOI":"10.1016/0092-8674(92)90358-J","ISSN":"0092-8674","issue":"2","journalAbbreviation":"Cell","language":"en","page":"301-313","source":"ScienceDirect","title":"Localization of nanos RNA controls embryonic polarity","volume":"71","author":[{"family":"Gavis","given":"Elizabeth R."},{"family":"Lehmann","given":"Ruth"}],"issued":{"date-parts":[["1992",10,16]]},"citation-key":"gavisLocalizationNanosRNA1992"}},{"id":1948,"uris":["http://zotero.org/users/6609021/items/QTGSTYVE"],"uri":["http://zotero.org/users/6609021/items/QTGSTYVE"],"itemData":{"id":1948,"type":"article-journal","abstract":"Anterior-posterior polarity of the Drosophila embryo is initiated during oogenesis through differential maternal RNA localization. The RNA of the anterior morphogen bicoid is localized to the anterior pole of the embryo, where bicoid protein controls head and thorax development. The RNA of the posterior morphogen nanos is localized to the posterior pole, where nanos protein is required for abdomen formation. Here we show that the nanos 3′ untranslated region, like that of the bicoid RNA, is sufficient for RNA localization. We have used the bicoid RNA localization signal to mislocalize nanos, producing embryos with two sources of nanos protein. Such embryos form two abdomens with mirror image symmetry. Embryos with nanos RNA localized only to the anterior have greater nanos gene activity than embryos with nanos RNA localized posteriorly. We propose a role for RNA localization in regulating nanos activity.","container-title":"Cell","DOI":"10.1016/0092-8674(92)90358-J","ISSN":"0092-8674","issue":"2","journalAbbreviation":"Cell","language":"en","page":"301-313","source":"ScienceDirect","title":"Localization of nanos RNA controls embryonic polarity","volume":"71","author":[{"family":"Gavis","given":"Elizabeth R."},{"family":"Lehmann","given":"Ruth"}],"issued":{"date-parts":[["1992",10,16]]},"citation-key":"gavisLocalizationNanosRNA1992"}},{"id":679,"uris":["http://zotero.org/users/6609021/items/UUYV8QAH"],"uri":["http://zotero.org/users/6609021/items/UUYV8QAH"],"itemData":{"id":679,"type":"article-journal","abstract":"We have constructed six new P-element-based Drosophila melanogaster transformation vectors that specifically allow for the high-level accumulation of any RNA of interest in the developing egg and pre-blastoderm embryo. Such specificity results, in part, from the inclusion in the vectors of an enhancer active exclusively in nurse cells, the principal providers of RNA to the egg and early embryo. The nurse cell enhancer was derived from the hsp26 heat-shock (HS) gene, but its activity was neither dependent on nor sensitive to HS. In addition to the nurse cell enhancer, two of the vectors contain sequences from the K10 gene that promote the early transfer of RNAs from nurse cells into the oocyte; RNAs that contain the K10 sequence are transferred into the oocyte during the early to middle stages of oogenesis (i.e., during stages 2–9), while RNAs that lack such sequences are stored in nurse cells until stage 11. All of the vectors contain a tsp and a multiple cloning site (MCS) immediately downstream from the hsp26 nurse cell enhancer. In three of the vectors, the MCS is preceded by an ATG start codon. A wild-type copy of the white gene is included in all of the vectors as a selectable marker for transformation. The specificity of the vectors was demonstrated by the analysis of the expression patterns of lacZ derivatives.","container-title":"Gene","DOI":"10.1016/0378-1119(94)90804-4","ISSN":"0378-1119","issue":"1","journalAbbreviation":"Gene","language":"en","note":"Citation Key: seranoElementTransformationVectors1994\ntex.ids= seranoElementTransformationVectors1994a","page":"181-186","source":"ScienceDirect","title":"P element transformation vectors for studying Drosophila melanogaster oogenesis and early embryogenesis","volume":"138","author":[{"family":"Serano","given":"Thomas L."},{"family":"Cheung","given":"Hung-Kam"},{"family":"Frank","given":"Lawrence H."},{"family":"Cohen","given":"Robert S."}],"issued":{"date-parts":[["1994",1,28]]},"citation-key":"seranoElementTransformationVectors1994"}}],"schema":"https://github.com/citation-style-language/schema/raw/master/csl-citation.json"} </w:instrText>
      </w:r>
      <w:r w:rsidR="00B018F8">
        <w:fldChar w:fldCharType="separate"/>
      </w:r>
      <w:r w:rsidR="00B018F8" w:rsidRPr="00B018F8">
        <w:rPr>
          <w:rFonts w:ascii="Calibri" w:hAnsi="Calibri" w:cs="Calibri"/>
        </w:rPr>
        <w:t>(</w:t>
      </w:r>
      <w:proofErr w:type="spellStart"/>
      <w:r w:rsidR="00B018F8" w:rsidRPr="00B018F8">
        <w:rPr>
          <w:rFonts w:ascii="Calibri" w:hAnsi="Calibri" w:cs="Calibri"/>
        </w:rPr>
        <w:t>Gavis</w:t>
      </w:r>
      <w:proofErr w:type="spellEnd"/>
      <w:r w:rsidR="00B018F8" w:rsidRPr="00B018F8">
        <w:rPr>
          <w:rFonts w:ascii="Calibri" w:hAnsi="Calibri" w:cs="Calibri"/>
        </w:rPr>
        <w:t xml:space="preserve"> and Lehmann, 1992, 1992; </w:t>
      </w:r>
      <w:proofErr w:type="spellStart"/>
      <w:r w:rsidR="00B018F8" w:rsidRPr="00B018F8">
        <w:rPr>
          <w:rFonts w:ascii="Calibri" w:hAnsi="Calibri" w:cs="Calibri"/>
        </w:rPr>
        <w:t>Serano</w:t>
      </w:r>
      <w:proofErr w:type="spellEnd"/>
      <w:r w:rsidR="00B018F8" w:rsidRPr="00B018F8">
        <w:rPr>
          <w:rFonts w:ascii="Calibri" w:hAnsi="Calibri" w:cs="Calibri"/>
        </w:rPr>
        <w:t xml:space="preserve"> et al., 1994)</w:t>
      </w:r>
      <w:r w:rsidR="00B018F8">
        <w:fldChar w:fldCharType="end"/>
      </w:r>
      <w:r>
        <w:t xml:space="preserve">.  The first ORF encodes </w:t>
      </w:r>
      <w:proofErr w:type="spellStart"/>
      <w:r>
        <w:rPr>
          <w:i/>
          <w:iCs/>
        </w:rPr>
        <w:t>Renilla</w:t>
      </w:r>
      <w:proofErr w:type="spellEnd"/>
      <w:r>
        <w:t xml:space="preserve"> </w:t>
      </w:r>
      <w:proofErr w:type="spellStart"/>
      <w:r>
        <w:t>luciferse</w:t>
      </w:r>
      <w:proofErr w:type="spellEnd"/>
      <w:r>
        <w:t xml:space="preserve"> under the control of the Nos </w:t>
      </w:r>
      <w:r w:rsidR="00E47BDF">
        <w:t>5’UTR and its production monitors for cap-based translation, this ORF is followed by hairpins to prevent ribosomal read-through. The second ORF encodes a firefly luciferase under the control of the Cricket Paralysis Virus intergenic</w:t>
      </w:r>
      <w:r w:rsidR="000267B9">
        <w:t xml:space="preserve"> (</w:t>
      </w:r>
      <w:proofErr w:type="spellStart"/>
      <w:r w:rsidR="000267B9">
        <w:t>CrPV</w:t>
      </w:r>
      <w:proofErr w:type="spellEnd"/>
      <w:r w:rsidR="000267B9">
        <w:t>)</w:t>
      </w:r>
      <w:r w:rsidR="00E47BDF">
        <w:t xml:space="preserve"> </w:t>
      </w:r>
      <w:proofErr w:type="gramStart"/>
      <w:r w:rsidR="000267B9">
        <w:t xml:space="preserve">IRES </w:t>
      </w:r>
      <w:r w:rsidR="00E47BDF">
        <w:t>.</w:t>
      </w:r>
      <w:proofErr w:type="gramEnd"/>
      <w:r w:rsidR="00E47BDF">
        <w:t xml:space="preserve"> These luciferases can be monitored sequentially as they require different conditions </w:t>
      </w:r>
      <w:proofErr w:type="gramStart"/>
      <w:r w:rsidR="00E47BDF">
        <w:t>in order to</w:t>
      </w:r>
      <w:proofErr w:type="gramEnd"/>
      <w:r w:rsidR="00E47BDF">
        <w:t xml:space="preserve"> produce luminescence and in this way can be used to monitor changes in the relative amount of IRES to cap based translation.</w:t>
      </w:r>
    </w:p>
    <w:p w14:paraId="4DBD48F4" w14:textId="2F4BCE86" w:rsidR="0082643B" w:rsidRDefault="008D0BC7">
      <w:r>
        <w:t xml:space="preserve">We performed a screen of </w:t>
      </w:r>
      <w:r w:rsidR="00D55101">
        <w:t>35 genes known to perform post-</w:t>
      </w:r>
      <w:r w:rsidR="000446F0">
        <w:t>translational</w:t>
      </w:r>
      <w:r w:rsidR="00D55101">
        <w:t xml:space="preserve"> modification to determine if any of them played a role in regulating IRES vs cap-based translation. We also screened several control genes to ensure our reporter system was working as intended. We knocked down RpS25 which is known to be required for IRES, but not cap-based translation, however, we did not find a statistically significant difference between the knockdown and control ovaries</w:t>
      </w:r>
      <w:r w:rsidR="00A814D1">
        <w:t xml:space="preserve"> </w:t>
      </w:r>
      <w:r w:rsidR="00A814D1">
        <w:fldChar w:fldCharType="begin"/>
      </w:r>
      <w:r w:rsidR="00A814D1">
        <w:instrText xml:space="preserve"> ADDIN ZOTERO_ITEM CSL_CITATION {"citationID":"Tzignwgk","properties":{"formattedCitation":"(Hertz et al., 2013; Landry et al., 2009)","plainCitation":"(Hertz et al., 2013; Landry et al., 2009)","noteIndex":0},"citationItems":[{"id":1906,"uris":["http://zotero.org/users/6609021/items/J4UIZVXW"],"uri":["http://zotero.org/users/6609021/items/J4UIZVXW"],"itemData":{"id":1906,"type":"article-journal","container-title":"Molecular and Cellular Biology","DOI":"10.1128/MCB.00879-12","issue":"5","note":"publisher: American Society for Microbiology","page":"1016-1026","source":"journals.asm.org (Atypon)","title":"Ribosomal Protein S25 Dependency Reveals a Common Mechanism for Diverse Internal Ribosome Entry Sites and Ribosome Shunting","volume":"33","author":[{"family":"Hertz","given":"Marla I."},{"family":"Landry","given":"Dori M."},{"family":"Willis","given":"Anne E."},{"family":"Luo","given":"Guangxiang"},{"family":"Thompson","given":"Sunnie R."}],"issued":{"date-parts":[["2013",3]]},"citation-key":"hertzRibosomalProteinS252013"}},{"id":1907,"uris":["http://zotero.org/users/6609021/items/ZJQTAADF"],"uri":["http://zotero.org/users/6609021/items/ZJQTAADF"],"itemData":{"id":1907,"type":"article-journal","abstract":"Most eukaryotic mRNAs are translated using a cap-dependent mechanism of translation. However, </w:instrText>
      </w:r>
      <w:r w:rsidR="00A814D1">
        <w:rPr>
          <w:rFonts w:ascii="Cambria Math" w:hAnsi="Cambria Math" w:cs="Cambria Math"/>
        </w:rPr>
        <w:instrText>∼</w:instrText>
      </w:r>
      <w:r w:rsidR="00A814D1">
        <w:instrText xml:space="preserve">10% of mammalian mRNAs initiate translation using a cap-independent mechanism that is not well understood. These mRNAs contain an internal ribosome entry site (IRES) located in the 5′ untranslated region. The cricket paralysis virus (CrPV) intergenic region IRES (IGR IRES) functions in yeast, mammals, and plants, and does not require any translation initiation factors. We used yeast genetics to understand how ribosomes are recruited directly to the mRNA by an IRES. We found that Rps25p has an essential role in CrPV IGR IRES activity in yeast and mammalian cells but not in cap-dependent translation. Purified 40S ribosomal subunits lacking Rps25 are unable to bind to the IGR IRES in vitro. The hepatitis C virus (HCV) IRES also requires Rps25, demonstrating the function of Rps25 is conserved across IRES types. Yeast strains lacking Rps25 exhibit only slight defects in global translation, readthrough, ribosome biogenesis, and programmed ribosomal frameshifting. This work is the first demonstration of a ribosomal protein that is specifically required for IRES-mediated translation initiation. Our findings provide us with the beginnings of a model for the molecular interactions of an IRES with the ribosome.","container-title":"Genes &amp; Development","DOI":"10.1101/gad.1832209","ISSN":"0890-9369, 1549-5477","issue":"23","journalAbbreviation":"Genes Dev.","language":"en","note":"Company: Cold Spring Harbor Laboratory Press\nDistributor: Cold Spring Harbor Laboratory Press\nInstitution: Cold Spring Harbor Laboratory Press\nLabel: Cold Spring Harbor Laboratory Press\npublisher: Cold Spring Harbor Lab\nPMID: 19952110","page":"2753-2764","source":"genesdev.cshlp.org","title":"RPS25 is essential for translation initiation by the Dicistroviridae and hepatitis C viral IRESs","volume":"23","author":[{"family":"Landry","given":"Dori M."},{"family":"Hertz","given":"Marla I."},{"family":"Thompson","given":"Sunnie R."}],"issued":{"date-parts":[["2009",12,1]]},"citation-key":"landryRPS25EssentialTranslation2009"}}],"schema":"https://github.com/citation-style-language/schema/raw/master/csl-citation.json"} </w:instrText>
      </w:r>
      <w:r w:rsidR="00A814D1">
        <w:fldChar w:fldCharType="separate"/>
      </w:r>
      <w:r w:rsidR="00A814D1" w:rsidRPr="00A814D1">
        <w:rPr>
          <w:rFonts w:ascii="Calibri" w:hAnsi="Calibri" w:cs="Calibri"/>
        </w:rPr>
        <w:t>(Hertz et al., 2013; Landry et al., 2009)</w:t>
      </w:r>
      <w:r w:rsidR="00A814D1">
        <w:fldChar w:fldCharType="end"/>
      </w:r>
      <w:r w:rsidR="00D55101">
        <w:t xml:space="preserve">. There are a several explanations of this finding. First, knockdown of RpS25 had a severe phenotype, which was unexpected </w:t>
      </w:r>
      <w:r w:rsidR="00EA0201">
        <w:t>as previous work indicated that RpS25 is required for IRES, but not cap-based translation</w:t>
      </w:r>
      <w:r w:rsidR="00B018F8">
        <w:t xml:space="preserve"> </w:t>
      </w:r>
      <w:r w:rsidR="00EA0201">
        <w:fldChar w:fldCharType="begin"/>
      </w:r>
      <w:r w:rsidR="00EA0201">
        <w:instrText xml:space="preserve"> ADDIN ZOTERO_ITEM CSL_CITATION {"citationID":"qEphb6rk","properties":{"formattedCitation":"(Landry et al., 2009)","plainCitation":"(Landry et al., 2009)","noteIndex":0},"citationItems":[{"id":1907,"uris":["http://zotero.org/users/6609021/items/ZJQTAADF"],"uri":["http://zotero.org/users/6609021/items/ZJQTAADF"],"itemData":{"id":1907,"type":"article-journal","abstract":"Most eukaryotic mRNAs are translated using a cap-dependent mechanism of translation. However, </w:instrText>
      </w:r>
      <w:r w:rsidR="00EA0201">
        <w:rPr>
          <w:rFonts w:ascii="Cambria Math" w:hAnsi="Cambria Math" w:cs="Cambria Math"/>
        </w:rPr>
        <w:instrText>∼</w:instrText>
      </w:r>
      <w:r w:rsidR="00EA0201">
        <w:instrText xml:space="preserve">10% of mammalian mRNAs initiate translation using a cap-independent mechanism that is not well understood. These mRNAs contain an internal ribosome entry site (IRES) located in the 5′ untranslated region. The cricket paralysis virus (CrPV) intergenic region IRES (IGR IRES) functions in yeast, mammals, and plants, and does not require any translation initiation factors. We used yeast genetics to understand how ribosomes are recruited directly to the mRNA by an IRES. We found that Rps25p has an essential role in CrPV IGR IRES activity in yeast and mammalian cells but not in cap-dependent translation. Purified 40S ribosomal subunits lacking Rps25 are unable to bind to the IGR IRES in vitro. The hepatitis C virus (HCV) IRES also requires Rps25, demonstrating the function of Rps25 is conserved across IRES types. Yeast strains lacking Rps25 exhibit only slight defects in global translation, readthrough, ribosome biogenesis, and programmed ribosomal frameshifting. This work is the first demonstration of a ribosomal protein that is specifically required for IRES-mediated translation initiation. Our findings provide us with the beginnings of a model for the molecular interactions of an IRES with the ribosome.","container-title":"Genes &amp; Development","DOI":"10.1101/gad.1832209","ISSN":"0890-9369, 1549-5477","issue":"23","journalAbbreviation":"Genes Dev.","language":"en","note":"Company: Cold Spring Harbor Laboratory Press\nDistributor: Cold Spring Harbor Laboratory Press\nInstitution: Cold Spring Harbor Laboratory Press\nLabel: Cold Spring Harbor Laboratory Press\npublisher: Cold Spring Harbor Lab\nPMID: 19952110","page":"2753-2764","source":"genesdev.cshlp.org","title":"RPS25 is essential for translation initiation by the Dicistroviridae and hepatitis C viral IRESs","volume":"23","author":[{"family":"Landry","given":"Dori M."},{"family":"Hertz","given":"Marla I."},{"family":"Thompson","given":"Sunnie R."}],"issued":{"date-parts":[["2009",12,1]]},"citation-key":"landryRPS25EssentialTranslation2009"}}],"schema":"https://github.com/citation-style-language/schema/raw/master/csl-citation.json"} </w:instrText>
      </w:r>
      <w:r w:rsidR="00EA0201">
        <w:fldChar w:fldCharType="separate"/>
      </w:r>
      <w:r w:rsidR="00EA0201" w:rsidRPr="00EA0201">
        <w:rPr>
          <w:rFonts w:ascii="Calibri" w:hAnsi="Calibri" w:cs="Calibri"/>
        </w:rPr>
        <w:t>(Landry et al., 2009)</w:t>
      </w:r>
      <w:r w:rsidR="00EA0201">
        <w:fldChar w:fldCharType="end"/>
      </w:r>
      <w:r w:rsidR="00453F95">
        <w:t xml:space="preserve">. Therefore, it could be that developmental differences between the control and </w:t>
      </w:r>
      <w:r w:rsidR="00453F95">
        <w:lastRenderedPageBreak/>
        <w:t xml:space="preserve">RpS25 RNAi masked any change in relative IRES translation. Second, it is possible </w:t>
      </w:r>
      <w:r w:rsidR="0061260C">
        <w:t>RpS25 is not efficiently depleted or that the RNAi line used has off-target effects</w:t>
      </w:r>
      <w:r w:rsidR="0082643B">
        <w:t xml:space="preserve">. Because of this lack of a result from RpS25 RNAi, our positive control, the remainder of our findings must be taken in context. </w:t>
      </w:r>
      <w:r w:rsidR="00180808">
        <w:t xml:space="preserve">Several genes were found to have a significant affect on the amount of relative IRES translation, including Not, HDAC3, Lsd1, nsl-1, and Set8. </w:t>
      </w:r>
    </w:p>
    <w:p w14:paraId="59785803" w14:textId="2E2AB13E" w:rsidR="0082643B" w:rsidRDefault="0082643B">
      <w:r>
        <w:t>We additionally included two developmental controls to determine if a phenotype which enriched for stem cells</w:t>
      </w:r>
      <w:r w:rsidR="00EA0201">
        <w:t xml:space="preserve"> (UAS-</w:t>
      </w:r>
      <w:proofErr w:type="spellStart"/>
      <w:r w:rsidR="00EA0201" w:rsidRPr="00EA0201">
        <w:rPr>
          <w:i/>
          <w:iCs/>
        </w:rPr>
        <w:t>tkv</w:t>
      </w:r>
      <w:proofErr w:type="spellEnd"/>
      <w:r w:rsidR="00EA0201">
        <w:t>)</w:t>
      </w:r>
      <w:r>
        <w:t xml:space="preserve"> or stem cell daughters</w:t>
      </w:r>
      <w:r w:rsidR="00EA0201">
        <w:t xml:space="preserve"> (</w:t>
      </w:r>
      <w:r w:rsidR="00EA0201" w:rsidRPr="00EA0201">
        <w:rPr>
          <w:i/>
          <w:iCs/>
        </w:rPr>
        <w:t>bam</w:t>
      </w:r>
      <w:r w:rsidR="00EA0201">
        <w:t xml:space="preserve"> RNAi)</w:t>
      </w:r>
      <w:r>
        <w:t xml:space="preserve"> would alter the relative IRES </w:t>
      </w:r>
      <w:proofErr w:type="gramStart"/>
      <w:r>
        <w:t>translation</w:t>
      </w:r>
      <w:r w:rsidR="002E7960">
        <w:t xml:space="preserve"> </w:t>
      </w:r>
      <w:r>
        <w:t>.</w:t>
      </w:r>
      <w:proofErr w:type="gramEnd"/>
      <w:r>
        <w:t xml:space="preserve"> Indeed, we found that the relative IRES translation was slight, but significantly elevated. This could suggest that IRES translation occurs more in </w:t>
      </w:r>
      <w:r w:rsidR="000446F0">
        <w:t xml:space="preserve">the stem cells and stem cell daughters of the ovary. </w:t>
      </w:r>
    </w:p>
    <w:p w14:paraId="3C3E4B74" w14:textId="50D71C80" w:rsidR="000446F0" w:rsidRDefault="000446F0">
      <w:r>
        <w:t>Lastly, we identified five genes that when knocked down resulted in</w:t>
      </w:r>
      <w:r w:rsidR="003A45FB">
        <w:t xml:space="preserve"> significantly</w:t>
      </w:r>
      <w:r>
        <w:t xml:space="preserve"> lower relative IRES translation, including </w:t>
      </w:r>
      <w:r w:rsidRPr="003A45FB">
        <w:rPr>
          <w:i/>
          <w:iCs/>
        </w:rPr>
        <w:t>Set8</w:t>
      </w:r>
      <w:r>
        <w:t xml:space="preserve">, </w:t>
      </w:r>
      <w:r w:rsidRPr="003A45FB">
        <w:rPr>
          <w:i/>
          <w:iCs/>
        </w:rPr>
        <w:t>nsl-1</w:t>
      </w:r>
      <w:r>
        <w:t xml:space="preserve">, </w:t>
      </w:r>
      <w:r w:rsidRPr="003A45FB">
        <w:rPr>
          <w:i/>
          <w:iCs/>
        </w:rPr>
        <w:t>Lsd1</w:t>
      </w:r>
      <w:r>
        <w:t xml:space="preserve">, </w:t>
      </w:r>
      <w:r w:rsidRPr="003A45FB">
        <w:rPr>
          <w:i/>
          <w:iCs/>
        </w:rPr>
        <w:t>HDAC3</w:t>
      </w:r>
      <w:r>
        <w:t xml:space="preserve">, and </w:t>
      </w:r>
      <w:r w:rsidRPr="003A45FB">
        <w:rPr>
          <w:i/>
          <w:iCs/>
        </w:rPr>
        <w:t>Not</w:t>
      </w:r>
      <w:r>
        <w:t xml:space="preserve">. </w:t>
      </w:r>
      <w:r w:rsidR="00FD1795">
        <w:t>However,</w:t>
      </w:r>
      <w:r w:rsidR="003A45FB">
        <w:t xml:space="preserve"> the affect size observed when these genes were knocked down was modest, with Set8 having the most dramatic affect with a </w:t>
      </w:r>
      <w:r w:rsidR="003A45FB" w:rsidRPr="003A45FB">
        <w:t>23</w:t>
      </w:r>
      <w:r w:rsidR="003A45FB">
        <w:t>.</w:t>
      </w:r>
      <w:r w:rsidR="003A45FB" w:rsidRPr="003A45FB">
        <w:t>6</w:t>
      </w:r>
      <w:r w:rsidR="003A45FB">
        <w:t xml:space="preserve">% </w:t>
      </w:r>
      <w:r w:rsidR="003A45FB">
        <w:t>r</w:t>
      </w:r>
      <w:r w:rsidR="003A45FB">
        <w:t>eduction in the relative amount of IRES translation.</w:t>
      </w:r>
      <w:r w:rsidR="003A45FB">
        <w:t xml:space="preserve"> </w:t>
      </w:r>
      <w:r>
        <w:t xml:space="preserve">However, it should also be noted that as is widely accepted, no multiple test-correction was </w:t>
      </w:r>
      <w:r w:rsidR="0057230A">
        <w:t>performed</w:t>
      </w:r>
      <w:r>
        <w:t xml:space="preserve"> as for screens multiple-test correction leads to a high degree of </w:t>
      </w:r>
      <w:r w:rsidR="0057230A">
        <w:t xml:space="preserve">type I error and screens typically are followed by confirmatory studies. In this case the results have not been followed-up for the </w:t>
      </w:r>
      <w:proofErr w:type="gramStart"/>
      <w:r w:rsidR="0057230A">
        <w:t>aforementioned limitations</w:t>
      </w:r>
      <w:proofErr w:type="gramEnd"/>
      <w:r w:rsidR="0057230A">
        <w:t xml:space="preserve"> regarding RpS25 as well as how the subtle changes in relative IRES translation were.</w:t>
      </w:r>
    </w:p>
    <w:p w14:paraId="2DDDECC1" w14:textId="5601F042" w:rsidR="0057230A" w:rsidRDefault="0057230A">
      <w:r>
        <w:t xml:space="preserve">As one of the largest changes to relative IRES translation was in </w:t>
      </w:r>
      <w:r w:rsidRPr="0057230A">
        <w:rPr>
          <w:i/>
          <w:iCs/>
        </w:rPr>
        <w:t>bam</w:t>
      </w:r>
      <w:r>
        <w:t xml:space="preserve"> RNAi</w:t>
      </w:r>
      <w:r w:rsidR="00A34155">
        <w:t xml:space="preserve">, which increased relative IRES translation by </w:t>
      </w:r>
      <w:r w:rsidR="00A34155" w:rsidRPr="00A34155">
        <w:t>23</w:t>
      </w:r>
      <w:r w:rsidR="00A34155">
        <w:t>%</w:t>
      </w:r>
      <w:r>
        <w:t>, it could indeed be that IRES translation is regulated over the course of stem cell differentiation. Future work should be aimed at this aspect of these findings. A spatial version of this reporter could be made using fluorescent reporters to assay the relative IRES translation over stem cell differentiation in the ovary.</w:t>
      </w:r>
    </w:p>
    <w:p w14:paraId="224149AE" w14:textId="26950D7D" w:rsidR="00BE5DA5" w:rsidRDefault="00BE5DA5">
      <w:r>
        <w:t>Methods</w:t>
      </w:r>
    </w:p>
    <w:p w14:paraId="194FF479" w14:textId="46CF8580" w:rsidR="00AC2092" w:rsidRDefault="00AC2092">
      <w:proofErr w:type="spellStart"/>
      <w:r>
        <w:t>Flylines</w:t>
      </w:r>
      <w:proofErr w:type="spellEnd"/>
    </w:p>
    <w:p w14:paraId="7BEF2734" w14:textId="22CE6289" w:rsidR="00AC2092" w:rsidRDefault="00AC2092">
      <w:pPr>
        <w:rPr>
          <w:i/>
          <w:iCs/>
        </w:rPr>
      </w:pPr>
      <w:r>
        <w:t xml:space="preserve">Generated by this work: </w:t>
      </w:r>
      <w:r w:rsidRPr="00AC2092">
        <w:rPr>
          <w:i/>
          <w:iCs/>
        </w:rPr>
        <w:t>nosGAL4</w:t>
      </w:r>
      <w:r w:rsidRPr="00AC2092">
        <w:t>;</w:t>
      </w:r>
      <w:r w:rsidRPr="00AC2092">
        <w:rPr>
          <w:i/>
          <w:iCs/>
        </w:rPr>
        <w:t xml:space="preserve"> </w:t>
      </w:r>
      <w:proofErr w:type="spellStart"/>
      <w:r w:rsidRPr="00AC2092">
        <w:rPr>
          <w:i/>
          <w:iCs/>
        </w:rPr>
        <w:t>dLuciferase</w:t>
      </w:r>
      <w:proofErr w:type="spellEnd"/>
    </w:p>
    <w:p w14:paraId="10366BB9" w14:textId="77777777" w:rsidR="00E447D2" w:rsidRDefault="002A1B02">
      <w:r>
        <w:t>RNAi lines</w:t>
      </w:r>
      <w:r w:rsidR="00E447D2">
        <w:t xml:space="preserve"> used in screen</w:t>
      </w:r>
      <w:r>
        <w:t>:</w:t>
      </w:r>
    </w:p>
    <w:tbl>
      <w:tblPr>
        <w:tblStyle w:val="TableGrid"/>
        <w:tblW w:w="0" w:type="auto"/>
        <w:tblLook w:val="04A0" w:firstRow="1" w:lastRow="0" w:firstColumn="1" w:lastColumn="0" w:noHBand="0" w:noVBand="1"/>
      </w:tblPr>
      <w:tblGrid>
        <w:gridCol w:w="1498"/>
        <w:gridCol w:w="1369"/>
      </w:tblGrid>
      <w:tr w:rsidR="00E447D2" w14:paraId="21E2120E" w14:textId="77777777" w:rsidTr="00FE07B7">
        <w:tc>
          <w:tcPr>
            <w:tcW w:w="0" w:type="auto"/>
            <w:vAlign w:val="bottom"/>
          </w:tcPr>
          <w:p w14:paraId="70114545" w14:textId="2C92A73C" w:rsidR="00E447D2" w:rsidRDefault="00E447D2" w:rsidP="00E447D2">
            <w:r>
              <w:rPr>
                <w:rFonts w:ascii="Calibri" w:hAnsi="Calibri" w:cs="Calibri"/>
                <w:color w:val="000000"/>
              </w:rPr>
              <w:t>Protein Target</w:t>
            </w:r>
          </w:p>
        </w:tc>
        <w:tc>
          <w:tcPr>
            <w:tcW w:w="0" w:type="auto"/>
            <w:vAlign w:val="bottom"/>
          </w:tcPr>
          <w:p w14:paraId="619B6798" w14:textId="6817E848" w:rsidR="00E447D2" w:rsidRDefault="00E447D2" w:rsidP="00E447D2">
            <w:r>
              <w:rPr>
                <w:rFonts w:ascii="Calibri" w:hAnsi="Calibri" w:cs="Calibri"/>
                <w:color w:val="000000"/>
              </w:rPr>
              <w:t>Line Number</w:t>
            </w:r>
          </w:p>
        </w:tc>
      </w:tr>
      <w:tr w:rsidR="00E447D2" w14:paraId="45394030" w14:textId="77777777" w:rsidTr="00FE07B7">
        <w:tc>
          <w:tcPr>
            <w:tcW w:w="0" w:type="auto"/>
            <w:vAlign w:val="bottom"/>
          </w:tcPr>
          <w:p w14:paraId="78DB62C6" w14:textId="7836F6EF" w:rsidR="00E447D2" w:rsidRDefault="00E447D2" w:rsidP="00E447D2">
            <w:proofErr w:type="spellStart"/>
            <w:r>
              <w:rPr>
                <w:rFonts w:ascii="Calibri" w:hAnsi="Calibri" w:cs="Calibri"/>
                <w:color w:val="000000"/>
              </w:rPr>
              <w:t>Gpp</w:t>
            </w:r>
            <w:proofErr w:type="spellEnd"/>
          </w:p>
        </w:tc>
        <w:tc>
          <w:tcPr>
            <w:tcW w:w="0" w:type="auto"/>
            <w:vAlign w:val="bottom"/>
          </w:tcPr>
          <w:p w14:paraId="13692EE8" w14:textId="6FAC146D" w:rsidR="00E447D2" w:rsidRDefault="00E447D2" w:rsidP="00E447D2">
            <w:r>
              <w:rPr>
                <w:rFonts w:ascii="Calibri" w:hAnsi="Calibri" w:cs="Calibri"/>
                <w:color w:val="000000"/>
              </w:rPr>
              <w:t>v110264</w:t>
            </w:r>
          </w:p>
        </w:tc>
      </w:tr>
      <w:tr w:rsidR="00E447D2" w14:paraId="5645C245" w14:textId="77777777" w:rsidTr="00FE07B7">
        <w:tc>
          <w:tcPr>
            <w:tcW w:w="0" w:type="auto"/>
            <w:vAlign w:val="bottom"/>
          </w:tcPr>
          <w:p w14:paraId="40605D56" w14:textId="37987F20" w:rsidR="00E447D2" w:rsidRDefault="00E447D2" w:rsidP="00E447D2">
            <w:r>
              <w:rPr>
                <w:rFonts w:ascii="Calibri" w:hAnsi="Calibri" w:cs="Calibri"/>
                <w:color w:val="000000"/>
              </w:rPr>
              <w:t>D12</w:t>
            </w:r>
          </w:p>
        </w:tc>
        <w:tc>
          <w:tcPr>
            <w:tcW w:w="0" w:type="auto"/>
            <w:vAlign w:val="bottom"/>
          </w:tcPr>
          <w:p w14:paraId="4BE9754C" w14:textId="7051CD42" w:rsidR="00E447D2" w:rsidRDefault="00E447D2" w:rsidP="00E447D2">
            <w:r>
              <w:rPr>
                <w:rFonts w:ascii="Calibri" w:hAnsi="Calibri" w:cs="Calibri"/>
                <w:color w:val="000000"/>
              </w:rPr>
              <w:t>v29954</w:t>
            </w:r>
          </w:p>
        </w:tc>
      </w:tr>
      <w:tr w:rsidR="00E447D2" w14:paraId="0750C631" w14:textId="77777777" w:rsidTr="00FE07B7">
        <w:tc>
          <w:tcPr>
            <w:tcW w:w="0" w:type="auto"/>
            <w:vAlign w:val="bottom"/>
          </w:tcPr>
          <w:p w14:paraId="4D3AACDA" w14:textId="0D3C46A1" w:rsidR="00E447D2" w:rsidRDefault="00E447D2" w:rsidP="00E447D2">
            <w:r>
              <w:rPr>
                <w:rFonts w:ascii="Calibri" w:hAnsi="Calibri" w:cs="Calibri"/>
                <w:color w:val="000000"/>
              </w:rPr>
              <w:t>Art8</w:t>
            </w:r>
          </w:p>
        </w:tc>
        <w:tc>
          <w:tcPr>
            <w:tcW w:w="0" w:type="auto"/>
            <w:vAlign w:val="bottom"/>
          </w:tcPr>
          <w:p w14:paraId="5F061497" w14:textId="5C6E4675" w:rsidR="00E447D2" w:rsidRDefault="00E447D2" w:rsidP="00E447D2">
            <w:r>
              <w:rPr>
                <w:rFonts w:ascii="Calibri" w:hAnsi="Calibri" w:cs="Calibri"/>
                <w:color w:val="000000"/>
              </w:rPr>
              <w:t>v100228</w:t>
            </w:r>
          </w:p>
        </w:tc>
      </w:tr>
      <w:tr w:rsidR="00E447D2" w14:paraId="5E41595A" w14:textId="77777777" w:rsidTr="00FE07B7">
        <w:tc>
          <w:tcPr>
            <w:tcW w:w="0" w:type="auto"/>
            <w:vAlign w:val="bottom"/>
          </w:tcPr>
          <w:p w14:paraId="40CFF767" w14:textId="0D91EAA5" w:rsidR="00E447D2" w:rsidRDefault="00E447D2" w:rsidP="00E447D2">
            <w:proofErr w:type="spellStart"/>
            <w:r>
              <w:rPr>
                <w:rFonts w:ascii="Calibri" w:hAnsi="Calibri" w:cs="Calibri"/>
                <w:color w:val="000000"/>
              </w:rPr>
              <w:t>Su</w:t>
            </w:r>
            <w:proofErr w:type="spellEnd"/>
            <w:r>
              <w:rPr>
                <w:rFonts w:ascii="Calibri" w:hAnsi="Calibri" w:cs="Calibri"/>
                <w:color w:val="000000"/>
              </w:rPr>
              <w:t>(z)12</w:t>
            </w:r>
          </w:p>
        </w:tc>
        <w:tc>
          <w:tcPr>
            <w:tcW w:w="0" w:type="auto"/>
            <w:vAlign w:val="bottom"/>
          </w:tcPr>
          <w:p w14:paraId="05530DB4" w14:textId="31E38440" w:rsidR="00E447D2" w:rsidRDefault="00E447D2" w:rsidP="00E447D2">
            <w:r>
              <w:rPr>
                <w:rFonts w:ascii="Calibri" w:hAnsi="Calibri" w:cs="Calibri"/>
                <w:color w:val="000000"/>
              </w:rPr>
              <w:t>33402</w:t>
            </w:r>
          </w:p>
        </w:tc>
      </w:tr>
      <w:tr w:rsidR="00E447D2" w14:paraId="7C3B5712" w14:textId="77777777" w:rsidTr="00FE07B7">
        <w:tc>
          <w:tcPr>
            <w:tcW w:w="0" w:type="auto"/>
            <w:vAlign w:val="bottom"/>
          </w:tcPr>
          <w:p w14:paraId="0C0DBCEC" w14:textId="00554998" w:rsidR="00E447D2" w:rsidRDefault="00E447D2" w:rsidP="00E447D2">
            <w:r>
              <w:rPr>
                <w:rFonts w:ascii="Calibri" w:hAnsi="Calibri" w:cs="Calibri"/>
                <w:color w:val="000000"/>
              </w:rPr>
              <w:t>Sgf29</w:t>
            </w:r>
          </w:p>
        </w:tc>
        <w:tc>
          <w:tcPr>
            <w:tcW w:w="0" w:type="auto"/>
            <w:vAlign w:val="bottom"/>
          </w:tcPr>
          <w:p w14:paraId="06155A71" w14:textId="62F5047D" w:rsidR="00E447D2" w:rsidRDefault="00E447D2" w:rsidP="00E447D2">
            <w:r>
              <w:rPr>
                <w:rFonts w:ascii="Calibri" w:hAnsi="Calibri" w:cs="Calibri"/>
                <w:color w:val="000000"/>
              </w:rPr>
              <w:t>36637</w:t>
            </w:r>
          </w:p>
        </w:tc>
      </w:tr>
      <w:tr w:rsidR="00E447D2" w14:paraId="0CC70122" w14:textId="77777777" w:rsidTr="00FE07B7">
        <w:tc>
          <w:tcPr>
            <w:tcW w:w="0" w:type="auto"/>
            <w:vAlign w:val="bottom"/>
          </w:tcPr>
          <w:p w14:paraId="0B884C52" w14:textId="6CBA190F" w:rsidR="00E447D2" w:rsidRDefault="00E447D2" w:rsidP="00E447D2">
            <w:r>
              <w:rPr>
                <w:rFonts w:ascii="Calibri" w:hAnsi="Calibri" w:cs="Calibri"/>
                <w:color w:val="000000"/>
              </w:rPr>
              <w:t>Atac2</w:t>
            </w:r>
          </w:p>
        </w:tc>
        <w:tc>
          <w:tcPr>
            <w:tcW w:w="0" w:type="auto"/>
            <w:vAlign w:val="bottom"/>
          </w:tcPr>
          <w:p w14:paraId="06E4A628" w14:textId="3A604105" w:rsidR="00E447D2" w:rsidRDefault="00E447D2" w:rsidP="00E447D2">
            <w:r>
              <w:rPr>
                <w:rFonts w:ascii="Calibri" w:hAnsi="Calibri" w:cs="Calibri"/>
                <w:color w:val="000000"/>
              </w:rPr>
              <w:t>32890</w:t>
            </w:r>
          </w:p>
        </w:tc>
      </w:tr>
      <w:tr w:rsidR="00E447D2" w14:paraId="59307EAE" w14:textId="77777777" w:rsidTr="00FE07B7">
        <w:tc>
          <w:tcPr>
            <w:tcW w:w="0" w:type="auto"/>
            <w:vAlign w:val="bottom"/>
          </w:tcPr>
          <w:p w14:paraId="49833C75" w14:textId="19AB3E4D" w:rsidR="00E447D2" w:rsidRDefault="00E447D2" w:rsidP="00E447D2">
            <w:r>
              <w:rPr>
                <w:rFonts w:ascii="Calibri" w:hAnsi="Calibri" w:cs="Calibri"/>
                <w:color w:val="000000"/>
              </w:rPr>
              <w:t>CG2051</w:t>
            </w:r>
          </w:p>
        </w:tc>
        <w:tc>
          <w:tcPr>
            <w:tcW w:w="0" w:type="auto"/>
            <w:vAlign w:val="bottom"/>
          </w:tcPr>
          <w:p w14:paraId="4AB33CCE" w14:textId="5981CF83" w:rsidR="00E447D2" w:rsidRDefault="00E447D2" w:rsidP="00E447D2">
            <w:r>
              <w:rPr>
                <w:rFonts w:ascii="Calibri" w:hAnsi="Calibri" w:cs="Calibri"/>
                <w:color w:val="000000"/>
              </w:rPr>
              <w:t>34730</w:t>
            </w:r>
          </w:p>
        </w:tc>
      </w:tr>
      <w:tr w:rsidR="00E447D2" w14:paraId="6A84EAC1" w14:textId="77777777" w:rsidTr="00FE07B7">
        <w:tc>
          <w:tcPr>
            <w:tcW w:w="0" w:type="auto"/>
            <w:vAlign w:val="bottom"/>
          </w:tcPr>
          <w:p w14:paraId="3478BCDE" w14:textId="6402AFA0" w:rsidR="00E447D2" w:rsidRDefault="00E447D2" w:rsidP="00E447D2">
            <w:r>
              <w:rPr>
                <w:rFonts w:ascii="Calibri" w:hAnsi="Calibri" w:cs="Calibri"/>
                <w:color w:val="000000"/>
              </w:rPr>
              <w:t>chm</w:t>
            </w:r>
          </w:p>
        </w:tc>
        <w:tc>
          <w:tcPr>
            <w:tcW w:w="0" w:type="auto"/>
            <w:vAlign w:val="bottom"/>
          </w:tcPr>
          <w:p w14:paraId="16F25A75" w14:textId="56188190" w:rsidR="00E447D2" w:rsidRDefault="00E447D2" w:rsidP="00E447D2">
            <w:r>
              <w:rPr>
                <w:rFonts w:ascii="Calibri" w:hAnsi="Calibri" w:cs="Calibri"/>
                <w:color w:val="000000"/>
              </w:rPr>
              <w:t>32484</w:t>
            </w:r>
          </w:p>
        </w:tc>
      </w:tr>
      <w:tr w:rsidR="00E447D2" w14:paraId="20C180C9" w14:textId="77777777" w:rsidTr="00FE07B7">
        <w:tc>
          <w:tcPr>
            <w:tcW w:w="0" w:type="auto"/>
            <w:vAlign w:val="bottom"/>
          </w:tcPr>
          <w:p w14:paraId="082EED6C" w14:textId="052F557F" w:rsidR="00E447D2" w:rsidRDefault="00E447D2" w:rsidP="00E447D2">
            <w:r>
              <w:rPr>
                <w:rFonts w:ascii="Calibri" w:hAnsi="Calibri" w:cs="Calibri"/>
                <w:color w:val="000000"/>
              </w:rPr>
              <w:t>Tip60</w:t>
            </w:r>
          </w:p>
        </w:tc>
        <w:tc>
          <w:tcPr>
            <w:tcW w:w="0" w:type="auto"/>
            <w:vAlign w:val="bottom"/>
          </w:tcPr>
          <w:p w14:paraId="0B56ECA7" w14:textId="03EF96FF" w:rsidR="00E447D2" w:rsidRDefault="00E447D2" w:rsidP="00E447D2">
            <w:r>
              <w:rPr>
                <w:rFonts w:ascii="Calibri" w:hAnsi="Calibri" w:cs="Calibri"/>
                <w:color w:val="000000"/>
              </w:rPr>
              <w:t>28563</w:t>
            </w:r>
          </w:p>
        </w:tc>
      </w:tr>
      <w:tr w:rsidR="00E447D2" w14:paraId="0F14EF1E" w14:textId="77777777" w:rsidTr="00FE07B7">
        <w:tc>
          <w:tcPr>
            <w:tcW w:w="0" w:type="auto"/>
            <w:vAlign w:val="bottom"/>
          </w:tcPr>
          <w:p w14:paraId="3A7668C0" w14:textId="19806E69" w:rsidR="00E447D2" w:rsidRDefault="00E447D2" w:rsidP="00E447D2">
            <w:r>
              <w:rPr>
                <w:rFonts w:ascii="Calibri" w:hAnsi="Calibri" w:cs="Calibri"/>
                <w:color w:val="000000"/>
              </w:rPr>
              <w:t>Set1</w:t>
            </w:r>
          </w:p>
        </w:tc>
        <w:tc>
          <w:tcPr>
            <w:tcW w:w="0" w:type="auto"/>
            <w:vAlign w:val="bottom"/>
          </w:tcPr>
          <w:p w14:paraId="6B9D5D65" w14:textId="6F186757" w:rsidR="00E447D2" w:rsidRDefault="00E447D2" w:rsidP="00E447D2">
            <w:r>
              <w:rPr>
                <w:rFonts w:ascii="Calibri" w:hAnsi="Calibri" w:cs="Calibri"/>
                <w:color w:val="000000"/>
              </w:rPr>
              <w:t>33704</w:t>
            </w:r>
          </w:p>
        </w:tc>
      </w:tr>
      <w:tr w:rsidR="00E447D2" w14:paraId="0DFE0B94" w14:textId="77777777" w:rsidTr="00FE07B7">
        <w:tc>
          <w:tcPr>
            <w:tcW w:w="0" w:type="auto"/>
            <w:vAlign w:val="bottom"/>
          </w:tcPr>
          <w:p w14:paraId="31261C74" w14:textId="16417376" w:rsidR="00E447D2" w:rsidRDefault="00E447D2" w:rsidP="00E447D2">
            <w:r>
              <w:rPr>
                <w:rFonts w:ascii="Calibri" w:hAnsi="Calibri" w:cs="Calibri"/>
                <w:color w:val="000000"/>
              </w:rPr>
              <w:lastRenderedPageBreak/>
              <w:t>chm</w:t>
            </w:r>
          </w:p>
        </w:tc>
        <w:tc>
          <w:tcPr>
            <w:tcW w:w="0" w:type="auto"/>
            <w:vAlign w:val="bottom"/>
          </w:tcPr>
          <w:p w14:paraId="1E1E5DB8" w14:textId="67F73D46" w:rsidR="00E447D2" w:rsidRDefault="00E447D2" w:rsidP="00E447D2">
            <w:r>
              <w:rPr>
                <w:rFonts w:ascii="Calibri" w:hAnsi="Calibri" w:cs="Calibri"/>
                <w:color w:val="000000"/>
              </w:rPr>
              <w:t>32484</w:t>
            </w:r>
          </w:p>
        </w:tc>
      </w:tr>
      <w:tr w:rsidR="00E447D2" w14:paraId="6BC9EE10" w14:textId="77777777" w:rsidTr="00FE07B7">
        <w:tc>
          <w:tcPr>
            <w:tcW w:w="0" w:type="auto"/>
            <w:vAlign w:val="bottom"/>
          </w:tcPr>
          <w:p w14:paraId="660ED4ED" w14:textId="12F6843E" w:rsidR="00E447D2" w:rsidRDefault="00E447D2" w:rsidP="00E447D2">
            <w:r>
              <w:rPr>
                <w:rFonts w:ascii="Calibri" w:hAnsi="Calibri" w:cs="Calibri"/>
                <w:color w:val="000000"/>
              </w:rPr>
              <w:t>Atac2</w:t>
            </w:r>
          </w:p>
        </w:tc>
        <w:tc>
          <w:tcPr>
            <w:tcW w:w="0" w:type="auto"/>
            <w:vAlign w:val="bottom"/>
          </w:tcPr>
          <w:p w14:paraId="620B6FB9" w14:textId="163C01E3" w:rsidR="00E447D2" w:rsidRDefault="00E447D2" w:rsidP="00E447D2">
            <w:r>
              <w:rPr>
                <w:rFonts w:ascii="Calibri" w:hAnsi="Calibri" w:cs="Calibri"/>
                <w:color w:val="000000"/>
              </w:rPr>
              <w:t>53918</w:t>
            </w:r>
          </w:p>
        </w:tc>
      </w:tr>
      <w:tr w:rsidR="00E447D2" w14:paraId="39A47F67" w14:textId="77777777" w:rsidTr="00FE07B7">
        <w:tc>
          <w:tcPr>
            <w:tcW w:w="0" w:type="auto"/>
            <w:vAlign w:val="bottom"/>
          </w:tcPr>
          <w:p w14:paraId="3CBEBE32" w14:textId="17212042" w:rsidR="00E447D2" w:rsidRDefault="00E447D2" w:rsidP="00E447D2">
            <w:r>
              <w:rPr>
                <w:rFonts w:ascii="Calibri" w:hAnsi="Calibri" w:cs="Calibri"/>
                <w:color w:val="000000"/>
              </w:rPr>
              <w:t>Lsd1</w:t>
            </w:r>
          </w:p>
        </w:tc>
        <w:tc>
          <w:tcPr>
            <w:tcW w:w="0" w:type="auto"/>
            <w:vAlign w:val="bottom"/>
          </w:tcPr>
          <w:p w14:paraId="7C934AAB" w14:textId="6CDF3FB1" w:rsidR="00E447D2" w:rsidRDefault="00E447D2" w:rsidP="00E447D2">
            <w:r>
              <w:rPr>
                <w:rFonts w:ascii="Calibri" w:hAnsi="Calibri" w:cs="Calibri"/>
                <w:color w:val="000000"/>
              </w:rPr>
              <w:t>V16235</w:t>
            </w:r>
          </w:p>
        </w:tc>
      </w:tr>
      <w:tr w:rsidR="00E447D2" w14:paraId="49FD6777" w14:textId="77777777" w:rsidTr="00FE07B7">
        <w:tc>
          <w:tcPr>
            <w:tcW w:w="0" w:type="auto"/>
            <w:vAlign w:val="bottom"/>
          </w:tcPr>
          <w:p w14:paraId="76B860DD" w14:textId="4B9B6096" w:rsidR="00E447D2" w:rsidRDefault="00E447D2" w:rsidP="00E447D2">
            <w:r>
              <w:rPr>
                <w:rFonts w:ascii="Calibri" w:hAnsi="Calibri" w:cs="Calibri"/>
                <w:color w:val="000000"/>
              </w:rPr>
              <w:t>Ada3 (</w:t>
            </w:r>
            <w:proofErr w:type="spellStart"/>
            <w:r>
              <w:rPr>
                <w:rFonts w:ascii="Calibri" w:hAnsi="Calibri" w:cs="Calibri"/>
                <w:color w:val="000000"/>
              </w:rPr>
              <w:t>dik</w:t>
            </w:r>
            <w:proofErr w:type="spellEnd"/>
            <w:r>
              <w:rPr>
                <w:rFonts w:ascii="Calibri" w:hAnsi="Calibri" w:cs="Calibri"/>
                <w:color w:val="000000"/>
              </w:rPr>
              <w:t>)</w:t>
            </w:r>
          </w:p>
        </w:tc>
        <w:tc>
          <w:tcPr>
            <w:tcW w:w="0" w:type="auto"/>
            <w:vAlign w:val="bottom"/>
          </w:tcPr>
          <w:p w14:paraId="1A69054F" w14:textId="22D53AED" w:rsidR="00E447D2" w:rsidRDefault="00E447D2" w:rsidP="00E447D2">
            <w:r>
              <w:rPr>
                <w:rFonts w:ascii="Calibri" w:hAnsi="Calibri" w:cs="Calibri"/>
                <w:color w:val="000000"/>
              </w:rPr>
              <w:t>28905</w:t>
            </w:r>
          </w:p>
        </w:tc>
      </w:tr>
      <w:tr w:rsidR="00E447D2" w14:paraId="16558CBC" w14:textId="77777777" w:rsidTr="00FE07B7">
        <w:tc>
          <w:tcPr>
            <w:tcW w:w="0" w:type="auto"/>
            <w:vAlign w:val="bottom"/>
          </w:tcPr>
          <w:p w14:paraId="197709D0" w14:textId="6942672B" w:rsidR="00E447D2" w:rsidRDefault="00E447D2" w:rsidP="00E447D2">
            <w:r>
              <w:rPr>
                <w:rFonts w:ascii="Calibri" w:hAnsi="Calibri" w:cs="Calibri"/>
                <w:color w:val="000000"/>
              </w:rPr>
              <w:t>Caf1</w:t>
            </w:r>
          </w:p>
        </w:tc>
        <w:tc>
          <w:tcPr>
            <w:tcW w:w="0" w:type="auto"/>
            <w:vAlign w:val="bottom"/>
          </w:tcPr>
          <w:p w14:paraId="06C03247" w14:textId="337CCAFE" w:rsidR="00E447D2" w:rsidRDefault="00E447D2" w:rsidP="00E447D2">
            <w:r>
              <w:rPr>
                <w:rFonts w:ascii="Calibri" w:hAnsi="Calibri" w:cs="Calibri"/>
                <w:color w:val="000000"/>
              </w:rPr>
              <w:t>31714</w:t>
            </w:r>
          </w:p>
        </w:tc>
      </w:tr>
      <w:tr w:rsidR="00E447D2" w14:paraId="5351991F" w14:textId="77777777" w:rsidTr="00FE07B7">
        <w:tc>
          <w:tcPr>
            <w:tcW w:w="0" w:type="auto"/>
            <w:vAlign w:val="bottom"/>
          </w:tcPr>
          <w:p w14:paraId="6B04D1F3" w14:textId="55843B1A" w:rsidR="00E447D2" w:rsidRDefault="00E447D2" w:rsidP="00E447D2">
            <w:r>
              <w:rPr>
                <w:rFonts w:ascii="Calibri" w:hAnsi="Calibri" w:cs="Calibri"/>
                <w:color w:val="000000"/>
              </w:rPr>
              <w:t>CG10289</w:t>
            </w:r>
          </w:p>
        </w:tc>
        <w:tc>
          <w:tcPr>
            <w:tcW w:w="0" w:type="auto"/>
            <w:vAlign w:val="bottom"/>
          </w:tcPr>
          <w:p w14:paraId="32F74652" w14:textId="4CDC4390" w:rsidR="00E447D2" w:rsidRDefault="00E447D2" w:rsidP="00E447D2">
            <w:r>
              <w:rPr>
                <w:rFonts w:ascii="Calibri" w:hAnsi="Calibri" w:cs="Calibri"/>
                <w:color w:val="000000"/>
              </w:rPr>
              <w:t>35597</w:t>
            </w:r>
          </w:p>
        </w:tc>
      </w:tr>
      <w:tr w:rsidR="00E447D2" w14:paraId="0E0D301A" w14:textId="77777777" w:rsidTr="00FE07B7">
        <w:tc>
          <w:tcPr>
            <w:tcW w:w="0" w:type="auto"/>
            <w:vAlign w:val="bottom"/>
          </w:tcPr>
          <w:p w14:paraId="7C6C1239" w14:textId="3918D377" w:rsidR="00E447D2" w:rsidRDefault="00E447D2" w:rsidP="00E447D2">
            <w:r>
              <w:rPr>
                <w:rFonts w:ascii="Calibri" w:hAnsi="Calibri" w:cs="Calibri"/>
                <w:color w:val="000000"/>
              </w:rPr>
              <w:t>Spt7 (</w:t>
            </w:r>
            <w:proofErr w:type="spellStart"/>
            <w:r>
              <w:rPr>
                <w:rFonts w:ascii="Calibri" w:hAnsi="Calibri" w:cs="Calibri"/>
                <w:color w:val="000000"/>
              </w:rPr>
              <w:t>comr</w:t>
            </w:r>
            <w:proofErr w:type="spellEnd"/>
            <w:r>
              <w:rPr>
                <w:rFonts w:ascii="Calibri" w:hAnsi="Calibri" w:cs="Calibri"/>
                <w:color w:val="000000"/>
              </w:rPr>
              <w:t>)</w:t>
            </w:r>
          </w:p>
        </w:tc>
        <w:tc>
          <w:tcPr>
            <w:tcW w:w="0" w:type="auto"/>
            <w:vAlign w:val="bottom"/>
          </w:tcPr>
          <w:p w14:paraId="59041E59" w14:textId="08754224" w:rsidR="00E447D2" w:rsidRDefault="00E447D2" w:rsidP="00E447D2">
            <w:r>
              <w:rPr>
                <w:rFonts w:ascii="Calibri" w:hAnsi="Calibri" w:cs="Calibri"/>
                <w:color w:val="000000"/>
              </w:rPr>
              <w:t>42552</w:t>
            </w:r>
          </w:p>
        </w:tc>
      </w:tr>
      <w:tr w:rsidR="00E447D2" w14:paraId="2129709E" w14:textId="77777777" w:rsidTr="00FE07B7">
        <w:tc>
          <w:tcPr>
            <w:tcW w:w="0" w:type="auto"/>
            <w:vAlign w:val="bottom"/>
          </w:tcPr>
          <w:p w14:paraId="2AFAFAE9" w14:textId="1577249D" w:rsidR="00E447D2" w:rsidRDefault="00E447D2" w:rsidP="00E447D2">
            <w:r>
              <w:rPr>
                <w:rFonts w:ascii="Calibri" w:hAnsi="Calibri" w:cs="Calibri"/>
                <w:color w:val="000000"/>
              </w:rPr>
              <w:t>E(z)</w:t>
            </w:r>
          </w:p>
        </w:tc>
        <w:tc>
          <w:tcPr>
            <w:tcW w:w="0" w:type="auto"/>
            <w:vAlign w:val="bottom"/>
          </w:tcPr>
          <w:p w14:paraId="79788F96" w14:textId="16C46418" w:rsidR="00E447D2" w:rsidRDefault="00E447D2" w:rsidP="00E447D2">
            <w:r>
              <w:rPr>
                <w:rFonts w:ascii="Calibri" w:hAnsi="Calibri" w:cs="Calibri"/>
                <w:color w:val="000000"/>
              </w:rPr>
              <w:t>36068</w:t>
            </w:r>
          </w:p>
        </w:tc>
      </w:tr>
      <w:tr w:rsidR="00E447D2" w14:paraId="78927BC3" w14:textId="77777777" w:rsidTr="00FE07B7">
        <w:tc>
          <w:tcPr>
            <w:tcW w:w="0" w:type="auto"/>
            <w:vAlign w:val="bottom"/>
          </w:tcPr>
          <w:p w14:paraId="4DD23271" w14:textId="0740A405" w:rsidR="00E447D2" w:rsidRDefault="00E447D2" w:rsidP="00E447D2">
            <w:proofErr w:type="spellStart"/>
            <w:r>
              <w:rPr>
                <w:rFonts w:ascii="Calibri" w:hAnsi="Calibri" w:cs="Calibri"/>
                <w:color w:val="000000"/>
              </w:rPr>
              <w:t>Enok</w:t>
            </w:r>
            <w:proofErr w:type="spellEnd"/>
          </w:p>
        </w:tc>
        <w:tc>
          <w:tcPr>
            <w:tcW w:w="0" w:type="auto"/>
            <w:vAlign w:val="bottom"/>
          </w:tcPr>
          <w:p w14:paraId="13E5F91D" w14:textId="55E1093D" w:rsidR="00E447D2" w:rsidRDefault="00E447D2" w:rsidP="00E447D2">
            <w:r>
              <w:rPr>
                <w:rFonts w:ascii="Calibri" w:hAnsi="Calibri" w:cs="Calibri"/>
                <w:color w:val="000000"/>
              </w:rPr>
              <w:t>29518</w:t>
            </w:r>
          </w:p>
        </w:tc>
      </w:tr>
      <w:tr w:rsidR="00E447D2" w14:paraId="386F2A77" w14:textId="77777777" w:rsidTr="00FE07B7">
        <w:tc>
          <w:tcPr>
            <w:tcW w:w="0" w:type="auto"/>
            <w:vAlign w:val="bottom"/>
          </w:tcPr>
          <w:p w14:paraId="26A2EAD1" w14:textId="352C568E" w:rsidR="00E447D2" w:rsidRDefault="00E447D2" w:rsidP="00E447D2">
            <w:proofErr w:type="spellStart"/>
            <w:r>
              <w:rPr>
                <w:rFonts w:ascii="Calibri" w:hAnsi="Calibri" w:cs="Calibri"/>
                <w:color w:val="000000"/>
              </w:rPr>
              <w:t>faf</w:t>
            </w:r>
            <w:proofErr w:type="spellEnd"/>
          </w:p>
        </w:tc>
        <w:tc>
          <w:tcPr>
            <w:tcW w:w="0" w:type="auto"/>
            <w:vAlign w:val="bottom"/>
          </w:tcPr>
          <w:p w14:paraId="53171AE2" w14:textId="010166EC" w:rsidR="00E447D2" w:rsidRDefault="00E447D2" w:rsidP="00E447D2">
            <w:r>
              <w:rPr>
                <w:rFonts w:ascii="Calibri" w:hAnsi="Calibri" w:cs="Calibri"/>
                <w:color w:val="000000"/>
              </w:rPr>
              <w:t>35728</w:t>
            </w:r>
          </w:p>
        </w:tc>
      </w:tr>
      <w:tr w:rsidR="00E447D2" w14:paraId="3DD686BA" w14:textId="77777777" w:rsidTr="00FE07B7">
        <w:tc>
          <w:tcPr>
            <w:tcW w:w="0" w:type="auto"/>
            <w:vAlign w:val="bottom"/>
          </w:tcPr>
          <w:p w14:paraId="1BBCF352" w14:textId="2DD61D57" w:rsidR="00E447D2" w:rsidRDefault="00E447D2" w:rsidP="00E447D2">
            <w:r>
              <w:rPr>
                <w:rFonts w:ascii="Calibri" w:hAnsi="Calibri" w:cs="Calibri"/>
                <w:color w:val="000000"/>
              </w:rPr>
              <w:t>Gcn5</w:t>
            </w:r>
          </w:p>
        </w:tc>
        <w:tc>
          <w:tcPr>
            <w:tcW w:w="0" w:type="auto"/>
            <w:vAlign w:val="bottom"/>
          </w:tcPr>
          <w:p w14:paraId="3ACF4D55" w14:textId="0A304F87" w:rsidR="00E447D2" w:rsidRDefault="00E447D2" w:rsidP="00E447D2">
            <w:r>
              <w:rPr>
                <w:rFonts w:ascii="Calibri" w:hAnsi="Calibri" w:cs="Calibri"/>
                <w:color w:val="000000"/>
              </w:rPr>
              <w:t>33981</w:t>
            </w:r>
          </w:p>
        </w:tc>
      </w:tr>
      <w:tr w:rsidR="00E447D2" w14:paraId="348831DD" w14:textId="77777777" w:rsidTr="00FE07B7">
        <w:tc>
          <w:tcPr>
            <w:tcW w:w="0" w:type="auto"/>
            <w:vAlign w:val="bottom"/>
          </w:tcPr>
          <w:p w14:paraId="69FB6708" w14:textId="7A67A081" w:rsidR="00E447D2" w:rsidRDefault="00E447D2" w:rsidP="00E447D2">
            <w:r>
              <w:rPr>
                <w:rFonts w:ascii="Calibri" w:hAnsi="Calibri" w:cs="Calibri"/>
                <w:color w:val="000000"/>
              </w:rPr>
              <w:t>Hdac3</w:t>
            </w:r>
          </w:p>
        </w:tc>
        <w:tc>
          <w:tcPr>
            <w:tcW w:w="0" w:type="auto"/>
            <w:vAlign w:val="bottom"/>
          </w:tcPr>
          <w:p w14:paraId="6CAC9976" w14:textId="74856EBB" w:rsidR="00E447D2" w:rsidRDefault="00E447D2" w:rsidP="00E447D2">
            <w:r>
              <w:rPr>
                <w:rFonts w:ascii="Calibri" w:hAnsi="Calibri" w:cs="Calibri"/>
                <w:color w:val="000000"/>
              </w:rPr>
              <w:t>31633</w:t>
            </w:r>
          </w:p>
        </w:tc>
      </w:tr>
      <w:tr w:rsidR="00E447D2" w14:paraId="236A7EAE" w14:textId="77777777" w:rsidTr="00FE07B7">
        <w:tc>
          <w:tcPr>
            <w:tcW w:w="0" w:type="auto"/>
            <w:vAlign w:val="bottom"/>
          </w:tcPr>
          <w:p w14:paraId="67EDB7A3" w14:textId="3DF5F9E3" w:rsidR="00E447D2" w:rsidRDefault="00E447D2" w:rsidP="00E447D2">
            <w:r>
              <w:rPr>
                <w:rFonts w:ascii="Calibri" w:hAnsi="Calibri" w:cs="Calibri"/>
                <w:color w:val="000000"/>
              </w:rPr>
              <w:t>Jarid2</w:t>
            </w:r>
          </w:p>
        </w:tc>
        <w:tc>
          <w:tcPr>
            <w:tcW w:w="0" w:type="auto"/>
            <w:vAlign w:val="bottom"/>
          </w:tcPr>
          <w:p w14:paraId="25AAC594" w14:textId="20806058" w:rsidR="00E447D2" w:rsidRDefault="00E447D2" w:rsidP="00E447D2">
            <w:r>
              <w:rPr>
                <w:rFonts w:ascii="Calibri" w:hAnsi="Calibri" w:cs="Calibri"/>
                <w:color w:val="000000"/>
              </w:rPr>
              <w:t>32891</w:t>
            </w:r>
          </w:p>
        </w:tc>
      </w:tr>
      <w:tr w:rsidR="00E447D2" w14:paraId="6517E878" w14:textId="77777777" w:rsidTr="00FE07B7">
        <w:tc>
          <w:tcPr>
            <w:tcW w:w="0" w:type="auto"/>
            <w:vAlign w:val="bottom"/>
          </w:tcPr>
          <w:p w14:paraId="478AB0BA" w14:textId="77FCD281" w:rsidR="00E447D2" w:rsidRDefault="00E447D2" w:rsidP="00E447D2">
            <w:r>
              <w:rPr>
                <w:rFonts w:ascii="Calibri" w:hAnsi="Calibri" w:cs="Calibri"/>
                <w:color w:val="000000"/>
              </w:rPr>
              <w:t>Ubp8 (not)</w:t>
            </w:r>
          </w:p>
        </w:tc>
        <w:tc>
          <w:tcPr>
            <w:tcW w:w="0" w:type="auto"/>
            <w:vAlign w:val="bottom"/>
          </w:tcPr>
          <w:p w14:paraId="2EAAAF68" w14:textId="39248418" w:rsidR="00E447D2" w:rsidRDefault="00E447D2" w:rsidP="00E447D2">
            <w:r>
              <w:rPr>
                <w:rFonts w:ascii="Calibri" w:hAnsi="Calibri" w:cs="Calibri"/>
                <w:color w:val="000000"/>
              </w:rPr>
              <w:t>28725</w:t>
            </w:r>
          </w:p>
        </w:tc>
      </w:tr>
      <w:tr w:rsidR="00E447D2" w14:paraId="2FB529F1" w14:textId="77777777" w:rsidTr="00FE07B7">
        <w:tc>
          <w:tcPr>
            <w:tcW w:w="0" w:type="auto"/>
            <w:vAlign w:val="bottom"/>
          </w:tcPr>
          <w:p w14:paraId="613E2C91" w14:textId="48EC4F7B" w:rsidR="00E447D2" w:rsidRDefault="00E447D2" w:rsidP="00E447D2">
            <w:r>
              <w:rPr>
                <w:rFonts w:ascii="Calibri" w:hAnsi="Calibri" w:cs="Calibri"/>
                <w:color w:val="000000"/>
              </w:rPr>
              <w:t>nsl1 (</w:t>
            </w:r>
            <w:proofErr w:type="spellStart"/>
            <w:r>
              <w:rPr>
                <w:rFonts w:ascii="Calibri" w:hAnsi="Calibri" w:cs="Calibri"/>
                <w:color w:val="000000"/>
              </w:rPr>
              <w:t>wah</w:t>
            </w:r>
            <w:proofErr w:type="spellEnd"/>
            <w:r>
              <w:rPr>
                <w:rFonts w:ascii="Calibri" w:hAnsi="Calibri" w:cs="Calibri"/>
                <w:color w:val="000000"/>
              </w:rPr>
              <w:t>)</w:t>
            </w:r>
          </w:p>
        </w:tc>
        <w:tc>
          <w:tcPr>
            <w:tcW w:w="0" w:type="auto"/>
            <w:vAlign w:val="bottom"/>
          </w:tcPr>
          <w:p w14:paraId="2940A2E0" w14:textId="2CB1F574" w:rsidR="00E447D2" w:rsidRDefault="00E447D2" w:rsidP="00E447D2">
            <w:r>
              <w:rPr>
                <w:rFonts w:ascii="Calibri" w:hAnsi="Calibri" w:cs="Calibri"/>
                <w:color w:val="000000"/>
              </w:rPr>
              <w:t>32561</w:t>
            </w:r>
          </w:p>
        </w:tc>
      </w:tr>
      <w:tr w:rsidR="00E447D2" w14:paraId="529D83DE" w14:textId="77777777" w:rsidTr="00FE07B7">
        <w:tc>
          <w:tcPr>
            <w:tcW w:w="0" w:type="auto"/>
            <w:vAlign w:val="bottom"/>
          </w:tcPr>
          <w:p w14:paraId="5416CFBA" w14:textId="42223FD4" w:rsidR="00E447D2" w:rsidRDefault="00E447D2" w:rsidP="00E447D2">
            <w:proofErr w:type="spellStart"/>
            <w:r>
              <w:rPr>
                <w:rFonts w:ascii="Calibri" w:hAnsi="Calibri" w:cs="Calibri"/>
                <w:color w:val="000000"/>
              </w:rPr>
              <w:t>Polybromo</w:t>
            </w:r>
            <w:proofErr w:type="spellEnd"/>
          </w:p>
        </w:tc>
        <w:tc>
          <w:tcPr>
            <w:tcW w:w="0" w:type="auto"/>
            <w:vAlign w:val="bottom"/>
          </w:tcPr>
          <w:p w14:paraId="0A2BEFDC" w14:textId="36F775F1" w:rsidR="00E447D2" w:rsidRDefault="00E447D2" w:rsidP="00E447D2">
            <w:r>
              <w:rPr>
                <w:rFonts w:ascii="Calibri" w:hAnsi="Calibri" w:cs="Calibri"/>
                <w:color w:val="000000"/>
              </w:rPr>
              <w:t>32840</w:t>
            </w:r>
          </w:p>
        </w:tc>
      </w:tr>
      <w:tr w:rsidR="00E447D2" w14:paraId="64D5428B" w14:textId="77777777" w:rsidTr="00FE07B7">
        <w:tc>
          <w:tcPr>
            <w:tcW w:w="0" w:type="auto"/>
            <w:vAlign w:val="bottom"/>
          </w:tcPr>
          <w:p w14:paraId="7FD8B748" w14:textId="4E7474CB" w:rsidR="00E447D2" w:rsidRDefault="00E447D2" w:rsidP="00E447D2">
            <w:r>
              <w:rPr>
                <w:rFonts w:ascii="Calibri" w:hAnsi="Calibri" w:cs="Calibri"/>
                <w:color w:val="000000"/>
              </w:rPr>
              <w:t>Set8</w:t>
            </w:r>
          </w:p>
        </w:tc>
        <w:tc>
          <w:tcPr>
            <w:tcW w:w="0" w:type="auto"/>
            <w:vAlign w:val="bottom"/>
          </w:tcPr>
          <w:p w14:paraId="37FC4AFB" w14:textId="64B16C35" w:rsidR="00E447D2" w:rsidRDefault="00E447D2" w:rsidP="00E447D2">
            <w:r>
              <w:rPr>
                <w:rFonts w:ascii="Calibri" w:hAnsi="Calibri" w:cs="Calibri"/>
                <w:color w:val="000000"/>
              </w:rPr>
              <w:t>35322</w:t>
            </w:r>
          </w:p>
        </w:tc>
      </w:tr>
      <w:tr w:rsidR="00E447D2" w14:paraId="4668ABE3" w14:textId="77777777" w:rsidTr="00FE07B7">
        <w:tc>
          <w:tcPr>
            <w:tcW w:w="0" w:type="auto"/>
            <w:vAlign w:val="bottom"/>
          </w:tcPr>
          <w:p w14:paraId="6466B3A6" w14:textId="05910CA4" w:rsidR="00E447D2" w:rsidRDefault="00E447D2" w:rsidP="00E447D2">
            <w:proofErr w:type="spellStart"/>
            <w:r>
              <w:rPr>
                <w:rFonts w:ascii="Calibri" w:hAnsi="Calibri" w:cs="Calibri"/>
                <w:color w:val="000000"/>
              </w:rPr>
              <w:t>Su</w:t>
            </w:r>
            <w:proofErr w:type="spellEnd"/>
            <w:r>
              <w:rPr>
                <w:rFonts w:ascii="Calibri" w:hAnsi="Calibri" w:cs="Calibri"/>
                <w:color w:val="000000"/>
              </w:rPr>
              <w:t>(var)205</w:t>
            </w:r>
          </w:p>
        </w:tc>
        <w:tc>
          <w:tcPr>
            <w:tcW w:w="0" w:type="auto"/>
            <w:vAlign w:val="bottom"/>
          </w:tcPr>
          <w:p w14:paraId="5306C963" w14:textId="289EABD2" w:rsidR="00E447D2" w:rsidRDefault="00E447D2" w:rsidP="00E447D2">
            <w:r>
              <w:rPr>
                <w:rFonts w:ascii="Calibri" w:hAnsi="Calibri" w:cs="Calibri"/>
                <w:color w:val="000000"/>
              </w:rPr>
              <w:t>33400</w:t>
            </w:r>
          </w:p>
        </w:tc>
      </w:tr>
      <w:tr w:rsidR="00E447D2" w14:paraId="28CA6B7F" w14:textId="77777777" w:rsidTr="00FE07B7">
        <w:tc>
          <w:tcPr>
            <w:tcW w:w="0" w:type="auto"/>
            <w:vAlign w:val="bottom"/>
          </w:tcPr>
          <w:p w14:paraId="389703E6" w14:textId="6A3272A0" w:rsidR="00E447D2" w:rsidRDefault="00E447D2" w:rsidP="00E447D2">
            <w:proofErr w:type="spellStart"/>
            <w:r>
              <w:rPr>
                <w:rFonts w:ascii="Calibri" w:hAnsi="Calibri" w:cs="Calibri"/>
                <w:color w:val="000000"/>
              </w:rPr>
              <w:t>Sxc</w:t>
            </w:r>
            <w:proofErr w:type="spellEnd"/>
          </w:p>
        </w:tc>
        <w:tc>
          <w:tcPr>
            <w:tcW w:w="0" w:type="auto"/>
            <w:vAlign w:val="bottom"/>
          </w:tcPr>
          <w:p w14:paraId="147D5FA1" w14:textId="2C644E13" w:rsidR="00E447D2" w:rsidRDefault="00E447D2" w:rsidP="00E447D2">
            <w:r>
              <w:rPr>
                <w:rFonts w:ascii="Calibri" w:hAnsi="Calibri" w:cs="Calibri"/>
                <w:color w:val="000000"/>
              </w:rPr>
              <w:t>50909</w:t>
            </w:r>
          </w:p>
        </w:tc>
      </w:tr>
      <w:tr w:rsidR="00E447D2" w14:paraId="7F54BE0E" w14:textId="77777777" w:rsidTr="00FE07B7">
        <w:tc>
          <w:tcPr>
            <w:tcW w:w="0" w:type="auto"/>
            <w:vAlign w:val="bottom"/>
          </w:tcPr>
          <w:p w14:paraId="788AAFF7" w14:textId="1F140299" w:rsidR="00E447D2" w:rsidRDefault="00E447D2" w:rsidP="00E447D2">
            <w:proofErr w:type="spellStart"/>
            <w:r>
              <w:rPr>
                <w:rFonts w:ascii="Calibri" w:hAnsi="Calibri" w:cs="Calibri"/>
                <w:color w:val="000000"/>
              </w:rPr>
              <w:t>Trr</w:t>
            </w:r>
            <w:proofErr w:type="spellEnd"/>
          </w:p>
        </w:tc>
        <w:tc>
          <w:tcPr>
            <w:tcW w:w="0" w:type="auto"/>
            <w:vAlign w:val="bottom"/>
          </w:tcPr>
          <w:p w14:paraId="7B8D85D9" w14:textId="5DB47D4C" w:rsidR="00E447D2" w:rsidRDefault="00E447D2" w:rsidP="00E447D2">
            <w:r>
              <w:rPr>
                <w:rFonts w:ascii="Calibri" w:hAnsi="Calibri" w:cs="Calibri"/>
                <w:color w:val="000000"/>
              </w:rPr>
              <w:t>29563</w:t>
            </w:r>
          </w:p>
        </w:tc>
      </w:tr>
      <w:tr w:rsidR="000B47D4" w14:paraId="3E5C7ABA" w14:textId="77777777" w:rsidTr="000B6654">
        <w:tc>
          <w:tcPr>
            <w:tcW w:w="0" w:type="auto"/>
            <w:vAlign w:val="bottom"/>
          </w:tcPr>
          <w:p w14:paraId="710C1266" w14:textId="714D2A0A" w:rsidR="000B47D4" w:rsidRDefault="000B47D4" w:rsidP="000B47D4">
            <w:proofErr w:type="spellStart"/>
            <w:r>
              <w:rPr>
                <w:rFonts w:ascii="Calibri" w:hAnsi="Calibri" w:cs="Calibri"/>
                <w:color w:val="000000"/>
              </w:rPr>
              <w:t>Wda</w:t>
            </w:r>
            <w:proofErr w:type="spellEnd"/>
          </w:p>
        </w:tc>
        <w:tc>
          <w:tcPr>
            <w:tcW w:w="0" w:type="auto"/>
            <w:vAlign w:val="bottom"/>
          </w:tcPr>
          <w:p w14:paraId="772AC1DF" w14:textId="3852B506" w:rsidR="000B47D4" w:rsidRDefault="000B47D4" w:rsidP="000B47D4">
            <w:r>
              <w:rPr>
                <w:rFonts w:ascii="Calibri" w:hAnsi="Calibri" w:cs="Calibri"/>
                <w:color w:val="000000"/>
              </w:rPr>
              <w:t>31125</w:t>
            </w:r>
          </w:p>
        </w:tc>
      </w:tr>
      <w:tr w:rsidR="000B47D4" w14:paraId="4E59E237" w14:textId="77777777" w:rsidTr="000B6654">
        <w:tc>
          <w:tcPr>
            <w:tcW w:w="0" w:type="auto"/>
            <w:vAlign w:val="bottom"/>
          </w:tcPr>
          <w:p w14:paraId="7CDD0F01" w14:textId="57F77687" w:rsidR="000B47D4" w:rsidRDefault="000B47D4" w:rsidP="000B47D4">
            <w:r>
              <w:rPr>
                <w:rFonts w:ascii="Calibri" w:hAnsi="Calibri" w:cs="Calibri"/>
                <w:color w:val="000000"/>
              </w:rPr>
              <w:t>Rps25</w:t>
            </w:r>
          </w:p>
        </w:tc>
        <w:tc>
          <w:tcPr>
            <w:tcW w:w="0" w:type="auto"/>
            <w:vAlign w:val="bottom"/>
          </w:tcPr>
          <w:p w14:paraId="4795869C" w14:textId="4B8B0098" w:rsidR="000B47D4" w:rsidRDefault="000B47D4" w:rsidP="000B47D4">
            <w:r>
              <w:rPr>
                <w:rFonts w:ascii="Calibri" w:hAnsi="Calibri" w:cs="Calibri"/>
                <w:color w:val="000000"/>
              </w:rPr>
              <w:t>V101342</w:t>
            </w:r>
          </w:p>
        </w:tc>
      </w:tr>
      <w:tr w:rsidR="000B47D4" w14:paraId="4E83CD20" w14:textId="77777777" w:rsidTr="000B6654">
        <w:tc>
          <w:tcPr>
            <w:tcW w:w="0" w:type="auto"/>
            <w:vAlign w:val="bottom"/>
          </w:tcPr>
          <w:p w14:paraId="6948461F" w14:textId="2EA2A21C" w:rsidR="000B47D4" w:rsidRDefault="000B47D4" w:rsidP="000B47D4">
            <w:r>
              <w:rPr>
                <w:rFonts w:ascii="Calibri" w:hAnsi="Calibri" w:cs="Calibri"/>
                <w:color w:val="000000"/>
              </w:rPr>
              <w:t>LRRK</w:t>
            </w:r>
          </w:p>
        </w:tc>
        <w:tc>
          <w:tcPr>
            <w:tcW w:w="0" w:type="auto"/>
            <w:vAlign w:val="bottom"/>
          </w:tcPr>
          <w:p w14:paraId="14B713EB" w14:textId="3031CC50" w:rsidR="000B47D4" w:rsidRDefault="000B47D4" w:rsidP="000B47D4">
            <w:r>
              <w:rPr>
                <w:rFonts w:ascii="Calibri" w:hAnsi="Calibri" w:cs="Calibri"/>
                <w:color w:val="000000"/>
              </w:rPr>
              <w:t>32457 </w:t>
            </w:r>
          </w:p>
        </w:tc>
      </w:tr>
      <w:tr w:rsidR="000B47D4" w14:paraId="2CC52011" w14:textId="77777777" w:rsidTr="000B6654">
        <w:tc>
          <w:tcPr>
            <w:tcW w:w="0" w:type="auto"/>
            <w:vAlign w:val="bottom"/>
          </w:tcPr>
          <w:p w14:paraId="31612BA7" w14:textId="0177DF20" w:rsidR="000B47D4" w:rsidRDefault="000B47D4" w:rsidP="000B47D4">
            <w:r>
              <w:rPr>
                <w:rFonts w:ascii="Calibri" w:hAnsi="Calibri" w:cs="Calibri"/>
                <w:color w:val="000000"/>
              </w:rPr>
              <w:t>S6K</w:t>
            </w:r>
          </w:p>
        </w:tc>
        <w:tc>
          <w:tcPr>
            <w:tcW w:w="0" w:type="auto"/>
            <w:vAlign w:val="bottom"/>
          </w:tcPr>
          <w:p w14:paraId="77D47623" w14:textId="6EB77BBB" w:rsidR="000B47D4" w:rsidRDefault="000B47D4" w:rsidP="000B47D4">
            <w:r>
              <w:rPr>
                <w:rFonts w:ascii="Calibri" w:hAnsi="Calibri" w:cs="Calibri"/>
                <w:color w:val="000000"/>
              </w:rPr>
              <w:t>41895 </w:t>
            </w:r>
          </w:p>
        </w:tc>
      </w:tr>
      <w:tr w:rsidR="000B47D4" w14:paraId="071AF69A" w14:textId="77777777" w:rsidTr="000B6654">
        <w:tc>
          <w:tcPr>
            <w:tcW w:w="0" w:type="auto"/>
            <w:vAlign w:val="bottom"/>
          </w:tcPr>
          <w:p w14:paraId="216BEFB0" w14:textId="10129C1D" w:rsidR="000B47D4" w:rsidRDefault="000B47D4" w:rsidP="000B47D4">
            <w:r>
              <w:rPr>
                <w:rFonts w:ascii="Calibri" w:hAnsi="Calibri" w:cs="Calibri"/>
                <w:color w:val="000000"/>
              </w:rPr>
              <w:t>S6KII</w:t>
            </w:r>
          </w:p>
        </w:tc>
        <w:tc>
          <w:tcPr>
            <w:tcW w:w="0" w:type="auto"/>
            <w:vAlign w:val="bottom"/>
          </w:tcPr>
          <w:p w14:paraId="44D6FFAA" w14:textId="34FBC832" w:rsidR="000B47D4" w:rsidRDefault="000B47D4" w:rsidP="000B47D4">
            <w:r>
              <w:rPr>
                <w:rFonts w:ascii="Calibri" w:hAnsi="Calibri" w:cs="Calibri"/>
                <w:color w:val="000000"/>
              </w:rPr>
              <w:t>41895 </w:t>
            </w:r>
          </w:p>
        </w:tc>
      </w:tr>
      <w:tr w:rsidR="000B47D4" w14:paraId="76769496" w14:textId="77777777" w:rsidTr="000B6654">
        <w:tc>
          <w:tcPr>
            <w:tcW w:w="0" w:type="auto"/>
            <w:vAlign w:val="bottom"/>
          </w:tcPr>
          <w:p w14:paraId="30731D41" w14:textId="3A3C00D4" w:rsidR="000B47D4" w:rsidRDefault="000B47D4" w:rsidP="000B47D4">
            <w:r>
              <w:rPr>
                <w:rFonts w:ascii="Calibri" w:hAnsi="Calibri" w:cs="Calibri"/>
                <w:color w:val="000000"/>
              </w:rPr>
              <w:t>TKV</w:t>
            </w:r>
          </w:p>
        </w:tc>
        <w:tc>
          <w:tcPr>
            <w:tcW w:w="0" w:type="auto"/>
            <w:vAlign w:val="bottom"/>
          </w:tcPr>
          <w:p w14:paraId="4B362001" w14:textId="2AF8969D" w:rsidR="000B47D4" w:rsidRDefault="000B47D4" w:rsidP="000B47D4">
            <w:r>
              <w:rPr>
                <w:rFonts w:ascii="Calibri" w:hAnsi="Calibri" w:cs="Calibri"/>
                <w:color w:val="000000"/>
              </w:rPr>
              <w:t>36537 </w:t>
            </w:r>
          </w:p>
        </w:tc>
      </w:tr>
    </w:tbl>
    <w:p w14:paraId="62A6EB59" w14:textId="1C41D90C" w:rsidR="00AC2092" w:rsidRPr="00AC2092" w:rsidRDefault="002A1B02">
      <w:r>
        <w:t xml:space="preserve"> </w:t>
      </w:r>
    </w:p>
    <w:p w14:paraId="19891AB9" w14:textId="54A6CE60" w:rsidR="0057230A" w:rsidRDefault="0057230A">
      <w:r>
        <w:t>Methods</w:t>
      </w:r>
    </w:p>
    <w:p w14:paraId="1E482A78" w14:textId="1ED07F6E" w:rsidR="008B614D" w:rsidRDefault="008B614D">
      <w:r>
        <w:t>Cloning</w:t>
      </w:r>
    </w:p>
    <w:p w14:paraId="3FB552BD" w14:textId="70DFA469" w:rsidR="008B614D" w:rsidRPr="008B614D" w:rsidRDefault="008B614D">
      <w:r>
        <w:t xml:space="preserve">A </w:t>
      </w:r>
      <w:proofErr w:type="spellStart"/>
      <w:r>
        <w:t>gBlock</w:t>
      </w:r>
      <w:proofErr w:type="spellEnd"/>
      <w:r>
        <w:t xml:space="preserve"> corresponding to a codon optimized version of </w:t>
      </w:r>
      <w:proofErr w:type="spellStart"/>
      <w:r>
        <w:rPr>
          <w:i/>
          <w:iCs/>
        </w:rPr>
        <w:t>Renilla</w:t>
      </w:r>
      <w:proofErr w:type="spellEnd"/>
      <w:r>
        <w:t xml:space="preserve"> and firefly luciferase as well as the readthrough block and </w:t>
      </w:r>
      <w:proofErr w:type="spellStart"/>
      <w:r>
        <w:t>CrPV</w:t>
      </w:r>
      <w:proofErr w:type="spellEnd"/>
      <w:r>
        <w:t xml:space="preserve"> IGR IRES were purchased from IDT. This </w:t>
      </w:r>
      <w:proofErr w:type="spellStart"/>
      <w:r>
        <w:t>gBlock</w:t>
      </w:r>
      <w:proofErr w:type="spellEnd"/>
      <w:r>
        <w:t xml:space="preserve"> was cloned using Gibson cloning according to </w:t>
      </w:r>
      <w:r w:rsidR="004110AD">
        <w:t>manufacturer’s</w:t>
      </w:r>
      <w:r>
        <w:t xml:space="preserve"> instructions</w:t>
      </w:r>
      <w:r w:rsidR="004110AD">
        <w:t xml:space="preserve"> (#</w:t>
      </w:r>
      <w:r w:rsidR="004110AD" w:rsidRPr="004110AD">
        <w:t>E2611S</w:t>
      </w:r>
      <w:r w:rsidR="004110AD">
        <w:t>)</w:t>
      </w:r>
      <w:r>
        <w:t xml:space="preserve"> into </w:t>
      </w:r>
      <w:r w:rsidR="00AC2092">
        <w:t>pCasper2 containing a Nos promoter and K10 3’UTR. Colonies were picked, cultured, and plasmids purified and sequenced by Eton Bioscience Inc. to conform the correct sequence had been cloned. A m</w:t>
      </w:r>
      <w:r w:rsidR="00AC2092" w:rsidRPr="00AC2092">
        <w:t xml:space="preserve">idi-prep scale </w:t>
      </w:r>
      <w:r w:rsidR="00AC2092">
        <w:t xml:space="preserve">of the </w:t>
      </w:r>
      <w:r w:rsidR="00AC2092" w:rsidRPr="00AC2092">
        <w:t xml:space="preserve">plasmid was prepared using standard methods and plasmids were sent to </w:t>
      </w:r>
      <w:proofErr w:type="spellStart"/>
      <w:r w:rsidR="00AC2092" w:rsidRPr="00AC2092">
        <w:t>BestGene</w:t>
      </w:r>
      <w:proofErr w:type="spellEnd"/>
      <w:r w:rsidR="00AC2092" w:rsidRPr="00AC2092">
        <w:t xml:space="preserve"> Inc. for microinjection.</w:t>
      </w:r>
    </w:p>
    <w:p w14:paraId="25C27423" w14:textId="63A539C9" w:rsidR="008B614D" w:rsidRDefault="008B614D">
      <w:r>
        <w:t>Dual luciferase assay</w:t>
      </w:r>
    </w:p>
    <w:p w14:paraId="6179ACD0" w14:textId="79819D5C" w:rsidR="0057230A" w:rsidRPr="008B614D" w:rsidRDefault="002660FA">
      <w:r>
        <w:t>Ovaries were dissected on 1X PBS</w:t>
      </w:r>
      <w:r w:rsidR="000E0152">
        <w:t xml:space="preserve"> in microcentrifuge tubes. Excess PBS was </w:t>
      </w:r>
      <w:proofErr w:type="gramStart"/>
      <w:r w:rsidR="000E0152">
        <w:t>aspirated</w:t>
      </w:r>
      <w:proofErr w:type="gramEnd"/>
      <w:r w:rsidR="000E0152">
        <w:t xml:space="preserve"> and ovaries were stored at -20</w:t>
      </w:r>
      <w:r w:rsidR="000E0152" w:rsidRPr="000E0152">
        <w:t>°</w:t>
      </w:r>
      <w:r w:rsidR="000E0152">
        <w:t xml:space="preserve">C. Ovaries were lysed in 25 </w:t>
      </w:r>
      <w:r w:rsidR="000E0152">
        <w:rPr>
          <w:rFonts w:cstheme="minorHAnsi"/>
        </w:rPr>
        <w:t>µ</w:t>
      </w:r>
      <w:r w:rsidR="000E0152">
        <w:t xml:space="preserve">l of passive lysis buffer (Promega) using a plastic pestle. </w:t>
      </w:r>
      <w:r w:rsidR="008B614D">
        <w:t>2</w:t>
      </w:r>
      <w:r w:rsidR="008B614D">
        <w:t>0</w:t>
      </w:r>
      <w:r w:rsidR="008B614D">
        <w:t xml:space="preserve"> </w:t>
      </w:r>
      <w:r w:rsidR="008B614D">
        <w:rPr>
          <w:rFonts w:cstheme="minorHAnsi"/>
        </w:rPr>
        <w:t>µ</w:t>
      </w:r>
      <w:r w:rsidR="008B614D">
        <w:t xml:space="preserve">l </w:t>
      </w:r>
      <w:r w:rsidR="008B614D">
        <w:t>of l</w:t>
      </w:r>
      <w:r w:rsidR="000E0152">
        <w:t xml:space="preserve">ysate was added to a white 96 well plate and luminance was measured using a </w:t>
      </w:r>
      <w:proofErr w:type="spellStart"/>
      <w:r w:rsidR="008B614D">
        <w:t>Glomax</w:t>
      </w:r>
      <w:proofErr w:type="spellEnd"/>
      <w:r w:rsidR="008B614D">
        <w:t xml:space="preserve"> 20/20 luminometer (Promega) using the dual luciferase assay reagent (Promega #E1910). At least three biological replicates for Firefly/</w:t>
      </w:r>
      <w:proofErr w:type="spellStart"/>
      <w:r w:rsidR="008B614D" w:rsidRPr="008B614D">
        <w:rPr>
          <w:i/>
          <w:iCs/>
        </w:rPr>
        <w:t>Renilla</w:t>
      </w:r>
      <w:proofErr w:type="spellEnd"/>
      <w:r w:rsidR="008B614D">
        <w:t xml:space="preserve"> luminescence values of each RNAi line were generated.</w:t>
      </w:r>
    </w:p>
    <w:sectPr w:rsidR="0057230A" w:rsidRPr="008B6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60"/>
    <w:rsid w:val="000267B9"/>
    <w:rsid w:val="00041D7B"/>
    <w:rsid w:val="000446F0"/>
    <w:rsid w:val="00052CD1"/>
    <w:rsid w:val="00080654"/>
    <w:rsid w:val="000B47D4"/>
    <w:rsid w:val="000D1368"/>
    <w:rsid w:val="000E0152"/>
    <w:rsid w:val="00180808"/>
    <w:rsid w:val="002212EB"/>
    <w:rsid w:val="002660FA"/>
    <w:rsid w:val="002A1B02"/>
    <w:rsid w:val="002E7960"/>
    <w:rsid w:val="002F6329"/>
    <w:rsid w:val="00322BD2"/>
    <w:rsid w:val="003A45FB"/>
    <w:rsid w:val="004110AD"/>
    <w:rsid w:val="00453F95"/>
    <w:rsid w:val="00493F60"/>
    <w:rsid w:val="004C1EAB"/>
    <w:rsid w:val="004F50CD"/>
    <w:rsid w:val="00502525"/>
    <w:rsid w:val="00521F0B"/>
    <w:rsid w:val="0057230A"/>
    <w:rsid w:val="0061260C"/>
    <w:rsid w:val="00617FB8"/>
    <w:rsid w:val="006E0C92"/>
    <w:rsid w:val="0071484D"/>
    <w:rsid w:val="007E0749"/>
    <w:rsid w:val="0082643B"/>
    <w:rsid w:val="008B614D"/>
    <w:rsid w:val="008D0BC7"/>
    <w:rsid w:val="00955F68"/>
    <w:rsid w:val="00A22086"/>
    <w:rsid w:val="00A34155"/>
    <w:rsid w:val="00A814D1"/>
    <w:rsid w:val="00AB2D65"/>
    <w:rsid w:val="00AC2092"/>
    <w:rsid w:val="00B018F8"/>
    <w:rsid w:val="00BE5DA5"/>
    <w:rsid w:val="00D55101"/>
    <w:rsid w:val="00D934FB"/>
    <w:rsid w:val="00DB6360"/>
    <w:rsid w:val="00DE1DB0"/>
    <w:rsid w:val="00E447D2"/>
    <w:rsid w:val="00E47BDF"/>
    <w:rsid w:val="00E538CA"/>
    <w:rsid w:val="00EA0201"/>
    <w:rsid w:val="00ED2CB2"/>
    <w:rsid w:val="00F1458F"/>
    <w:rsid w:val="00F63381"/>
    <w:rsid w:val="00FD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E1A9"/>
  <w15:chartTrackingRefBased/>
  <w15:docId w15:val="{B283F16C-36D5-4D48-81E0-E32CE6A2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4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233884">
      <w:bodyDiv w:val="1"/>
      <w:marLeft w:val="0"/>
      <w:marRight w:val="0"/>
      <w:marTop w:val="0"/>
      <w:marBottom w:val="0"/>
      <w:divBdr>
        <w:top w:val="none" w:sz="0" w:space="0" w:color="auto"/>
        <w:left w:val="none" w:sz="0" w:space="0" w:color="auto"/>
        <w:bottom w:val="none" w:sz="0" w:space="0" w:color="auto"/>
        <w:right w:val="none" w:sz="0" w:space="0" w:color="auto"/>
      </w:divBdr>
    </w:div>
    <w:div w:id="204244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2641</TotalTime>
  <Pages>4</Pages>
  <Words>9074</Words>
  <Characters>51728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Martin</dc:creator>
  <cp:keywords/>
  <dc:description/>
  <cp:lastModifiedBy>Elliot Martin</cp:lastModifiedBy>
  <cp:revision>17</cp:revision>
  <dcterms:created xsi:type="dcterms:W3CDTF">2022-02-07T19:01:00Z</dcterms:created>
  <dcterms:modified xsi:type="dcterms:W3CDTF">2022-02-09T15:20:00Z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id="pyxw6L6t"/&gt;&lt;style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