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 Development Trading Game: Fake Asset News Summary</w:t>
      </w:r>
    </w:p>
    <w:p>
      <w:pPr>
        <w:pStyle w:val="Subtitle"/>
      </w:pPr>
      <w:r>
        <w:t xml:space="preserve">2018-2022 training notes</w:t>
      </w:r>
    </w:p>
    <w:p>
      <w:pPr>
        <w:pStyle w:val="Date"/>
      </w:pPr>
      <w:r>
        <w:t xml:space="preserve">2026-07-09</w:t>
      </w:r>
    </w:p>
    <w:bookmarkStart w:id="9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summarizes the fake-name assets and the market news used in the FINA development trading game. The student-facing game should use the fake asset names only. The real-asset references below are for facilitator context and calibration.</w:t>
      </w:r>
    </w:p>
    <w:bookmarkEnd w:id="9"/>
    <w:bookmarkStart w:id="10" w:name="fake-asset-mapping"/>
    <w:p>
      <w:pPr>
        <w:pStyle w:val="Heading1"/>
      </w:pPr>
      <w:r>
        <w:t xml:space="preserve">Fake Asset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Student-facing name</w:t>
            </w:r>
          </w:p>
        </w:tc>
        <w:tc>
          <w:tcPr/>
          <w:p>
            <w:pPr>
              <w:pStyle w:val="Compact"/>
            </w:pPr>
            <w:r>
              <w:t xml:space="preserve">Real-world trace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Game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A</w:t>
            </w:r>
          </w:p>
        </w:tc>
        <w:tc>
          <w:tcPr/>
          <w:p>
            <w:pPr>
              <w:pStyle w:val="Compact"/>
            </w:pPr>
            <w:r>
              <w:t xml:space="preserve">Meta Platforms / Facebook</w:t>
            </w:r>
          </w:p>
        </w:tc>
        <w:tc>
          <w:tcPr/>
          <w:p>
            <w:pPr>
              <w:pStyle w:val="Compact"/>
            </w:pPr>
            <w:r>
              <w:t xml:space="preserve">Equity</w:t>
            </w:r>
          </w:p>
        </w:tc>
        <w:tc>
          <w:tcPr/>
          <w:p>
            <w:pPr>
              <w:pStyle w:val="Compact"/>
            </w:pPr>
            <w:r>
              <w:t xml:space="preserve">Advertising, privacy, social-platform growth, and rate-sensitivity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B</w:t>
            </w:r>
          </w:p>
        </w:tc>
        <w:tc>
          <w:tcPr/>
          <w:p>
            <w:pPr>
              <w:pStyle w:val="Compact"/>
            </w:pPr>
            <w:r>
              <w:t xml:space="preserve">Occidental Petroleum</w:t>
            </w:r>
          </w:p>
        </w:tc>
        <w:tc>
          <w:tcPr/>
          <w:p>
            <w:pPr>
              <w:pStyle w:val="Compact"/>
            </w:pPr>
            <w:r>
              <w:t xml:space="preserve">Equity</w:t>
            </w:r>
          </w:p>
        </w:tc>
        <w:tc>
          <w:tcPr/>
          <w:p>
            <w:pPr>
              <w:pStyle w:val="Compact"/>
            </w:pPr>
            <w:r>
              <w:t xml:space="preserve">Leveraged energy equity and balance-sheet stress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C</w:t>
            </w:r>
          </w:p>
        </w:tc>
        <w:tc>
          <w:tcPr/>
          <w:p>
            <w:pPr>
              <w:pStyle w:val="Compact"/>
            </w:pPr>
            <w:r>
              <w:t xml:space="preserve">Eli Lilly</w:t>
            </w:r>
          </w:p>
        </w:tc>
        <w:tc>
          <w:tcPr/>
          <w:p>
            <w:pPr>
              <w:pStyle w:val="Compact"/>
            </w:pPr>
            <w:r>
              <w:t xml:space="preserve">Equity</w:t>
            </w:r>
          </w:p>
        </w:tc>
        <w:tc>
          <w:tcPr/>
          <w:p>
            <w:pPr>
              <w:pStyle w:val="Compact"/>
            </w:pPr>
            <w:r>
              <w:t xml:space="preserve">Defensive healthcare and drug-catalyst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Metal D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Commodity</w:t>
            </w:r>
          </w:p>
        </w:tc>
        <w:tc>
          <w:tcPr/>
          <w:p>
            <w:pPr>
              <w:pStyle w:val="Compact"/>
            </w:pPr>
            <w:r>
              <w:t xml:space="preserve">Safe-haven metal, real-yield, dollar, and war-risk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 E</w:t>
            </w:r>
          </w:p>
        </w:tc>
        <w:tc>
          <w:tcPr/>
          <w:p>
            <w:pPr>
              <w:pStyle w:val="Compact"/>
            </w:pPr>
            <w:r>
              <w:t xml:space="preserve">Crude oil, mainly WTI</w:t>
            </w:r>
          </w:p>
        </w:tc>
        <w:tc>
          <w:tcPr/>
          <w:p>
            <w:pPr>
              <w:pStyle w:val="Compact"/>
            </w:pPr>
            <w:r>
              <w:t xml:space="preserve">Commodity</w:t>
            </w:r>
          </w:p>
        </w:tc>
        <w:tc>
          <w:tcPr/>
          <w:p>
            <w:pPr>
              <w:pStyle w:val="Compact"/>
            </w:pPr>
            <w:r>
              <w:t xml:space="preserve">Oil supply, demand, storage, sanctions, and war-premium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Pair F</w:t>
            </w:r>
          </w:p>
        </w:tc>
        <w:tc>
          <w:tcPr/>
          <w:p>
            <w:pPr>
              <w:pStyle w:val="Compact"/>
            </w:pPr>
            <w:r>
              <w:t xml:space="preserve">EUR/USD</w:t>
            </w:r>
          </w:p>
        </w:tc>
        <w:tc>
          <w:tcPr/>
          <w:p>
            <w:pPr>
              <w:pStyle w:val="Compact"/>
            </w:pPr>
            <w:r>
              <w:t xml:space="preserve">FX</w:t>
            </w:r>
          </w:p>
        </w:tc>
        <w:tc>
          <w:tcPr/>
          <w:p>
            <w:pPr>
              <w:pStyle w:val="Compact"/>
            </w:pPr>
            <w:r>
              <w:t xml:space="preserve">Dollar cycle and rate-differential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Fear Gauge G</w:t>
            </w:r>
          </w:p>
        </w:tc>
        <w:tc>
          <w:tcPr/>
          <w:p>
            <w:pPr>
              <w:pStyle w:val="Compact"/>
            </w:pPr>
            <w:r>
              <w:t xml:space="preserve">VIX volatility index</w:t>
            </w:r>
          </w:p>
        </w:tc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Market stress indicator; visible but not directly tradable</w:t>
            </w:r>
          </w:p>
        </w:tc>
      </w:tr>
    </w:tbl>
    <w:p>
      <w:pPr>
        <w:pStyle w:val="BodyText"/>
      </w:pPr>
      <w:r>
        <w:t xml:space="preserve">The game prices are simplified quarterly proxy traces for 2018-2022. They are based on real historical direction and magnitude, but they are rounded for gameplay and are not exact official market closes.</w:t>
      </w:r>
    </w:p>
    <w:bookmarkEnd w:id="10"/>
    <w:bookmarkStart w:id="11" w:name="facilitator-notes"/>
    <w:p>
      <w:pPr>
        <w:pStyle w:val="Heading1"/>
      </w:pPr>
      <w:r>
        <w:t xml:space="preserve">Facilitator Notes</w:t>
      </w:r>
    </w:p>
    <w:p>
      <w:pPr>
        <w:pStyle w:val="Compact"/>
        <w:numPr>
          <w:ilvl w:val="0"/>
          <w:numId w:val="1001"/>
        </w:numPr>
      </w:pPr>
      <w:r>
        <w:t xml:space="preserve">Students should not be told the real-world mapping during the game unless the activity is designed as a debrief.</w:t>
      </w:r>
    </w:p>
    <w:p>
      <w:pPr>
        <w:pStyle w:val="Compact"/>
        <w:numPr>
          <w:ilvl w:val="0"/>
          <w:numId w:val="1001"/>
        </w:numPr>
      </w:pPr>
      <w:r>
        <w:t xml:space="preserve">Rumors are intentionally fictionalized. They are designed to create uncertainty and discussion, not to represent verified news.</w:t>
      </w:r>
    </w:p>
    <w:p>
      <w:pPr>
        <w:pStyle w:val="Compact"/>
        <w:numPr>
          <w:ilvl w:val="0"/>
          <w:numId w:val="1001"/>
        </w:numPr>
      </w:pPr>
      <w:r>
        <w:t xml:space="preserve">Some assets do not receive a news card every year. That is intentional; students should learn that incomplete information is part of decision-making.</w:t>
      </w:r>
    </w:p>
    <w:p>
      <w:pPr>
        <w:pStyle w:val="Compact"/>
        <w:numPr>
          <w:ilvl w:val="0"/>
          <w:numId w:val="1001"/>
        </w:numPr>
      </w:pPr>
      <w:r>
        <w:t xml:space="preserve">Fear Gauge G is an indicator. It can help teams interpret stress regimes but is not directly tradable.</w:t>
      </w:r>
    </w:p>
    <w:bookmarkEnd w:id="11"/>
    <w:bookmarkStart w:id="42" w:name="annual-news-summary"/>
    <w:p>
      <w:pPr>
        <w:pStyle w:val="Heading1"/>
      </w:pPr>
      <w:r>
        <w:t xml:space="preserve">Annual News Summary</w:t>
      </w:r>
    </w:p>
    <w:bookmarkStart w:id="17" w:name="section"/>
    <w:p>
      <w:pPr>
        <w:pStyle w:val="Heading2"/>
      </w:pPr>
      <w:r>
        <w:t xml:space="preserve">2018</w:t>
      </w:r>
    </w:p>
    <w:bookmarkStart w:id="12" w:name="stock-a"/>
    <w:p>
      <w:pPr>
        <w:pStyle w:val="Heading3"/>
      </w:pPr>
      <w:r>
        <w:t xml:space="preserve">Stock A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A privacy scandal and slower user growth hurt the social-platform proxy while the wider market sold off late in the year.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Regulators may force an expensive product redesign.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Growth quality is under question. Teams should think about regulatory risk, ad-model fragility, and whether the selloff creates value or signals deeper damage.</w:t>
      </w:r>
    </w:p>
    <w:bookmarkEnd w:id="12"/>
    <w:bookmarkStart w:id="13" w:name="stock-b"/>
    <w:p>
      <w:pPr>
        <w:pStyle w:val="Heading3"/>
      </w:pPr>
      <w:r>
        <w:t xml:space="preserve">Stock B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Energy-linked equities rallied with crude early, then weakened sharply as oversupply fears returned in Q4.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Management may be looking for a large acquisition.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The asset is exposed to both commodity price swings and corporate balance-sheet risk. A takeover or acquisition story can increase upside but also raises leverage concerns.</w:t>
      </w:r>
    </w:p>
    <w:bookmarkEnd w:id="13"/>
    <w:bookmarkStart w:id="14" w:name="stock-c"/>
    <w:p>
      <w:pPr>
        <w:pStyle w:val="Heading3"/>
      </w:pPr>
      <w:r>
        <w:t xml:space="preserve">Stock C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The healthcare proxy advanced steadily as its core drug franchises expanded.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Clinical-trial watchers think the pipeline is deeper than the market assumes.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This is a defensive compounder with potential catalyst upside. Teams should compare steady growth against richer valuation risk.</w:t>
      </w:r>
    </w:p>
    <w:bookmarkEnd w:id="14"/>
    <w:bookmarkStart w:id="15" w:name="metal-d"/>
    <w:p>
      <w:pPr>
        <w:pStyle w:val="Heading3"/>
      </w:pPr>
      <w:r>
        <w:t xml:space="preserve">Metal D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Higher rates and a stronger dollar pressured the safe-haven metal before a year-end rebound.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The late rebound may be only short covering.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Metal D is sensitive to real yields and dollar strength. It can protect portfolios during stress, but rallies may fade if macro pressure remains.</w:t>
      </w:r>
    </w:p>
    <w:bookmarkEnd w:id="15"/>
    <w:bookmarkStart w:id="16" w:name="energy-e"/>
    <w:p>
      <w:pPr>
        <w:pStyle w:val="Heading3"/>
      </w:pPr>
      <w:r>
        <w:t xml:space="preserve">Energy E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Supply concerns pushed energy higher before Q4 oversupply fears caused a sharp reversal.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Inventories may be building faster than headlines suggest.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Energy E can reverse quickly when the market shifts from shortage fear to surplus fear. Inventory data matters.</w:t>
      </w:r>
    </w:p>
    <w:bookmarkEnd w:id="16"/>
    <w:bookmarkEnd w:id="17"/>
    <w:bookmarkStart w:id="23" w:name="section-1"/>
    <w:p>
      <w:pPr>
        <w:pStyle w:val="Heading2"/>
      </w:pPr>
      <w:r>
        <w:t xml:space="preserve">2019</w:t>
      </w:r>
    </w:p>
    <w:bookmarkStart w:id="18" w:name="stock-a-1"/>
    <w:p>
      <w:pPr>
        <w:pStyle w:val="Heading3"/>
      </w:pPr>
      <w:r>
        <w:t xml:space="preserve">Stock A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The social-platform proxy recovered as advertising demand stabilized despite recurring political pressure.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Product-growth data may be improving in smaller markets.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The prior-year damage may have been overdone if engagement and ad demand recover. Political risk remains a valuation drag.</w:t>
      </w:r>
    </w:p>
    <w:bookmarkEnd w:id="18"/>
    <w:bookmarkStart w:id="19" w:name="stock-b-1"/>
    <w:p>
      <w:pPr>
        <w:pStyle w:val="Heading3"/>
      </w:pPr>
      <w:r>
        <w:t xml:space="preserve">Stock B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A debt-heavy acquisition plan damaged confidence in the energy proxy.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Credit desks think the dividend may become harder to defend.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The key risk is leverage. Even if energy prices hold up, debt, dividends, and acquisition integration can dominate returns.</w:t>
      </w:r>
    </w:p>
    <w:bookmarkEnd w:id="19"/>
    <w:bookmarkStart w:id="20" w:name="stock-c-1"/>
    <w:p>
      <w:pPr>
        <w:pStyle w:val="Heading3"/>
      </w:pPr>
      <w:r>
        <w:t xml:space="preserve">Stock C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The healthcare proxy absorbed political drug-pricing pressure while buying a precision-medicine asset.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Specialists think the acquisition may be strategically cheap if trials convert.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Policy risk competes with pipeline optionality. Teams should decide whether innovation can offset pricing pressure.</w:t>
      </w:r>
    </w:p>
    <w:bookmarkEnd w:id="20"/>
    <w:bookmarkStart w:id="21" w:name="metal-d-1"/>
    <w:p>
      <w:pPr>
        <w:pStyle w:val="Heading3"/>
      </w:pPr>
      <w:r>
        <w:t xml:space="preserve">Metal D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Central-bank easing and trade-war uncertainty supported a strong metal rally.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Real-money funds may be rebuilding safe-haven allocations.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Falling rates and uncertainty can support Metal D. Momentum may persist if macro fear and easier policy continue.</w:t>
      </w:r>
    </w:p>
    <w:bookmarkEnd w:id="21"/>
    <w:bookmarkStart w:id="22" w:name="fx-pair-f"/>
    <w:p>
      <w:pPr>
        <w:pStyle w:val="Heading3"/>
      </w:pPr>
      <w:r>
        <w:t xml:space="preserve">FX Pair F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Rate cuts and trade-war uncertainty pulled the currency pair through a choppy range.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Macro traders are fading relief rallies until trade language changes.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FX Pair F is a macro confidence trade. Teams should watch relative central-bank policy and trade headlines.</w:t>
      </w:r>
    </w:p>
    <w:bookmarkEnd w:id="22"/>
    <w:bookmarkEnd w:id="23"/>
    <w:bookmarkStart w:id="29" w:name="section-2"/>
    <w:p>
      <w:pPr>
        <w:pStyle w:val="Heading2"/>
      </w:pPr>
      <w:r>
        <w:t xml:space="preserve">2020</w:t>
      </w:r>
    </w:p>
    <w:bookmarkStart w:id="24" w:name="stock-a-2"/>
    <w:p>
      <w:pPr>
        <w:pStyle w:val="Heading3"/>
      </w:pPr>
      <w:r>
        <w:t xml:space="preserve">Stock A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The platform proxy fell in the COVID crash but rebounded with online advertising and e-commerce demand.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Lockdown engagement may have spiked sharply.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Initial panic may create opportunity if digital behavior accelerates. Teams should separate temporary ad weakness from structural engagement gains.</w:t>
      </w:r>
    </w:p>
    <w:bookmarkEnd w:id="24"/>
    <w:bookmarkStart w:id="25" w:name="stock-b-2"/>
    <w:p>
      <w:pPr>
        <w:pStyle w:val="Heading3"/>
      </w:pPr>
      <w:r>
        <w:t xml:space="preserve">Stock B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The energy proxy nearly broke under COVID demand destruction, negative oil, and acquisition debt.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Lenders may demand asset sales.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This is a stress scenario. The asset may have high rebound potential, but survival and liquidity risk are central.</w:t>
      </w:r>
    </w:p>
    <w:bookmarkEnd w:id="25"/>
    <w:bookmarkStart w:id="26" w:name="stock-c-2"/>
    <w:p>
      <w:pPr>
        <w:pStyle w:val="Heading3"/>
      </w:pPr>
      <w:r>
        <w:t xml:space="preserve">Stock C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The healthcare proxy behaved defensively and gained attention from an emergency-use treatment.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One late-stage readout could change the growth story.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Defensive earnings plus medical catalysts can be valuable in a crisis. Teams should still evaluate trial uncertainty.</w:t>
      </w:r>
    </w:p>
    <w:bookmarkEnd w:id="26"/>
    <w:bookmarkStart w:id="27" w:name="metal-d-2"/>
    <w:p>
      <w:pPr>
        <w:pStyle w:val="Heading3"/>
      </w:pPr>
      <w:r>
        <w:t xml:space="preserve">Metal D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Safe-haven metal briefly sold off for cash, then surged on stimulus and risk hedging.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Macro investors are buying metal as a stimulus hedge.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In liquidity shocks, even safe havens can fall first. After policy support arrives, inflation and risk hedges can rally.</w:t>
      </w:r>
    </w:p>
    <w:bookmarkEnd w:id="27"/>
    <w:bookmarkStart w:id="28" w:name="energy-e-1"/>
    <w:p>
      <w:pPr>
        <w:pStyle w:val="Heading3"/>
      </w:pPr>
      <w:r>
        <w:t xml:space="preserve">Energy E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Energy collapsed as demand disappeared and storage filled, then recovered after supply cuts.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Physical storage constraints may be worse than screen prices imply.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Physical-market mechanics matter. Storage, demand destruction, and supply cuts can create extreme price moves.</w:t>
      </w:r>
    </w:p>
    <w:bookmarkEnd w:id="28"/>
    <w:bookmarkEnd w:id="29"/>
    <w:bookmarkStart w:id="35" w:name="section-3"/>
    <w:p>
      <w:pPr>
        <w:pStyle w:val="Heading2"/>
      </w:pPr>
      <w:r>
        <w:t xml:space="preserve">2021</w:t>
      </w:r>
    </w:p>
    <w:bookmarkStart w:id="30" w:name="stock-a-3"/>
    <w:p>
      <w:pPr>
        <w:pStyle w:val="Heading3"/>
      </w:pPr>
      <w:r>
        <w:t xml:space="preserve">Stock A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The platform proxy reached a high before growth and identity-shift concerns appeared.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A major rebrand could distract management.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Momentum is strong, but strategic pivots can create execution risk. Teams should ask whether growth is peaking.</w:t>
      </w:r>
    </w:p>
    <w:bookmarkEnd w:id="30"/>
    <w:bookmarkStart w:id="31" w:name="stock-b-3"/>
    <w:p>
      <w:pPr>
        <w:pStyle w:val="Heading3"/>
      </w:pPr>
      <w:r>
        <w:t xml:space="preserve">Stock B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The energy proxy improved as reopening demand lifted crude.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Value investors are quietly revisiting the balance-sheet story.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Reopening can repair distressed energy names quickly. The best returns may come when leverage risk starts to decline.</w:t>
      </w:r>
    </w:p>
    <w:bookmarkEnd w:id="31"/>
    <w:bookmarkStart w:id="32" w:name="stock-c-3"/>
    <w:p>
      <w:pPr>
        <w:pStyle w:val="Heading3"/>
      </w:pPr>
      <w:r>
        <w:t xml:space="preserve">Stock C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Two major drug narratives lifted the healthcare proxy despite a risk-on market.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Specialist doctors are discussing unusually strong trial data.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Product-specific catalysts can outperform macro style rotations. Teams should weigh catalyst strength against already-rising prices.</w:t>
      </w:r>
    </w:p>
    <w:bookmarkEnd w:id="32"/>
    <w:bookmarkStart w:id="33" w:name="fear-gauge-g"/>
    <w:p>
      <w:pPr>
        <w:pStyle w:val="Heading3"/>
      </w:pPr>
      <w:r>
        <w:t xml:space="preserve">Fear Gauge G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Volatility faded from 2020 extremes but spiked around meme-stock and variant shocks.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Retail call volume may be distorting risk readings.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Lower average volatility does not mean low event risk. Fear Gauge G helps teams identify stress pockets.</w:t>
      </w:r>
    </w:p>
    <w:bookmarkEnd w:id="33"/>
    <w:bookmarkStart w:id="34" w:name="fx-pair-f-1"/>
    <w:p>
      <w:pPr>
        <w:pStyle w:val="Heading3"/>
      </w:pPr>
      <w:r>
        <w:t xml:space="preserve">FX Pair F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The currency pair weakened gradually as rate expectations diverged.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Macro funds are positioning for a stronger dollar cycle.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Relative policy expectations can drive FX trends. Teams should watch whether the market is pricing earlier or faster rate hikes.</w:t>
      </w:r>
    </w:p>
    <w:bookmarkEnd w:id="34"/>
    <w:bookmarkEnd w:id="35"/>
    <w:bookmarkStart w:id="41" w:name="section-4"/>
    <w:p>
      <w:pPr>
        <w:pStyle w:val="Heading2"/>
      </w:pPr>
      <w:r>
        <w:t xml:space="preserve">2022</w:t>
      </w:r>
    </w:p>
    <w:bookmarkStart w:id="36" w:name="stock-a-4"/>
    <w:p>
      <w:pPr>
        <w:pStyle w:val="Heading3"/>
      </w:pPr>
      <w:r>
        <w:t xml:space="preserve">Stock A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The platform proxy collapsed under privacy changes, slowing users, heavy investment, and higher rates.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Ad buyers say measurement issues may be worse than management admits.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Multiple compression and business-model concerns can reinforce each other. Teams should be careful with averaging down purely because the price has fallen.</w:t>
      </w:r>
    </w:p>
    <w:bookmarkEnd w:id="36"/>
    <w:bookmarkStart w:id="37" w:name="stock-b-4"/>
    <w:p>
      <w:pPr>
        <w:pStyle w:val="Heading3"/>
      </w:pPr>
      <w:r>
        <w:t xml:space="preserve">Stock B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The energy proxy became a standout winner as war-risk premiums and investor accumulation lifted sentiment.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A famous capital allocator may still be buying dips.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Energy equities can outperform dramatically when commodity prices, capital discipline, and investor sponsorship align.</w:t>
      </w:r>
    </w:p>
    <w:bookmarkEnd w:id="37"/>
    <w:bookmarkStart w:id="38" w:name="stock-c-4"/>
    <w:p>
      <w:pPr>
        <w:pStyle w:val="Heading3"/>
      </w:pPr>
      <w:r>
        <w:t xml:space="preserve">Stock C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The healthcare proxy rose against the bear market on obesity-treatment expectations.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Channel checks suggest demand could exceed production capacity.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Strong product-demand narratives can create defensive growth. Supply capacity may become as important as demand.</w:t>
      </w:r>
    </w:p>
    <w:bookmarkEnd w:id="38"/>
    <w:bookmarkStart w:id="39" w:name="metal-d-3"/>
    <w:p>
      <w:pPr>
        <w:pStyle w:val="Heading3"/>
      </w:pPr>
      <w:r>
        <w:t xml:space="preserve">Metal D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Metal spiked on war risk, then fell under aggressive rate hikes and dollar strength before recovering.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Gold desks say the move may be a round trip, not a clean trend.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War risk can lift safe havens, but higher real rates and dollar strength can overpower the trade.</w:t>
      </w:r>
    </w:p>
    <w:bookmarkEnd w:id="39"/>
    <w:bookmarkStart w:id="40" w:name="energy-e-2"/>
    <w:p>
      <w:pPr>
        <w:pStyle w:val="Heading3"/>
      </w:pPr>
      <w:r>
        <w:t xml:space="preserve">Energy E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Energy jumped after war began, then faded as recession risk and dollar strength weighed.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Headline prices may hide sharp regional stress.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Energy can rally on geopolitical shock but later fade if demand concerns rise. Teams should distinguish spot panic from sustained trend.</w:t>
      </w:r>
    </w:p>
    <w:bookmarkEnd w:id="40"/>
    <w:bookmarkEnd w:id="41"/>
    <w:bookmarkEnd w:id="42"/>
    <w:bookmarkStart w:id="43" w:name="discussion-prompts"/>
    <w:p>
      <w:pPr>
        <w:pStyle w:val="Heading1"/>
      </w:pPr>
      <w:r>
        <w:t xml:space="preserve">Discussion Prompts</w:t>
      </w:r>
    </w:p>
    <w:p>
      <w:pPr>
        <w:pStyle w:val="Compact"/>
        <w:numPr>
          <w:ilvl w:val="0"/>
          <w:numId w:val="1002"/>
        </w:numPr>
      </w:pPr>
      <w:r>
        <w:t xml:space="preserve">Which assets are mostly macro-driven, and which are mostly company- or product-driven?</w:t>
      </w:r>
    </w:p>
    <w:p>
      <w:pPr>
        <w:pStyle w:val="Compact"/>
        <w:numPr>
          <w:ilvl w:val="0"/>
          <w:numId w:val="1002"/>
        </w:numPr>
      </w:pPr>
      <w:r>
        <w:t xml:space="preserve">Which rumor would you trust least, and why?</w:t>
      </w:r>
    </w:p>
    <w:p>
      <w:pPr>
        <w:pStyle w:val="Compact"/>
        <w:numPr>
          <w:ilvl w:val="0"/>
          <w:numId w:val="1002"/>
        </w:numPr>
      </w:pPr>
      <w:r>
        <w:t xml:space="preserve">How would a team hedge a portfolio that is heavily exposed to Stock B and Energy E?</w:t>
      </w:r>
    </w:p>
    <w:p>
      <w:pPr>
        <w:pStyle w:val="Compact"/>
        <w:numPr>
          <w:ilvl w:val="0"/>
          <w:numId w:val="1002"/>
        </w:numPr>
      </w:pPr>
      <w:r>
        <w:t xml:space="preserve">When does Fear Gauge G provide useful information even though it is not tradable?</w:t>
      </w:r>
    </w:p>
    <w:p>
      <w:pPr>
        <w:pStyle w:val="Compact"/>
        <w:numPr>
          <w:ilvl w:val="0"/>
          <w:numId w:val="1002"/>
        </w:numPr>
      </w:pPr>
      <w:r>
        <w:t xml:space="preserve">Which year rewards contrarian buying, and which year punishes it?</w:t>
      </w:r>
    </w:p>
    <w:bookmarkEnd w:id="43"/>
    <w:bookmarkStart w:id="44" w:name="student-facing-rule-reminder"/>
    <w:p>
      <w:pPr>
        <w:pStyle w:val="Heading1"/>
      </w:pPr>
      <w:r>
        <w:t xml:space="preserve">Student-Facing Rule Reminder</w:t>
      </w:r>
    </w:p>
    <w:p>
      <w:pPr>
        <w:pStyle w:val="FirstParagraph"/>
      </w:pPr>
      <w:r>
        <w:t xml:space="preserve">The game should present fake names only. The facilitator can use the real mapping during setup, calibration, or debrief, but revealing it during gameplay can make the exercise too easy.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 Development Trading Game: Fake Asset News Summary</dc:title>
  <dc:creator/>
  <cp:keywords/>
  <dcterms:created xsi:type="dcterms:W3CDTF">2026-07-09T13:41:17Z</dcterms:created>
  <dcterms:modified xsi:type="dcterms:W3CDTF">2026-07-09T13:41:17Z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2026-07-09</vt:lpwstr>
  </property>
  <property fmtid="{D5CDD505-2E9C-101B-9397-08002B2CF9AE}" pid="3" name="subtitle">
    <vt:lpwstr>2018-2022 training notes</vt:lpwstr>
  </property>
</Properties>
</file>