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Ind w:w="0" w:type="dxa"/>
        <w:tblLook w:val="04A0" w:firstRow="1" w:lastRow="0" w:firstColumn="1" w:lastColumn="0" w:noHBand="0" w:noVBand="1"/>
      </w:tblPr>
      <w:tblGrid>
        <w:gridCol w:w="9072"/>
      </w:tblGrid>
      <w:tr w:rsidR="00723240" w:rsidRPr="001C5354" w14:paraId="76D97826" w14:textId="77777777" w:rsidTr="00E54BC2">
        <w:trPr>
          <w:trHeight w:val="252"/>
        </w:trPr>
        <w:tc>
          <w:tcPr>
            <w:tcW w:w="9072" w:type="dxa"/>
            <w:tcBorders>
              <w:top w:val="nil"/>
              <w:left w:val="nil"/>
              <w:bottom w:val="nil"/>
              <w:right w:val="nil"/>
            </w:tcBorders>
          </w:tcPr>
          <w:p w14:paraId="48A22776" w14:textId="77777777" w:rsidR="00723240" w:rsidRDefault="00723240" w:rsidP="00E54BC2">
            <w:pPr>
              <w:ind w:right="-3004"/>
              <w:jc w:val="both"/>
            </w:pPr>
            <w:r>
              <w:rPr>
                <w:noProof/>
              </w:rPr>
              <w:drawing>
                <wp:anchor distT="0" distB="0" distL="114300" distR="114300" simplePos="0" relativeHeight="251659264" behindDoc="0" locked="0" layoutInCell="1" allowOverlap="1" wp14:anchorId="707EA973" wp14:editId="463782A2">
                  <wp:simplePos x="0" y="0"/>
                  <wp:positionH relativeFrom="column">
                    <wp:posOffset>23072</wp:posOffset>
                  </wp:positionH>
                  <wp:positionV relativeFrom="paragraph">
                    <wp:posOffset>212</wp:posOffset>
                  </wp:positionV>
                  <wp:extent cx="2461272" cy="1149759"/>
                  <wp:effectExtent l="0" t="0" r="2540" b="6350"/>
                  <wp:wrapThrough wrapText="bothSides">
                    <wp:wrapPolygon edited="0">
                      <wp:start x="0" y="0"/>
                      <wp:lineTo x="0" y="21481"/>
                      <wp:lineTo x="21511" y="21481"/>
                      <wp:lineTo x="21511" y="0"/>
                      <wp:lineTo x="0" y="0"/>
                    </wp:wrapPolygon>
                  </wp:wrapThrough>
                  <wp:docPr id="1" name="Image 1" descr="L'Université de Rennes a un nouveau logo inspiré 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iversité de Rennes a un nouveau logo inspiré d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358" cy="115306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FD0C1CC" w14:textId="77777777" w:rsidR="00723240" w:rsidRDefault="00723240" w:rsidP="00E54BC2">
            <w:pPr>
              <w:ind w:right="-3004"/>
              <w:jc w:val="both"/>
            </w:pPr>
          </w:p>
          <w:p w14:paraId="56A7601D" w14:textId="77777777" w:rsidR="00723240" w:rsidRDefault="00723240" w:rsidP="00E54BC2">
            <w:pPr>
              <w:ind w:right="-3004"/>
              <w:jc w:val="both"/>
            </w:pPr>
          </w:p>
          <w:p w14:paraId="6E1F0A6E" w14:textId="77777777" w:rsidR="00723240" w:rsidRDefault="00723240" w:rsidP="00E54BC2">
            <w:pPr>
              <w:ind w:right="-3004"/>
              <w:jc w:val="both"/>
            </w:pPr>
            <w:r>
              <w:t xml:space="preserve">                       </w:t>
            </w:r>
            <w:r w:rsidRPr="006A6C7A">
              <w:rPr>
                <w:noProof/>
              </w:rPr>
              <w:drawing>
                <wp:inline distT="0" distB="0" distL="0" distR="0" wp14:anchorId="5A9B6362" wp14:editId="16407AF9">
                  <wp:extent cx="2478741" cy="533400"/>
                  <wp:effectExtent l="0" t="0" r="0" b="0"/>
                  <wp:docPr id="3" name="Image 3" descr="Une image contenant Police, text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texte, blanc, typographie&#10;&#10;Description générée automatiquement"/>
                          <pic:cNvPicPr/>
                        </pic:nvPicPr>
                        <pic:blipFill>
                          <a:blip r:embed="rId7"/>
                          <a:stretch>
                            <a:fillRect/>
                          </a:stretch>
                        </pic:blipFill>
                        <pic:spPr>
                          <a:xfrm>
                            <a:off x="0" y="0"/>
                            <a:ext cx="2572684" cy="553616"/>
                          </a:xfrm>
                          <a:prstGeom prst="rect">
                            <a:avLst/>
                          </a:prstGeom>
                        </pic:spPr>
                      </pic:pic>
                    </a:graphicData>
                  </a:graphic>
                </wp:inline>
              </w:drawing>
            </w:r>
            <w:r>
              <w:t xml:space="preserve">                  </w:t>
            </w:r>
            <w:r>
              <w:fldChar w:fldCharType="begin"/>
            </w:r>
            <w:r>
              <w:instrText xml:space="preserve"> INCLUDEPICTURE "https://media.ouest-france.fr/v1/pictures/MjAyMzAxZjNmYzUwMjMwOTBkOWU0MmI5MzFlOWNlYzllZmQ3ZDM?width=375&amp;focuspoint=50%2C25&amp;cropresize=1&amp;client_id=bpeditorial&amp;sign=bebbc244061d746665f9bb8d825f58a309591b4fb999cd756b83e7c9270ee870" \* MERGEFORMATINET </w:instrText>
            </w:r>
            <w:r w:rsidR="00000000">
              <w:fldChar w:fldCharType="separate"/>
            </w:r>
            <w:r>
              <w:fldChar w:fldCharType="end"/>
            </w:r>
          </w:p>
          <w:p w14:paraId="37E00C42" w14:textId="77777777" w:rsidR="00723240" w:rsidRDefault="00723240" w:rsidP="00E54BC2">
            <w:pPr>
              <w:spacing w:after="120" w:line="259" w:lineRule="auto"/>
              <w:jc w:val="both"/>
              <w:rPr>
                <w:rFonts w:cstheme="minorHAnsi"/>
                <w:szCs w:val="24"/>
              </w:rPr>
            </w:pPr>
          </w:p>
          <w:p w14:paraId="294301D7" w14:textId="77777777" w:rsidR="00723240" w:rsidRDefault="00723240" w:rsidP="00E54BC2">
            <w:pPr>
              <w:spacing w:after="120" w:line="259" w:lineRule="auto"/>
              <w:jc w:val="both"/>
              <w:rPr>
                <w:rFonts w:cstheme="minorHAnsi"/>
                <w:szCs w:val="24"/>
              </w:rPr>
            </w:pPr>
          </w:p>
          <w:p w14:paraId="0AAA61FC" w14:textId="77777777" w:rsidR="00723240" w:rsidRDefault="00723240" w:rsidP="00E54BC2">
            <w:pPr>
              <w:spacing w:after="120" w:line="259" w:lineRule="auto"/>
              <w:jc w:val="both"/>
              <w:rPr>
                <w:rFonts w:cstheme="minorHAnsi"/>
                <w:szCs w:val="24"/>
              </w:rPr>
            </w:pPr>
          </w:p>
          <w:p w14:paraId="457DC1F6" w14:textId="77777777" w:rsidR="00723240" w:rsidRDefault="00723240" w:rsidP="00E54BC2">
            <w:pPr>
              <w:spacing w:after="120" w:line="259" w:lineRule="auto"/>
              <w:jc w:val="both"/>
              <w:rPr>
                <w:rFonts w:cstheme="minorHAnsi"/>
                <w:szCs w:val="24"/>
              </w:rPr>
            </w:pPr>
            <w:r>
              <w:rPr>
                <w:rFonts w:cstheme="minorHAnsi"/>
                <w:szCs w:val="24"/>
              </w:rPr>
              <w:t xml:space="preserve">                                      </w:t>
            </w:r>
          </w:p>
          <w:p w14:paraId="41124340" w14:textId="77777777" w:rsidR="00723240" w:rsidRDefault="00723240" w:rsidP="00E54BC2">
            <w:pPr>
              <w:spacing w:after="120" w:line="259" w:lineRule="auto"/>
              <w:jc w:val="both"/>
              <w:rPr>
                <w:rFonts w:cstheme="minorHAnsi"/>
                <w:sz w:val="44"/>
                <w:szCs w:val="44"/>
              </w:rPr>
            </w:pPr>
          </w:p>
          <w:p w14:paraId="74AAB56E" w14:textId="24BEBC54" w:rsidR="00723240" w:rsidRPr="00680841" w:rsidRDefault="004835C8" w:rsidP="00E54BC2">
            <w:pPr>
              <w:spacing w:after="120" w:line="259" w:lineRule="auto"/>
              <w:jc w:val="center"/>
              <w:rPr>
                <w:rFonts w:ascii="Times New Roman" w:hAnsi="Times New Roman" w:cs="Times New Roman"/>
                <w:sz w:val="44"/>
                <w:szCs w:val="44"/>
              </w:rPr>
            </w:pPr>
            <w:r w:rsidRPr="00680841">
              <w:rPr>
                <w:rFonts w:ascii="Times New Roman" w:hAnsi="Times New Roman" w:cs="Times New Roman"/>
                <w:sz w:val="44"/>
                <w:szCs w:val="44"/>
              </w:rPr>
              <w:t xml:space="preserve">Le </w:t>
            </w:r>
            <w:r w:rsidR="00287961" w:rsidRPr="00680841">
              <w:rPr>
                <w:rFonts w:ascii="Times New Roman" w:hAnsi="Times New Roman" w:cs="Times New Roman"/>
                <w:sz w:val="44"/>
                <w:szCs w:val="44"/>
              </w:rPr>
              <w:t>bien-être</w:t>
            </w:r>
            <w:r w:rsidRPr="00680841">
              <w:rPr>
                <w:rFonts w:ascii="Times New Roman" w:hAnsi="Times New Roman" w:cs="Times New Roman"/>
                <w:sz w:val="44"/>
                <w:szCs w:val="44"/>
              </w:rPr>
              <w:t xml:space="preserve"> économique des Français</w:t>
            </w:r>
          </w:p>
          <w:p w14:paraId="7F50A33B" w14:textId="4ECFC39A" w:rsidR="00723240" w:rsidRPr="006E3D93" w:rsidRDefault="002E2386" w:rsidP="002E2386">
            <w:pPr>
              <w:spacing w:after="120" w:line="259" w:lineRule="auto"/>
              <w:jc w:val="center"/>
              <w:rPr>
                <w:rFonts w:cstheme="minorHAnsi"/>
                <w:sz w:val="44"/>
                <w:szCs w:val="44"/>
              </w:rPr>
            </w:pPr>
            <w:r>
              <w:rPr>
                <w:noProof/>
              </w:rPr>
              <w:drawing>
                <wp:inline distT="0" distB="0" distL="0" distR="0" wp14:anchorId="5C4D9B3A" wp14:editId="148ABB26">
                  <wp:extent cx="4497797" cy="2992582"/>
                  <wp:effectExtent l="0" t="0" r="0" b="0"/>
                  <wp:docPr id="1381753730" name="Image 2" descr="Vecteurs et illustrations de Homme affaire en téléchargement gratuit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eurs et illustrations de Homme affaire en téléchargement gratuit |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363" cy="3018242"/>
                          </a:xfrm>
                          <a:prstGeom prst="rect">
                            <a:avLst/>
                          </a:prstGeom>
                          <a:noFill/>
                          <a:ln>
                            <a:noFill/>
                          </a:ln>
                        </pic:spPr>
                      </pic:pic>
                    </a:graphicData>
                  </a:graphic>
                </wp:inline>
              </w:drawing>
            </w:r>
          </w:p>
          <w:p w14:paraId="69A7CB91" w14:textId="77777777" w:rsidR="002E2386" w:rsidRDefault="002E2386" w:rsidP="00E54BC2">
            <w:pPr>
              <w:spacing w:after="120" w:line="259" w:lineRule="auto"/>
              <w:jc w:val="both"/>
              <w:rPr>
                <w:rFonts w:cstheme="minorHAnsi"/>
                <w:szCs w:val="24"/>
              </w:rPr>
            </w:pPr>
          </w:p>
          <w:p w14:paraId="65FA8175" w14:textId="77777777" w:rsidR="002E2386" w:rsidRDefault="002E2386" w:rsidP="00E54BC2">
            <w:pPr>
              <w:spacing w:after="120" w:line="259" w:lineRule="auto"/>
              <w:jc w:val="both"/>
              <w:rPr>
                <w:rFonts w:cstheme="minorHAnsi"/>
                <w:szCs w:val="24"/>
              </w:rPr>
            </w:pPr>
          </w:p>
          <w:p w14:paraId="15F0C2D4" w14:textId="77777777" w:rsidR="002E2386" w:rsidRDefault="002E2386" w:rsidP="00E54BC2">
            <w:pPr>
              <w:spacing w:after="120" w:line="259" w:lineRule="auto"/>
              <w:jc w:val="both"/>
              <w:rPr>
                <w:rFonts w:cstheme="minorHAnsi"/>
                <w:szCs w:val="24"/>
              </w:rPr>
            </w:pPr>
          </w:p>
          <w:p w14:paraId="08B0848B" w14:textId="77777777" w:rsidR="00E93D05" w:rsidRPr="001C5354" w:rsidRDefault="00E93D05" w:rsidP="00E54BC2">
            <w:pPr>
              <w:spacing w:after="120" w:line="259" w:lineRule="auto"/>
              <w:jc w:val="both"/>
              <w:rPr>
                <w:rFonts w:cstheme="minorHAnsi"/>
                <w:szCs w:val="24"/>
              </w:rPr>
            </w:pPr>
          </w:p>
        </w:tc>
      </w:tr>
      <w:tr w:rsidR="00723240" w:rsidRPr="001C5354" w14:paraId="3DA4A5EF" w14:textId="77777777" w:rsidTr="00E54BC2">
        <w:trPr>
          <w:trHeight w:val="2460"/>
        </w:trPr>
        <w:tc>
          <w:tcPr>
            <w:tcW w:w="9072" w:type="dxa"/>
            <w:tcBorders>
              <w:top w:val="nil"/>
              <w:left w:val="nil"/>
              <w:bottom w:val="nil"/>
              <w:right w:val="nil"/>
            </w:tcBorders>
          </w:tcPr>
          <w:p w14:paraId="0FE337BA" w14:textId="262E1E56" w:rsidR="00723240" w:rsidRPr="00680841" w:rsidRDefault="00E263FB" w:rsidP="00E54BC2">
            <w:pPr>
              <w:jc w:val="both"/>
              <w:rPr>
                <w:rFonts w:ascii="Times New Roman" w:hAnsi="Times New Roman" w:cs="Times New Roman"/>
                <w:sz w:val="28"/>
                <w:szCs w:val="28"/>
              </w:rPr>
            </w:pPr>
            <w:r>
              <w:rPr>
                <w:rFonts w:ascii="Times New Roman" w:hAnsi="Times New Roman" w:cs="Times New Roman"/>
                <w:sz w:val="28"/>
                <w:szCs w:val="28"/>
              </w:rPr>
              <w:t>RAULT MAISONNEUVE</w:t>
            </w:r>
            <w:r w:rsidR="004835C8" w:rsidRPr="00680841">
              <w:rPr>
                <w:rFonts w:ascii="Times New Roman" w:hAnsi="Times New Roman" w:cs="Times New Roman"/>
                <w:sz w:val="28"/>
                <w:szCs w:val="28"/>
              </w:rPr>
              <w:t xml:space="preserve"> Elliot</w:t>
            </w:r>
          </w:p>
          <w:p w14:paraId="1ADDA008" w14:textId="77777777" w:rsidR="00723240" w:rsidRPr="00680841"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 xml:space="preserve">Université de Rennes </w:t>
            </w:r>
          </w:p>
          <w:p w14:paraId="435114FE" w14:textId="77777777" w:rsidR="00723240" w:rsidRPr="00680841"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Faculté des Sciences Économiques</w:t>
            </w:r>
          </w:p>
          <w:p w14:paraId="189F360F" w14:textId="77777777" w:rsidR="00723240" w:rsidRPr="00680841"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Magistère de Statistiques et Modélisation Économique</w:t>
            </w:r>
          </w:p>
          <w:p w14:paraId="2EE99280" w14:textId="77777777" w:rsidR="00723240" w:rsidRPr="00680841"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Première année</w:t>
            </w:r>
          </w:p>
          <w:p w14:paraId="51A6030E" w14:textId="183231D6" w:rsidR="00723240" w:rsidRPr="00680841"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 xml:space="preserve">Promotion </w:t>
            </w:r>
            <w:r w:rsidR="004835C8" w:rsidRPr="00680841">
              <w:rPr>
                <w:rFonts w:ascii="Times New Roman" w:hAnsi="Times New Roman" w:cs="Times New Roman"/>
                <w:sz w:val="28"/>
                <w:szCs w:val="28"/>
              </w:rPr>
              <w:t>2023/2024</w:t>
            </w:r>
          </w:p>
          <w:p w14:paraId="4C900F7A" w14:textId="5259AE66" w:rsidR="00723240" w:rsidRDefault="00723240" w:rsidP="00E54BC2">
            <w:pPr>
              <w:jc w:val="both"/>
              <w:rPr>
                <w:rFonts w:ascii="Times New Roman" w:hAnsi="Times New Roman" w:cs="Times New Roman"/>
                <w:sz w:val="28"/>
                <w:szCs w:val="28"/>
              </w:rPr>
            </w:pPr>
            <w:r w:rsidRPr="00680841">
              <w:rPr>
                <w:rFonts w:ascii="Times New Roman" w:hAnsi="Times New Roman" w:cs="Times New Roman"/>
                <w:sz w:val="28"/>
                <w:szCs w:val="28"/>
              </w:rPr>
              <w:t xml:space="preserve">Encadrement : </w:t>
            </w:r>
            <w:r w:rsidR="00E263FB">
              <w:rPr>
                <w:rFonts w:ascii="Times New Roman" w:hAnsi="Times New Roman" w:cs="Times New Roman"/>
                <w:sz w:val="28"/>
                <w:szCs w:val="28"/>
              </w:rPr>
              <w:t>THELEN Véronique</w:t>
            </w:r>
          </w:p>
          <w:p w14:paraId="0E8FCC7E" w14:textId="293A50D6" w:rsidR="00E93D05" w:rsidRPr="002E2386" w:rsidRDefault="00E93D05" w:rsidP="00E54BC2">
            <w:pPr>
              <w:jc w:val="both"/>
              <w:rPr>
                <w:rFonts w:cstheme="minorHAnsi"/>
                <w:sz w:val="28"/>
                <w:szCs w:val="28"/>
              </w:rPr>
            </w:pPr>
          </w:p>
        </w:tc>
      </w:tr>
    </w:tbl>
    <w:sdt>
      <w:sdtPr>
        <w:rPr>
          <w:rFonts w:asciiTheme="minorHAnsi" w:eastAsiaTheme="minorHAnsi" w:hAnsiTheme="minorHAnsi" w:cstheme="minorBidi"/>
          <w:color w:val="auto"/>
          <w:kern w:val="2"/>
          <w:sz w:val="24"/>
          <w:szCs w:val="24"/>
          <w:lang w:eastAsia="en-US"/>
          <w14:ligatures w14:val="standardContextual"/>
        </w:rPr>
        <w:id w:val="-2135083073"/>
        <w:docPartObj>
          <w:docPartGallery w:val="Table of Contents"/>
          <w:docPartUnique/>
        </w:docPartObj>
      </w:sdtPr>
      <w:sdtEndPr>
        <w:rPr>
          <w:rFonts w:ascii="Times New Roman" w:hAnsi="Times New Roman" w:cs="Times New Roman"/>
          <w:b/>
          <w:bCs/>
        </w:rPr>
      </w:sdtEndPr>
      <w:sdtContent>
        <w:p w14:paraId="7D82414C" w14:textId="4BEFDE10" w:rsidR="00EE0674" w:rsidRDefault="00EE0674">
          <w:pPr>
            <w:pStyle w:val="En-ttedetabledesmatires"/>
            <w:rPr>
              <w:sz w:val="48"/>
              <w:szCs w:val="48"/>
            </w:rPr>
          </w:pPr>
          <w:r w:rsidRPr="00142345">
            <w:rPr>
              <w:sz w:val="48"/>
              <w:szCs w:val="48"/>
            </w:rPr>
            <w:t>Table des matières</w:t>
          </w:r>
          <w:r w:rsidR="00D02D80">
            <w:rPr>
              <w:sz w:val="48"/>
              <w:szCs w:val="48"/>
            </w:rPr>
            <w:t> :</w:t>
          </w:r>
        </w:p>
        <w:p w14:paraId="36781BFE" w14:textId="77777777" w:rsidR="00FD6C83" w:rsidRPr="00FD6C83" w:rsidRDefault="00FD6C83" w:rsidP="00FD6C83">
          <w:pPr>
            <w:rPr>
              <w:lang w:eastAsia="fr-FR"/>
            </w:rPr>
          </w:pPr>
        </w:p>
        <w:p w14:paraId="372F5DFC" w14:textId="1B38F832" w:rsidR="005B27CD" w:rsidRDefault="00EE0674">
          <w:pPr>
            <w:pStyle w:val="TM1"/>
            <w:tabs>
              <w:tab w:val="right" w:leader="dot" w:pos="9062"/>
            </w:tabs>
            <w:rPr>
              <w:rFonts w:eastAsiaTheme="minorEastAsia"/>
              <w:noProof/>
              <w:lang w:eastAsia="fr-FR"/>
            </w:rPr>
          </w:pPr>
          <w:r w:rsidRPr="00142345">
            <w:rPr>
              <w:rFonts w:ascii="Times New Roman" w:hAnsi="Times New Roman" w:cs="Times New Roman"/>
              <w:sz w:val="32"/>
              <w:szCs w:val="32"/>
            </w:rPr>
            <w:fldChar w:fldCharType="begin"/>
          </w:r>
          <w:r w:rsidRPr="00142345">
            <w:rPr>
              <w:rFonts w:ascii="Times New Roman" w:hAnsi="Times New Roman" w:cs="Times New Roman"/>
              <w:sz w:val="32"/>
              <w:szCs w:val="32"/>
            </w:rPr>
            <w:instrText xml:space="preserve"> TOC \o "1-3" \h \z \u </w:instrText>
          </w:r>
          <w:r w:rsidRPr="00142345">
            <w:rPr>
              <w:rFonts w:ascii="Times New Roman" w:hAnsi="Times New Roman" w:cs="Times New Roman"/>
              <w:sz w:val="32"/>
              <w:szCs w:val="32"/>
            </w:rPr>
            <w:fldChar w:fldCharType="separate"/>
          </w:r>
          <w:hyperlink w:anchor="_Toc162512572" w:history="1">
            <w:r w:rsidR="005B27CD" w:rsidRPr="00A84E9C">
              <w:rPr>
                <w:rStyle w:val="Lienhypertexte"/>
                <w:noProof/>
              </w:rPr>
              <w:t>Introduction</w:t>
            </w:r>
            <w:r w:rsidR="005B27CD">
              <w:rPr>
                <w:noProof/>
                <w:webHidden/>
              </w:rPr>
              <w:tab/>
            </w:r>
            <w:r w:rsidR="005B27CD">
              <w:rPr>
                <w:noProof/>
                <w:webHidden/>
              </w:rPr>
              <w:fldChar w:fldCharType="begin"/>
            </w:r>
            <w:r w:rsidR="005B27CD">
              <w:rPr>
                <w:noProof/>
                <w:webHidden/>
              </w:rPr>
              <w:instrText xml:space="preserve"> PAGEREF _Toc162512572 \h </w:instrText>
            </w:r>
            <w:r w:rsidR="005B27CD">
              <w:rPr>
                <w:noProof/>
                <w:webHidden/>
              </w:rPr>
            </w:r>
            <w:r w:rsidR="005B27CD">
              <w:rPr>
                <w:noProof/>
                <w:webHidden/>
              </w:rPr>
              <w:fldChar w:fldCharType="separate"/>
            </w:r>
            <w:r w:rsidR="005B27CD">
              <w:rPr>
                <w:noProof/>
                <w:webHidden/>
              </w:rPr>
              <w:t>2</w:t>
            </w:r>
            <w:r w:rsidR="005B27CD">
              <w:rPr>
                <w:noProof/>
                <w:webHidden/>
              </w:rPr>
              <w:fldChar w:fldCharType="end"/>
            </w:r>
          </w:hyperlink>
        </w:p>
        <w:p w14:paraId="2F356244" w14:textId="0D1B466D" w:rsidR="005B27CD" w:rsidRDefault="00000000">
          <w:pPr>
            <w:pStyle w:val="TM1"/>
            <w:tabs>
              <w:tab w:val="right" w:leader="dot" w:pos="9062"/>
            </w:tabs>
            <w:rPr>
              <w:rFonts w:eastAsiaTheme="minorEastAsia"/>
              <w:noProof/>
              <w:lang w:eastAsia="fr-FR"/>
            </w:rPr>
          </w:pPr>
          <w:hyperlink w:anchor="_Toc162512573" w:history="1">
            <w:r w:rsidR="005B27CD" w:rsidRPr="00A84E9C">
              <w:rPr>
                <w:rStyle w:val="Lienhypertexte"/>
                <w:noProof/>
              </w:rPr>
              <w:t>Description des variables</w:t>
            </w:r>
            <w:r w:rsidR="005B27CD">
              <w:rPr>
                <w:noProof/>
                <w:webHidden/>
              </w:rPr>
              <w:tab/>
            </w:r>
            <w:r w:rsidR="005B27CD">
              <w:rPr>
                <w:noProof/>
                <w:webHidden/>
              </w:rPr>
              <w:fldChar w:fldCharType="begin"/>
            </w:r>
            <w:r w:rsidR="005B27CD">
              <w:rPr>
                <w:noProof/>
                <w:webHidden/>
              </w:rPr>
              <w:instrText xml:space="preserve"> PAGEREF _Toc162512573 \h </w:instrText>
            </w:r>
            <w:r w:rsidR="005B27CD">
              <w:rPr>
                <w:noProof/>
                <w:webHidden/>
              </w:rPr>
            </w:r>
            <w:r w:rsidR="005B27CD">
              <w:rPr>
                <w:noProof/>
                <w:webHidden/>
              </w:rPr>
              <w:fldChar w:fldCharType="separate"/>
            </w:r>
            <w:r w:rsidR="005B27CD">
              <w:rPr>
                <w:noProof/>
                <w:webHidden/>
              </w:rPr>
              <w:t>3</w:t>
            </w:r>
            <w:r w:rsidR="005B27CD">
              <w:rPr>
                <w:noProof/>
                <w:webHidden/>
              </w:rPr>
              <w:fldChar w:fldCharType="end"/>
            </w:r>
          </w:hyperlink>
        </w:p>
        <w:p w14:paraId="2E079CC0" w14:textId="7FD717A4" w:rsidR="005B27CD" w:rsidRDefault="00000000">
          <w:pPr>
            <w:pStyle w:val="TM1"/>
            <w:tabs>
              <w:tab w:val="right" w:leader="dot" w:pos="9062"/>
            </w:tabs>
            <w:rPr>
              <w:rFonts w:eastAsiaTheme="minorEastAsia"/>
              <w:noProof/>
              <w:lang w:eastAsia="fr-FR"/>
            </w:rPr>
          </w:pPr>
          <w:hyperlink w:anchor="_Toc162512574" w:history="1">
            <w:r w:rsidR="005B27CD" w:rsidRPr="00A84E9C">
              <w:rPr>
                <w:rStyle w:val="Lienhypertexte"/>
                <w:rFonts w:eastAsia="Times New Roman"/>
                <w:noProof/>
                <w:lang w:eastAsia="fr-FR"/>
              </w:rPr>
              <w:t>Statistiques descriptives</w:t>
            </w:r>
            <w:r w:rsidR="005B27CD">
              <w:rPr>
                <w:noProof/>
                <w:webHidden/>
              </w:rPr>
              <w:tab/>
            </w:r>
            <w:r w:rsidR="005B27CD">
              <w:rPr>
                <w:noProof/>
                <w:webHidden/>
              </w:rPr>
              <w:fldChar w:fldCharType="begin"/>
            </w:r>
            <w:r w:rsidR="005B27CD">
              <w:rPr>
                <w:noProof/>
                <w:webHidden/>
              </w:rPr>
              <w:instrText xml:space="preserve"> PAGEREF _Toc162512574 \h </w:instrText>
            </w:r>
            <w:r w:rsidR="005B27CD">
              <w:rPr>
                <w:noProof/>
                <w:webHidden/>
              </w:rPr>
            </w:r>
            <w:r w:rsidR="005B27CD">
              <w:rPr>
                <w:noProof/>
                <w:webHidden/>
              </w:rPr>
              <w:fldChar w:fldCharType="separate"/>
            </w:r>
            <w:r w:rsidR="005B27CD">
              <w:rPr>
                <w:noProof/>
                <w:webHidden/>
              </w:rPr>
              <w:t>4</w:t>
            </w:r>
            <w:r w:rsidR="005B27CD">
              <w:rPr>
                <w:noProof/>
                <w:webHidden/>
              </w:rPr>
              <w:fldChar w:fldCharType="end"/>
            </w:r>
          </w:hyperlink>
        </w:p>
        <w:p w14:paraId="7515479D" w14:textId="1472201C" w:rsidR="005B27CD" w:rsidRDefault="00000000">
          <w:pPr>
            <w:pStyle w:val="TM2"/>
            <w:tabs>
              <w:tab w:val="right" w:leader="dot" w:pos="9062"/>
            </w:tabs>
            <w:rPr>
              <w:rFonts w:eastAsiaTheme="minorEastAsia"/>
              <w:noProof/>
              <w:lang w:eastAsia="fr-FR"/>
            </w:rPr>
          </w:pPr>
          <w:hyperlink w:anchor="_Toc162512575" w:history="1">
            <w:r w:rsidR="005B27CD" w:rsidRPr="00A84E9C">
              <w:rPr>
                <w:rStyle w:val="Lienhypertexte"/>
                <w:rFonts w:eastAsia="Times New Roman"/>
                <w:noProof/>
                <w:lang w:eastAsia="fr-FR"/>
              </w:rPr>
              <w:t>Statistiques Univariés</w:t>
            </w:r>
            <w:r w:rsidR="005B27CD">
              <w:rPr>
                <w:noProof/>
                <w:webHidden/>
              </w:rPr>
              <w:tab/>
            </w:r>
            <w:r w:rsidR="005B27CD">
              <w:rPr>
                <w:noProof/>
                <w:webHidden/>
              </w:rPr>
              <w:fldChar w:fldCharType="begin"/>
            </w:r>
            <w:r w:rsidR="005B27CD">
              <w:rPr>
                <w:noProof/>
                <w:webHidden/>
              </w:rPr>
              <w:instrText xml:space="preserve"> PAGEREF _Toc162512575 \h </w:instrText>
            </w:r>
            <w:r w:rsidR="005B27CD">
              <w:rPr>
                <w:noProof/>
                <w:webHidden/>
              </w:rPr>
            </w:r>
            <w:r w:rsidR="005B27CD">
              <w:rPr>
                <w:noProof/>
                <w:webHidden/>
              </w:rPr>
              <w:fldChar w:fldCharType="separate"/>
            </w:r>
            <w:r w:rsidR="005B27CD">
              <w:rPr>
                <w:noProof/>
                <w:webHidden/>
              </w:rPr>
              <w:t>4</w:t>
            </w:r>
            <w:r w:rsidR="005B27CD">
              <w:rPr>
                <w:noProof/>
                <w:webHidden/>
              </w:rPr>
              <w:fldChar w:fldCharType="end"/>
            </w:r>
          </w:hyperlink>
        </w:p>
        <w:p w14:paraId="4C695862" w14:textId="46C0AE56" w:rsidR="005B27CD" w:rsidRDefault="00000000">
          <w:pPr>
            <w:pStyle w:val="TM2"/>
            <w:tabs>
              <w:tab w:val="right" w:leader="dot" w:pos="9062"/>
            </w:tabs>
            <w:rPr>
              <w:rFonts w:eastAsiaTheme="minorEastAsia"/>
              <w:noProof/>
              <w:lang w:eastAsia="fr-FR"/>
            </w:rPr>
          </w:pPr>
          <w:hyperlink w:anchor="_Toc162512576" w:history="1">
            <w:r w:rsidR="005B27CD" w:rsidRPr="00A84E9C">
              <w:rPr>
                <w:rStyle w:val="Lienhypertexte"/>
                <w:rFonts w:eastAsia="Times New Roman"/>
                <w:noProof/>
                <w:lang w:eastAsia="fr-FR"/>
              </w:rPr>
              <w:t>Statistiques Bivariés</w:t>
            </w:r>
            <w:r w:rsidR="005B27CD">
              <w:rPr>
                <w:noProof/>
                <w:webHidden/>
              </w:rPr>
              <w:tab/>
            </w:r>
            <w:r w:rsidR="005B27CD">
              <w:rPr>
                <w:noProof/>
                <w:webHidden/>
              </w:rPr>
              <w:fldChar w:fldCharType="begin"/>
            </w:r>
            <w:r w:rsidR="005B27CD">
              <w:rPr>
                <w:noProof/>
                <w:webHidden/>
              </w:rPr>
              <w:instrText xml:space="preserve"> PAGEREF _Toc162512576 \h </w:instrText>
            </w:r>
            <w:r w:rsidR="005B27CD">
              <w:rPr>
                <w:noProof/>
                <w:webHidden/>
              </w:rPr>
            </w:r>
            <w:r w:rsidR="005B27CD">
              <w:rPr>
                <w:noProof/>
                <w:webHidden/>
              </w:rPr>
              <w:fldChar w:fldCharType="separate"/>
            </w:r>
            <w:r w:rsidR="005B27CD">
              <w:rPr>
                <w:noProof/>
                <w:webHidden/>
              </w:rPr>
              <w:t>10</w:t>
            </w:r>
            <w:r w:rsidR="005B27CD">
              <w:rPr>
                <w:noProof/>
                <w:webHidden/>
              </w:rPr>
              <w:fldChar w:fldCharType="end"/>
            </w:r>
          </w:hyperlink>
        </w:p>
        <w:p w14:paraId="0070754E" w14:textId="2A45B060" w:rsidR="005B27CD" w:rsidRDefault="00000000">
          <w:pPr>
            <w:pStyle w:val="TM1"/>
            <w:tabs>
              <w:tab w:val="right" w:leader="dot" w:pos="9062"/>
            </w:tabs>
            <w:rPr>
              <w:rFonts w:eastAsiaTheme="minorEastAsia"/>
              <w:noProof/>
              <w:lang w:eastAsia="fr-FR"/>
            </w:rPr>
          </w:pPr>
          <w:hyperlink w:anchor="_Toc162512577" w:history="1">
            <w:r w:rsidR="005B27CD" w:rsidRPr="00A84E9C">
              <w:rPr>
                <w:rStyle w:val="Lienhypertexte"/>
                <w:rFonts w:eastAsia="Times New Roman"/>
                <w:noProof/>
                <w:lang w:eastAsia="fr-FR"/>
              </w:rPr>
              <w:t>Modèle économétrique</w:t>
            </w:r>
            <w:r w:rsidR="005B27CD">
              <w:rPr>
                <w:noProof/>
                <w:webHidden/>
              </w:rPr>
              <w:tab/>
            </w:r>
            <w:r w:rsidR="005B27CD">
              <w:rPr>
                <w:noProof/>
                <w:webHidden/>
              </w:rPr>
              <w:fldChar w:fldCharType="begin"/>
            </w:r>
            <w:r w:rsidR="005B27CD">
              <w:rPr>
                <w:noProof/>
                <w:webHidden/>
              </w:rPr>
              <w:instrText xml:space="preserve"> PAGEREF _Toc162512577 \h </w:instrText>
            </w:r>
            <w:r w:rsidR="005B27CD">
              <w:rPr>
                <w:noProof/>
                <w:webHidden/>
              </w:rPr>
            </w:r>
            <w:r w:rsidR="005B27CD">
              <w:rPr>
                <w:noProof/>
                <w:webHidden/>
              </w:rPr>
              <w:fldChar w:fldCharType="separate"/>
            </w:r>
            <w:r w:rsidR="005B27CD">
              <w:rPr>
                <w:noProof/>
                <w:webHidden/>
              </w:rPr>
              <w:t>13</w:t>
            </w:r>
            <w:r w:rsidR="005B27CD">
              <w:rPr>
                <w:noProof/>
                <w:webHidden/>
              </w:rPr>
              <w:fldChar w:fldCharType="end"/>
            </w:r>
          </w:hyperlink>
        </w:p>
        <w:p w14:paraId="7550F2AC" w14:textId="68F95194" w:rsidR="005B27CD" w:rsidRDefault="00000000">
          <w:pPr>
            <w:pStyle w:val="TM1"/>
            <w:tabs>
              <w:tab w:val="right" w:leader="dot" w:pos="9062"/>
            </w:tabs>
            <w:rPr>
              <w:rFonts w:eastAsiaTheme="minorEastAsia"/>
              <w:noProof/>
              <w:lang w:eastAsia="fr-FR"/>
            </w:rPr>
          </w:pPr>
          <w:hyperlink w:anchor="_Toc162512578" w:history="1">
            <w:r w:rsidR="005B27CD" w:rsidRPr="00A84E9C">
              <w:rPr>
                <w:rStyle w:val="Lienhypertexte"/>
                <w:rFonts w:eastAsia="Times New Roman"/>
                <w:noProof/>
                <w:lang w:eastAsia="fr-FR"/>
              </w:rPr>
              <w:t>Conclusion</w:t>
            </w:r>
            <w:r w:rsidR="005B27CD">
              <w:rPr>
                <w:noProof/>
                <w:webHidden/>
              </w:rPr>
              <w:tab/>
            </w:r>
            <w:r w:rsidR="005B27CD">
              <w:rPr>
                <w:noProof/>
                <w:webHidden/>
              </w:rPr>
              <w:fldChar w:fldCharType="begin"/>
            </w:r>
            <w:r w:rsidR="005B27CD">
              <w:rPr>
                <w:noProof/>
                <w:webHidden/>
              </w:rPr>
              <w:instrText xml:space="preserve"> PAGEREF _Toc162512578 \h </w:instrText>
            </w:r>
            <w:r w:rsidR="005B27CD">
              <w:rPr>
                <w:noProof/>
                <w:webHidden/>
              </w:rPr>
            </w:r>
            <w:r w:rsidR="005B27CD">
              <w:rPr>
                <w:noProof/>
                <w:webHidden/>
              </w:rPr>
              <w:fldChar w:fldCharType="separate"/>
            </w:r>
            <w:r w:rsidR="005B27CD">
              <w:rPr>
                <w:noProof/>
                <w:webHidden/>
              </w:rPr>
              <w:t>14</w:t>
            </w:r>
            <w:r w:rsidR="005B27CD">
              <w:rPr>
                <w:noProof/>
                <w:webHidden/>
              </w:rPr>
              <w:fldChar w:fldCharType="end"/>
            </w:r>
          </w:hyperlink>
        </w:p>
        <w:p w14:paraId="3D7A9950" w14:textId="008DF496" w:rsidR="005B27CD" w:rsidRDefault="00000000">
          <w:pPr>
            <w:pStyle w:val="TM1"/>
            <w:tabs>
              <w:tab w:val="right" w:leader="dot" w:pos="9062"/>
            </w:tabs>
            <w:rPr>
              <w:rFonts w:eastAsiaTheme="minorEastAsia"/>
              <w:noProof/>
              <w:lang w:eastAsia="fr-FR"/>
            </w:rPr>
          </w:pPr>
          <w:hyperlink w:anchor="_Toc162512579" w:history="1">
            <w:r w:rsidR="005B27CD" w:rsidRPr="00A84E9C">
              <w:rPr>
                <w:rStyle w:val="Lienhypertexte"/>
                <w:rFonts w:eastAsia="Times New Roman"/>
                <w:noProof/>
                <w:lang w:eastAsia="fr-FR"/>
              </w:rPr>
              <w:t>Annexe</w:t>
            </w:r>
            <w:r w:rsidR="005B27CD">
              <w:rPr>
                <w:noProof/>
                <w:webHidden/>
              </w:rPr>
              <w:tab/>
            </w:r>
            <w:r w:rsidR="005B27CD">
              <w:rPr>
                <w:noProof/>
                <w:webHidden/>
              </w:rPr>
              <w:fldChar w:fldCharType="begin"/>
            </w:r>
            <w:r w:rsidR="005B27CD">
              <w:rPr>
                <w:noProof/>
                <w:webHidden/>
              </w:rPr>
              <w:instrText xml:space="preserve"> PAGEREF _Toc162512579 \h </w:instrText>
            </w:r>
            <w:r w:rsidR="005B27CD">
              <w:rPr>
                <w:noProof/>
                <w:webHidden/>
              </w:rPr>
            </w:r>
            <w:r w:rsidR="005B27CD">
              <w:rPr>
                <w:noProof/>
                <w:webHidden/>
              </w:rPr>
              <w:fldChar w:fldCharType="separate"/>
            </w:r>
            <w:r w:rsidR="005B27CD">
              <w:rPr>
                <w:noProof/>
                <w:webHidden/>
              </w:rPr>
              <w:t>15</w:t>
            </w:r>
            <w:r w:rsidR="005B27CD">
              <w:rPr>
                <w:noProof/>
                <w:webHidden/>
              </w:rPr>
              <w:fldChar w:fldCharType="end"/>
            </w:r>
          </w:hyperlink>
        </w:p>
        <w:p w14:paraId="23585593" w14:textId="7094F600" w:rsidR="005B27CD" w:rsidRDefault="00000000">
          <w:pPr>
            <w:pStyle w:val="TM2"/>
            <w:tabs>
              <w:tab w:val="right" w:leader="dot" w:pos="9062"/>
            </w:tabs>
            <w:rPr>
              <w:rFonts w:eastAsiaTheme="minorEastAsia"/>
              <w:noProof/>
              <w:lang w:eastAsia="fr-FR"/>
            </w:rPr>
          </w:pPr>
          <w:hyperlink w:anchor="_Toc162512580" w:history="1">
            <w:r w:rsidR="005B27CD" w:rsidRPr="00A84E9C">
              <w:rPr>
                <w:rStyle w:val="Lienhypertexte"/>
                <w:rFonts w:eastAsia="Times New Roman"/>
                <w:noProof/>
                <w:lang w:eastAsia="fr-FR"/>
              </w:rPr>
              <w:t>Tableau des données utilisées</w:t>
            </w:r>
            <w:r w:rsidR="005B27CD">
              <w:rPr>
                <w:noProof/>
                <w:webHidden/>
              </w:rPr>
              <w:tab/>
            </w:r>
            <w:r w:rsidR="005B27CD">
              <w:rPr>
                <w:noProof/>
                <w:webHidden/>
              </w:rPr>
              <w:fldChar w:fldCharType="begin"/>
            </w:r>
            <w:r w:rsidR="005B27CD">
              <w:rPr>
                <w:noProof/>
                <w:webHidden/>
              </w:rPr>
              <w:instrText xml:space="preserve"> PAGEREF _Toc162512580 \h </w:instrText>
            </w:r>
            <w:r w:rsidR="005B27CD">
              <w:rPr>
                <w:noProof/>
                <w:webHidden/>
              </w:rPr>
            </w:r>
            <w:r w:rsidR="005B27CD">
              <w:rPr>
                <w:noProof/>
                <w:webHidden/>
              </w:rPr>
              <w:fldChar w:fldCharType="separate"/>
            </w:r>
            <w:r w:rsidR="005B27CD">
              <w:rPr>
                <w:noProof/>
                <w:webHidden/>
              </w:rPr>
              <w:t>15</w:t>
            </w:r>
            <w:r w:rsidR="005B27CD">
              <w:rPr>
                <w:noProof/>
                <w:webHidden/>
              </w:rPr>
              <w:fldChar w:fldCharType="end"/>
            </w:r>
          </w:hyperlink>
        </w:p>
        <w:p w14:paraId="0ED7B522" w14:textId="28C673E0" w:rsidR="005B27CD" w:rsidRDefault="00000000">
          <w:pPr>
            <w:pStyle w:val="TM1"/>
            <w:tabs>
              <w:tab w:val="right" w:leader="dot" w:pos="9062"/>
            </w:tabs>
            <w:rPr>
              <w:rFonts w:eastAsiaTheme="minorEastAsia"/>
              <w:noProof/>
              <w:lang w:eastAsia="fr-FR"/>
            </w:rPr>
          </w:pPr>
          <w:hyperlink w:anchor="_Toc162512581" w:history="1">
            <w:r w:rsidR="005B27CD" w:rsidRPr="00A84E9C">
              <w:rPr>
                <w:rStyle w:val="Lienhypertexte"/>
                <w:rFonts w:eastAsia="Times New Roman"/>
                <w:noProof/>
                <w:lang w:eastAsia="fr-FR"/>
              </w:rPr>
              <w:t>Bibliographie</w:t>
            </w:r>
            <w:r w:rsidR="005B27CD">
              <w:rPr>
                <w:noProof/>
                <w:webHidden/>
              </w:rPr>
              <w:tab/>
            </w:r>
            <w:r w:rsidR="005B27CD">
              <w:rPr>
                <w:noProof/>
                <w:webHidden/>
              </w:rPr>
              <w:fldChar w:fldCharType="begin"/>
            </w:r>
            <w:r w:rsidR="005B27CD">
              <w:rPr>
                <w:noProof/>
                <w:webHidden/>
              </w:rPr>
              <w:instrText xml:space="preserve"> PAGEREF _Toc162512581 \h </w:instrText>
            </w:r>
            <w:r w:rsidR="005B27CD">
              <w:rPr>
                <w:noProof/>
                <w:webHidden/>
              </w:rPr>
            </w:r>
            <w:r w:rsidR="005B27CD">
              <w:rPr>
                <w:noProof/>
                <w:webHidden/>
              </w:rPr>
              <w:fldChar w:fldCharType="separate"/>
            </w:r>
            <w:r w:rsidR="005B27CD">
              <w:rPr>
                <w:noProof/>
                <w:webHidden/>
              </w:rPr>
              <w:t>18</w:t>
            </w:r>
            <w:r w:rsidR="005B27CD">
              <w:rPr>
                <w:noProof/>
                <w:webHidden/>
              </w:rPr>
              <w:fldChar w:fldCharType="end"/>
            </w:r>
          </w:hyperlink>
        </w:p>
        <w:p w14:paraId="09100F0D" w14:textId="044C8CD5" w:rsidR="00EE0674" w:rsidRPr="00142345" w:rsidRDefault="00EE0674">
          <w:pPr>
            <w:rPr>
              <w:rFonts w:ascii="Times New Roman" w:hAnsi="Times New Roman" w:cs="Times New Roman"/>
              <w:sz w:val="32"/>
              <w:szCs w:val="32"/>
            </w:rPr>
          </w:pPr>
          <w:r w:rsidRPr="00142345">
            <w:rPr>
              <w:rFonts w:ascii="Times New Roman" w:hAnsi="Times New Roman" w:cs="Times New Roman"/>
              <w:b/>
              <w:bCs/>
              <w:sz w:val="32"/>
              <w:szCs w:val="32"/>
            </w:rPr>
            <w:fldChar w:fldCharType="end"/>
          </w:r>
        </w:p>
      </w:sdtContent>
    </w:sdt>
    <w:p w14:paraId="36FBF600" w14:textId="77777777" w:rsidR="00EE0674" w:rsidRPr="00177321" w:rsidRDefault="00EE0674">
      <w:pPr>
        <w:rPr>
          <w:rFonts w:ascii="Times New Roman" w:hAnsi="Times New Roman" w:cs="Times New Roman"/>
        </w:rPr>
      </w:pPr>
    </w:p>
    <w:p w14:paraId="02166EDB" w14:textId="77777777" w:rsidR="007D2C78" w:rsidRDefault="007D2C78"/>
    <w:p w14:paraId="7FC929B8" w14:textId="77777777" w:rsidR="007D2C78" w:rsidRDefault="007D2C78"/>
    <w:p w14:paraId="6C10EA7C" w14:textId="77777777" w:rsidR="007D2C78" w:rsidRDefault="007D2C78"/>
    <w:p w14:paraId="0D3697EF" w14:textId="77777777" w:rsidR="007D2C78" w:rsidRDefault="007D2C78"/>
    <w:p w14:paraId="081D6253" w14:textId="77777777" w:rsidR="007D2C78" w:rsidRDefault="007D2C78"/>
    <w:p w14:paraId="5F8DF380" w14:textId="77777777" w:rsidR="007D2C78" w:rsidRDefault="007D2C78"/>
    <w:p w14:paraId="5BEC130B" w14:textId="77777777" w:rsidR="007D2C78" w:rsidRDefault="007D2C78"/>
    <w:p w14:paraId="3E363D2B" w14:textId="77777777" w:rsidR="007D2C78" w:rsidRDefault="007D2C78"/>
    <w:p w14:paraId="3285FFB3" w14:textId="77777777" w:rsidR="007D2C78" w:rsidRDefault="007D2C78"/>
    <w:p w14:paraId="2A3E3593" w14:textId="77777777" w:rsidR="00641FC0" w:rsidRDefault="00641FC0"/>
    <w:p w14:paraId="2EDC64F0" w14:textId="77777777" w:rsidR="00641FC0" w:rsidRDefault="00641FC0"/>
    <w:p w14:paraId="5752535A" w14:textId="77777777" w:rsidR="00641FC0" w:rsidRDefault="00641FC0"/>
    <w:p w14:paraId="11B03648" w14:textId="77777777" w:rsidR="00274A9C" w:rsidRDefault="00274A9C"/>
    <w:p w14:paraId="1CE2EB9C" w14:textId="30E23458" w:rsidR="00EB0C62" w:rsidRPr="00177321" w:rsidRDefault="002721D1" w:rsidP="00EE0674">
      <w:pPr>
        <w:pStyle w:val="Titre1"/>
      </w:pPr>
      <w:bookmarkStart w:id="0" w:name="_Toc162512572"/>
      <w:r w:rsidRPr="00177321">
        <w:lastRenderedPageBreak/>
        <w:t>Introduction</w:t>
      </w:r>
      <w:bookmarkEnd w:id="0"/>
      <w:r w:rsidRPr="00177321">
        <w:t> </w:t>
      </w:r>
    </w:p>
    <w:p w14:paraId="56E7F709" w14:textId="1BFCF9E0" w:rsidR="00346DBC" w:rsidRDefault="009F225F">
      <w:pPr>
        <w:rPr>
          <w:rFonts w:ascii="Times New Roman" w:hAnsi="Times New Roman" w:cs="Times New Roman"/>
        </w:rPr>
      </w:pPr>
      <w:r>
        <w:rPr>
          <w:rFonts w:ascii="Times New Roman" w:hAnsi="Times New Roman" w:cs="Times New Roman"/>
        </w:rPr>
        <w:t xml:space="preserve">Dans un contexte marqué par des débats sociaux de plus en plus fervents autour de la question </w:t>
      </w:r>
      <w:r w:rsidR="00DC36EC">
        <w:rPr>
          <w:rFonts w:ascii="Times New Roman" w:hAnsi="Times New Roman" w:cs="Times New Roman"/>
        </w:rPr>
        <w:t>de la croissance</w:t>
      </w:r>
      <w:r>
        <w:rPr>
          <w:rFonts w:ascii="Times New Roman" w:hAnsi="Times New Roman" w:cs="Times New Roman"/>
        </w:rPr>
        <w:t xml:space="preserve"> économique en France, causés par des changements économiques rapides et des différences entre les modestes et les précaires, le bien-être économique des Français est remis en question.</w:t>
      </w:r>
      <w:r w:rsidR="00DC36EC">
        <w:rPr>
          <w:rFonts w:ascii="Times New Roman" w:hAnsi="Times New Roman" w:cs="Times New Roman"/>
        </w:rPr>
        <w:t xml:space="preserve"> En effet, étant un pays important sur le plan économique et social, il faut alors repenser à ce que signifie être bien dans un monde qui évolue beaucoup. </w:t>
      </w:r>
      <w:r w:rsidR="00346DBC">
        <w:rPr>
          <w:rFonts w:ascii="Times New Roman" w:hAnsi="Times New Roman" w:cs="Times New Roman"/>
        </w:rPr>
        <w:t>C’est pour cela que j’ai choisi le sujet d’aborder le sujet du « bien-être économique des Français » pour apporter une analyse poussée, analytique.</w:t>
      </w:r>
    </w:p>
    <w:p w14:paraId="5F491DB1" w14:textId="77777777" w:rsidR="00346DBC" w:rsidRDefault="00346DBC">
      <w:pPr>
        <w:rPr>
          <w:rFonts w:ascii="Times New Roman" w:hAnsi="Times New Roman" w:cs="Times New Roman"/>
        </w:rPr>
      </w:pPr>
    </w:p>
    <w:p w14:paraId="4761914B" w14:textId="539DA7BB" w:rsidR="00FE132E" w:rsidRDefault="00FE132E">
      <w:pPr>
        <w:rPr>
          <w:rFonts w:ascii="Times New Roman" w:hAnsi="Times New Roman" w:cs="Times New Roman"/>
        </w:rPr>
      </w:pPr>
      <w:r>
        <w:rPr>
          <w:rFonts w:ascii="Times New Roman" w:hAnsi="Times New Roman" w:cs="Times New Roman"/>
        </w:rPr>
        <w:t>Dans ce mémoire, nous allons</w:t>
      </w:r>
      <w:r w:rsidR="0026491E">
        <w:rPr>
          <w:rFonts w:ascii="Times New Roman" w:hAnsi="Times New Roman" w:cs="Times New Roman"/>
        </w:rPr>
        <w:t xml:space="preserve"> tout d’abord étudier de manière descriptive les différents indicateurs qui nous permettront d’expliquer le bien-être qui représentera également un indicateur. Ensuite, nous allons construire un modèle permettant d’expliquer le bien-être Français à l’aide de des différents indicateurs que je détaillerai dans la partie description des variables. Enfin nous conclurons et déterminerons quels sont les indicateurs responsables du </w:t>
      </w:r>
      <w:r w:rsidR="00203FC0">
        <w:rPr>
          <w:rFonts w:ascii="Times New Roman" w:hAnsi="Times New Roman" w:cs="Times New Roman"/>
        </w:rPr>
        <w:t>bien-être</w:t>
      </w:r>
      <w:r w:rsidR="0026491E">
        <w:rPr>
          <w:rFonts w:ascii="Times New Roman" w:hAnsi="Times New Roman" w:cs="Times New Roman"/>
        </w:rPr>
        <w:t xml:space="preserve"> économique, et de la croissance économique de la France.</w:t>
      </w:r>
    </w:p>
    <w:p w14:paraId="3FC40C7D" w14:textId="77777777" w:rsidR="00346DBC" w:rsidRDefault="00346DBC">
      <w:pPr>
        <w:rPr>
          <w:rFonts w:ascii="Times New Roman" w:hAnsi="Times New Roman" w:cs="Times New Roman"/>
        </w:rPr>
      </w:pPr>
    </w:p>
    <w:p w14:paraId="6942E13A" w14:textId="183A2FEB" w:rsidR="00346DBC" w:rsidRPr="00177321" w:rsidRDefault="00346DBC">
      <w:pPr>
        <w:rPr>
          <w:rFonts w:ascii="Times New Roman" w:hAnsi="Times New Roman" w:cs="Times New Roman"/>
        </w:rPr>
      </w:pPr>
      <w:r>
        <w:rPr>
          <w:rFonts w:ascii="Times New Roman" w:hAnsi="Times New Roman" w:cs="Times New Roman"/>
        </w:rPr>
        <w:t>Pour ce qui est de la période d’étude, j’ai fait le choix de me restreindre de 1975 à 2016, puisque c’était dans cette période que j’avais des données.</w:t>
      </w:r>
    </w:p>
    <w:p w14:paraId="32FDD2A3" w14:textId="77777777" w:rsidR="002721D1" w:rsidRDefault="002721D1"/>
    <w:p w14:paraId="16EE4C02" w14:textId="77777777" w:rsidR="002721D1" w:rsidRDefault="002721D1"/>
    <w:p w14:paraId="196A96AF" w14:textId="77777777" w:rsidR="00F17B4E" w:rsidRDefault="00F17B4E">
      <w:pPr>
        <w:rPr>
          <w:b/>
          <w:bCs/>
          <w:u w:val="single"/>
        </w:rPr>
      </w:pPr>
    </w:p>
    <w:p w14:paraId="52103DE4" w14:textId="77777777" w:rsidR="00F17B4E" w:rsidRDefault="00F17B4E">
      <w:pPr>
        <w:rPr>
          <w:b/>
          <w:bCs/>
          <w:u w:val="single"/>
        </w:rPr>
      </w:pPr>
    </w:p>
    <w:p w14:paraId="7B44BD29" w14:textId="77777777" w:rsidR="00F17B4E" w:rsidRDefault="00F17B4E">
      <w:pPr>
        <w:rPr>
          <w:b/>
          <w:bCs/>
          <w:u w:val="single"/>
        </w:rPr>
      </w:pPr>
    </w:p>
    <w:p w14:paraId="55015B72" w14:textId="77777777" w:rsidR="00F17B4E" w:rsidRDefault="00F17B4E">
      <w:pPr>
        <w:rPr>
          <w:b/>
          <w:bCs/>
          <w:u w:val="single"/>
        </w:rPr>
      </w:pPr>
    </w:p>
    <w:p w14:paraId="0DCEC5D3" w14:textId="77777777" w:rsidR="00F17B4E" w:rsidRDefault="00F17B4E">
      <w:pPr>
        <w:rPr>
          <w:b/>
          <w:bCs/>
          <w:u w:val="single"/>
        </w:rPr>
      </w:pPr>
    </w:p>
    <w:p w14:paraId="0B5FF54A" w14:textId="77777777" w:rsidR="00F17B4E" w:rsidRDefault="00F17B4E">
      <w:pPr>
        <w:rPr>
          <w:b/>
          <w:bCs/>
          <w:u w:val="single"/>
        </w:rPr>
      </w:pPr>
    </w:p>
    <w:p w14:paraId="0B9FFDD9" w14:textId="77777777" w:rsidR="00F17B4E" w:rsidRDefault="00F17B4E">
      <w:pPr>
        <w:rPr>
          <w:b/>
          <w:bCs/>
          <w:u w:val="single"/>
        </w:rPr>
      </w:pPr>
    </w:p>
    <w:p w14:paraId="32D7DE63" w14:textId="77777777" w:rsidR="00F17B4E" w:rsidRDefault="00F17B4E">
      <w:pPr>
        <w:rPr>
          <w:b/>
          <w:bCs/>
          <w:u w:val="single"/>
        </w:rPr>
      </w:pPr>
    </w:p>
    <w:p w14:paraId="7DAB8517" w14:textId="77777777" w:rsidR="00F17B4E" w:rsidRDefault="00F17B4E">
      <w:pPr>
        <w:rPr>
          <w:b/>
          <w:bCs/>
          <w:u w:val="single"/>
        </w:rPr>
      </w:pPr>
    </w:p>
    <w:p w14:paraId="6706EC29" w14:textId="77777777" w:rsidR="00F17B4E" w:rsidRDefault="00F17B4E">
      <w:pPr>
        <w:rPr>
          <w:b/>
          <w:bCs/>
          <w:u w:val="single"/>
        </w:rPr>
      </w:pPr>
    </w:p>
    <w:p w14:paraId="5D312DA0" w14:textId="77777777" w:rsidR="00F17B4E" w:rsidRDefault="00F17B4E">
      <w:pPr>
        <w:rPr>
          <w:b/>
          <w:bCs/>
          <w:u w:val="single"/>
        </w:rPr>
      </w:pPr>
    </w:p>
    <w:p w14:paraId="01FF0862" w14:textId="77777777" w:rsidR="00F17B4E" w:rsidRDefault="00F17B4E">
      <w:pPr>
        <w:rPr>
          <w:b/>
          <w:bCs/>
          <w:u w:val="single"/>
        </w:rPr>
      </w:pPr>
    </w:p>
    <w:p w14:paraId="023C6EF6" w14:textId="70FEDCDF" w:rsidR="002721D1" w:rsidRDefault="002721D1" w:rsidP="00EE0674">
      <w:pPr>
        <w:pStyle w:val="Titre1"/>
      </w:pPr>
      <w:bookmarkStart w:id="1" w:name="_Toc162512573"/>
      <w:r w:rsidRPr="00177321">
        <w:lastRenderedPageBreak/>
        <w:t>Description des variables</w:t>
      </w:r>
      <w:bookmarkEnd w:id="1"/>
      <w:r w:rsidRPr="00177321">
        <w:t> </w:t>
      </w:r>
    </w:p>
    <w:p w14:paraId="7053F369" w14:textId="3C495A2F" w:rsidR="00346DBC" w:rsidRDefault="00346DBC" w:rsidP="00650EAF">
      <w:pPr>
        <w:shd w:val="clear" w:color="auto" w:fill="FFFFFF"/>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 xml:space="preserve">Notre variable endogène dans l’étude est le </w:t>
      </w:r>
      <w:r w:rsidRPr="00177321">
        <w:rPr>
          <w:rFonts w:ascii="Times New Roman" w:eastAsia="Times New Roman" w:hAnsi="Times New Roman" w:cs="Times New Roman"/>
          <w:b/>
          <w:bCs/>
          <w:lang w:eastAsia="fr-FR"/>
        </w:rPr>
        <w:t xml:space="preserve">”Share of people </w:t>
      </w:r>
      <w:proofErr w:type="spellStart"/>
      <w:r w:rsidRPr="00177321">
        <w:rPr>
          <w:rFonts w:ascii="Times New Roman" w:eastAsia="Times New Roman" w:hAnsi="Times New Roman" w:cs="Times New Roman"/>
          <w:b/>
          <w:bCs/>
          <w:lang w:eastAsia="fr-FR"/>
        </w:rPr>
        <w:t>who</w:t>
      </w:r>
      <w:proofErr w:type="spellEnd"/>
      <w:r w:rsidRPr="00177321">
        <w:rPr>
          <w:rFonts w:ascii="Times New Roman" w:eastAsia="Times New Roman" w:hAnsi="Times New Roman" w:cs="Times New Roman"/>
          <w:b/>
          <w:bCs/>
          <w:lang w:eastAsia="fr-FR"/>
        </w:rPr>
        <w:t xml:space="preserve"> </w:t>
      </w:r>
      <w:proofErr w:type="spellStart"/>
      <w:r w:rsidRPr="00177321">
        <w:rPr>
          <w:rFonts w:ascii="Times New Roman" w:eastAsia="Times New Roman" w:hAnsi="Times New Roman" w:cs="Times New Roman"/>
          <w:b/>
          <w:bCs/>
          <w:lang w:eastAsia="fr-FR"/>
        </w:rPr>
        <w:t>say</w:t>
      </w:r>
      <w:proofErr w:type="spellEnd"/>
      <w:r w:rsidRPr="00177321">
        <w:rPr>
          <w:rFonts w:ascii="Times New Roman" w:eastAsia="Times New Roman" w:hAnsi="Times New Roman" w:cs="Times New Roman"/>
          <w:b/>
          <w:bCs/>
          <w:lang w:eastAsia="fr-FR"/>
        </w:rPr>
        <w:t xml:space="preserve"> </w:t>
      </w:r>
      <w:proofErr w:type="spellStart"/>
      <w:r w:rsidRPr="00177321">
        <w:rPr>
          <w:rFonts w:ascii="Times New Roman" w:eastAsia="Times New Roman" w:hAnsi="Times New Roman" w:cs="Times New Roman"/>
          <w:b/>
          <w:bCs/>
          <w:lang w:eastAsia="fr-FR"/>
        </w:rPr>
        <w:t>they</w:t>
      </w:r>
      <w:proofErr w:type="spellEnd"/>
      <w:r w:rsidRPr="00177321">
        <w:rPr>
          <w:rFonts w:ascii="Times New Roman" w:eastAsia="Times New Roman" w:hAnsi="Times New Roman" w:cs="Times New Roman"/>
          <w:b/>
          <w:bCs/>
          <w:lang w:eastAsia="fr-FR"/>
        </w:rPr>
        <w:t xml:space="preserve"> are </w:t>
      </w:r>
      <w:proofErr w:type="spellStart"/>
      <w:r w:rsidRPr="00177321">
        <w:rPr>
          <w:rFonts w:ascii="Times New Roman" w:eastAsia="Times New Roman" w:hAnsi="Times New Roman" w:cs="Times New Roman"/>
          <w:b/>
          <w:bCs/>
          <w:lang w:eastAsia="fr-FR"/>
        </w:rPr>
        <w:t>satisfied</w:t>
      </w:r>
      <w:proofErr w:type="spellEnd"/>
      <w:r w:rsidRPr="00177321">
        <w:rPr>
          <w:rFonts w:ascii="Times New Roman" w:eastAsia="Times New Roman" w:hAnsi="Times New Roman" w:cs="Times New Roman"/>
          <w:b/>
          <w:bCs/>
          <w:lang w:eastAsia="fr-FR"/>
        </w:rPr>
        <w:t xml:space="preserve"> with </w:t>
      </w:r>
      <w:proofErr w:type="spellStart"/>
      <w:r w:rsidRPr="00177321">
        <w:rPr>
          <w:rFonts w:ascii="Times New Roman" w:eastAsia="Times New Roman" w:hAnsi="Times New Roman" w:cs="Times New Roman"/>
          <w:b/>
          <w:bCs/>
          <w:lang w:eastAsia="fr-FR"/>
        </w:rPr>
        <w:t>their</w:t>
      </w:r>
      <w:proofErr w:type="spellEnd"/>
      <w:r w:rsidRPr="00177321">
        <w:rPr>
          <w:rFonts w:ascii="Times New Roman" w:eastAsia="Times New Roman" w:hAnsi="Times New Roman" w:cs="Times New Roman"/>
          <w:b/>
          <w:bCs/>
          <w:lang w:eastAsia="fr-FR"/>
        </w:rPr>
        <w:t xml:space="preserve"> life”</w:t>
      </w:r>
      <w:r w:rsidRPr="00177321">
        <w:rPr>
          <w:rFonts w:ascii="Times New Roman" w:eastAsia="Times New Roman" w:hAnsi="Times New Roman" w:cs="Times New Roman"/>
          <w:lang w:eastAsia="fr-FR"/>
        </w:rPr>
        <w:t xml:space="preserve">, qui est une part de la population qui se sent satisfaite de </w:t>
      </w:r>
      <w:r w:rsidR="00C255E9">
        <w:rPr>
          <w:rFonts w:ascii="Times New Roman" w:eastAsia="Times New Roman" w:hAnsi="Times New Roman" w:cs="Times New Roman"/>
          <w:lang w:eastAsia="fr-FR"/>
        </w:rPr>
        <w:t>leur vie</w:t>
      </w:r>
      <w:r w:rsidR="00650EAF">
        <w:rPr>
          <w:rFonts w:ascii="Times New Roman" w:eastAsia="Times New Roman" w:hAnsi="Times New Roman" w:cs="Times New Roman"/>
          <w:lang w:eastAsia="fr-FR"/>
        </w:rPr>
        <w:t xml:space="preserve"> (cf.</w:t>
      </w:r>
      <w:r w:rsidR="003D2B16">
        <w:rPr>
          <w:rFonts w:ascii="Times New Roman" w:eastAsia="Times New Roman" w:hAnsi="Times New Roman" w:cs="Times New Roman"/>
          <w:lang w:eastAsia="fr-FR"/>
        </w:rPr>
        <w:t xml:space="preserve"> </w:t>
      </w:r>
      <w:r w:rsidR="00650EAF">
        <w:rPr>
          <w:rFonts w:ascii="Times New Roman" w:eastAsia="Times New Roman" w:hAnsi="Times New Roman" w:cs="Times New Roman"/>
          <w:lang w:eastAsia="fr-FR"/>
        </w:rPr>
        <w:t>Annexe). C’est la part de la population qui répond « </w:t>
      </w:r>
      <w:proofErr w:type="spellStart"/>
      <w:r w:rsidR="00650EAF">
        <w:rPr>
          <w:rFonts w:ascii="Times New Roman" w:eastAsia="Times New Roman" w:hAnsi="Times New Roman" w:cs="Times New Roman"/>
          <w:lang w:eastAsia="fr-FR"/>
        </w:rPr>
        <w:t>very</w:t>
      </w:r>
      <w:proofErr w:type="spellEnd"/>
      <w:r w:rsidR="00650EAF">
        <w:rPr>
          <w:rFonts w:ascii="Times New Roman" w:eastAsia="Times New Roman" w:hAnsi="Times New Roman" w:cs="Times New Roman"/>
          <w:lang w:eastAsia="fr-FR"/>
        </w:rPr>
        <w:t xml:space="preserve"> </w:t>
      </w:r>
      <w:proofErr w:type="spellStart"/>
      <w:r w:rsidR="00650EAF">
        <w:rPr>
          <w:rFonts w:ascii="Times New Roman" w:eastAsia="Times New Roman" w:hAnsi="Times New Roman" w:cs="Times New Roman"/>
          <w:lang w:eastAsia="fr-FR"/>
        </w:rPr>
        <w:t>satisfied</w:t>
      </w:r>
      <w:proofErr w:type="spellEnd"/>
      <w:r w:rsidR="00650EAF">
        <w:rPr>
          <w:rFonts w:ascii="Times New Roman" w:eastAsia="Times New Roman" w:hAnsi="Times New Roman" w:cs="Times New Roman"/>
          <w:lang w:eastAsia="fr-FR"/>
        </w:rPr>
        <w:t> » ou « </w:t>
      </w:r>
      <w:proofErr w:type="spellStart"/>
      <w:r w:rsidR="00650EAF">
        <w:rPr>
          <w:rFonts w:ascii="Times New Roman" w:eastAsia="Times New Roman" w:hAnsi="Times New Roman" w:cs="Times New Roman"/>
          <w:lang w:eastAsia="fr-FR"/>
        </w:rPr>
        <w:t>fairly</w:t>
      </w:r>
      <w:proofErr w:type="spellEnd"/>
      <w:r w:rsidR="00650EAF">
        <w:rPr>
          <w:rFonts w:ascii="Times New Roman" w:eastAsia="Times New Roman" w:hAnsi="Times New Roman" w:cs="Times New Roman"/>
          <w:lang w:eastAsia="fr-FR"/>
        </w:rPr>
        <w:t xml:space="preserve"> </w:t>
      </w:r>
      <w:proofErr w:type="spellStart"/>
      <w:r w:rsidR="00650EAF">
        <w:rPr>
          <w:rFonts w:ascii="Times New Roman" w:eastAsia="Times New Roman" w:hAnsi="Times New Roman" w:cs="Times New Roman"/>
          <w:lang w:eastAsia="fr-FR"/>
        </w:rPr>
        <w:t>satisfied</w:t>
      </w:r>
      <w:proofErr w:type="spellEnd"/>
      <w:r w:rsidR="00650EAF">
        <w:rPr>
          <w:rFonts w:ascii="Times New Roman" w:eastAsia="Times New Roman" w:hAnsi="Times New Roman" w:cs="Times New Roman"/>
          <w:lang w:eastAsia="fr-FR"/>
        </w:rPr>
        <w:t xml:space="preserve"> » à la question </w:t>
      </w:r>
      <w:r w:rsidR="00650EAF" w:rsidRPr="00650EAF">
        <w:rPr>
          <w:rFonts w:ascii="Times New Roman" w:eastAsia="Times New Roman" w:hAnsi="Times New Roman" w:cs="Times New Roman"/>
          <w:lang w:eastAsia="fr-FR"/>
        </w:rPr>
        <w:t>"Dans l'ensemble, êtes-vous très</w:t>
      </w:r>
      <w:r w:rsidR="00650EAF">
        <w:rPr>
          <w:rFonts w:ascii="Times New Roman" w:eastAsia="Times New Roman" w:hAnsi="Times New Roman" w:cs="Times New Roman"/>
          <w:lang w:eastAsia="fr-FR"/>
        </w:rPr>
        <w:t xml:space="preserve"> </w:t>
      </w:r>
      <w:r w:rsidR="00650EAF" w:rsidRPr="00650EAF">
        <w:rPr>
          <w:rFonts w:ascii="Times New Roman" w:eastAsia="Times New Roman" w:hAnsi="Times New Roman" w:cs="Times New Roman"/>
          <w:lang w:eastAsia="fr-FR"/>
        </w:rPr>
        <w:t>satisfait, assez satisfait, peu satisfait ou pas du tout satisfait de la vie que vous menez ?</w:t>
      </w:r>
      <w:r w:rsidR="00650EAF" w:rsidRPr="00650EAF">
        <w:rPr>
          <w:rFonts w:ascii="Times New Roman" w:eastAsia="Times New Roman" w:hAnsi="Times New Roman" w:cs="Times New Roman"/>
          <w:lang w:eastAsia="fr-FR"/>
        </w:rPr>
        <w:t xml:space="preserve"> </w:t>
      </w:r>
      <w:r w:rsidR="00650EAF" w:rsidRPr="00650EAF">
        <w:rPr>
          <w:rFonts w:ascii="Times New Roman" w:eastAsia="Times New Roman" w:hAnsi="Times New Roman" w:cs="Times New Roman"/>
          <w:lang w:eastAsia="fr-FR"/>
        </w:rPr>
        <w:t>"</w:t>
      </w:r>
      <w:r w:rsidR="00C255E9">
        <w:rPr>
          <w:rFonts w:ascii="Times New Roman" w:eastAsia="Times New Roman" w:hAnsi="Times New Roman" w:cs="Times New Roman"/>
          <w:lang w:eastAsia="fr-FR"/>
        </w:rPr>
        <w:t>.</w:t>
      </w:r>
    </w:p>
    <w:p w14:paraId="69B9F33E" w14:textId="77777777" w:rsidR="00121A61" w:rsidRPr="00121A61" w:rsidRDefault="00121A61" w:rsidP="00121A61">
      <w:pPr>
        <w:shd w:val="clear" w:color="auto" w:fill="FFFFFF"/>
        <w:jc w:val="both"/>
        <w:rPr>
          <w:rFonts w:ascii="Times New Roman" w:eastAsia="Times New Roman" w:hAnsi="Times New Roman" w:cs="Times New Roman"/>
          <w:lang w:eastAsia="fr-FR"/>
        </w:rPr>
      </w:pPr>
    </w:p>
    <w:p w14:paraId="27923520" w14:textId="4DFADA67" w:rsidR="00C70A64" w:rsidRPr="00177321" w:rsidRDefault="006323FF" w:rsidP="002721D1">
      <w:pPr>
        <w:shd w:val="clear" w:color="auto" w:fill="FFFFFF"/>
        <w:jc w:val="both"/>
        <w:rPr>
          <w:rFonts w:ascii="Times New Roman" w:eastAsia="Times New Roman" w:hAnsi="Times New Roman" w:cs="Times New Roman"/>
          <w:lang w:eastAsia="fr-FR"/>
        </w:rPr>
      </w:pPr>
      <w:r>
        <w:rPr>
          <w:rFonts w:ascii="Times New Roman" w:eastAsia="Times New Roman" w:hAnsi="Times New Roman" w:cs="Times New Roman"/>
          <w:lang w:eastAsia="fr-FR"/>
        </w:rPr>
        <w:t>Ensuite</w:t>
      </w:r>
      <w:r w:rsidR="00C70A64" w:rsidRPr="00177321">
        <w:rPr>
          <w:rFonts w:ascii="Times New Roman" w:eastAsia="Times New Roman" w:hAnsi="Times New Roman" w:cs="Times New Roman"/>
          <w:lang w:eastAsia="fr-FR"/>
        </w:rPr>
        <w:t xml:space="preserve">, les </w:t>
      </w:r>
      <w:r w:rsidR="00346DBC">
        <w:rPr>
          <w:rFonts w:ascii="Times New Roman" w:eastAsia="Times New Roman" w:hAnsi="Times New Roman" w:cs="Times New Roman"/>
          <w:lang w:eastAsia="fr-FR"/>
        </w:rPr>
        <w:t xml:space="preserve">variables explicatives utilisées </w:t>
      </w:r>
      <w:r w:rsidR="00C70A64" w:rsidRPr="00177321">
        <w:rPr>
          <w:rFonts w:ascii="Times New Roman" w:eastAsia="Times New Roman" w:hAnsi="Times New Roman" w:cs="Times New Roman"/>
          <w:lang w:eastAsia="fr-FR"/>
        </w:rPr>
        <w:t>dans ce mémoire sont des indicateurs</w:t>
      </w:r>
      <w:r w:rsidR="00310CD9">
        <w:rPr>
          <w:rFonts w:ascii="Times New Roman" w:eastAsia="Times New Roman" w:hAnsi="Times New Roman" w:cs="Times New Roman"/>
          <w:lang w:eastAsia="fr-FR"/>
        </w:rPr>
        <w:t xml:space="preserve"> </w:t>
      </w:r>
      <w:r w:rsidR="00E62842" w:rsidRPr="00177321">
        <w:rPr>
          <w:rFonts w:ascii="Times New Roman" w:eastAsia="Times New Roman" w:hAnsi="Times New Roman" w:cs="Times New Roman"/>
          <w:lang w:eastAsia="fr-FR"/>
        </w:rPr>
        <w:t>économique</w:t>
      </w:r>
      <w:r w:rsidR="00310CD9">
        <w:rPr>
          <w:rFonts w:ascii="Times New Roman" w:eastAsia="Times New Roman" w:hAnsi="Times New Roman" w:cs="Times New Roman"/>
          <w:lang w:eastAsia="fr-FR"/>
        </w:rPr>
        <w:t xml:space="preserve">s </w:t>
      </w:r>
      <w:r w:rsidR="00E62842" w:rsidRPr="00177321">
        <w:rPr>
          <w:rFonts w:ascii="Times New Roman" w:eastAsia="Times New Roman" w:hAnsi="Times New Roman" w:cs="Times New Roman"/>
          <w:lang w:eastAsia="fr-FR"/>
        </w:rPr>
        <w:t xml:space="preserve">tels que le taux de chômage, le revenu disponible brut, </w:t>
      </w:r>
      <w:r w:rsidR="009B1806">
        <w:rPr>
          <w:rFonts w:ascii="Times New Roman" w:eastAsia="Times New Roman" w:hAnsi="Times New Roman" w:cs="Times New Roman"/>
          <w:lang w:eastAsia="fr-FR"/>
        </w:rPr>
        <w:t>l’indice de prix à la consommation</w:t>
      </w:r>
      <w:r w:rsidR="00E62842" w:rsidRPr="00177321">
        <w:rPr>
          <w:rFonts w:ascii="Times New Roman" w:eastAsia="Times New Roman" w:hAnsi="Times New Roman" w:cs="Times New Roman"/>
          <w:lang w:eastAsia="fr-FR"/>
        </w:rPr>
        <w:t xml:space="preserve">, le pouvoir d’achat… Également des indicateurs de démographie comme la croissance de population moyenne, la croissance du nombre de ménages, d’unité de </w:t>
      </w:r>
      <w:r w:rsidR="00FE132E" w:rsidRPr="00177321">
        <w:rPr>
          <w:rFonts w:ascii="Times New Roman" w:eastAsia="Times New Roman" w:hAnsi="Times New Roman" w:cs="Times New Roman"/>
          <w:lang w:eastAsia="fr-FR"/>
        </w:rPr>
        <w:t>consommation</w:t>
      </w:r>
      <w:r w:rsidR="00E62842" w:rsidRPr="00177321">
        <w:rPr>
          <w:rFonts w:ascii="Times New Roman" w:eastAsia="Times New Roman" w:hAnsi="Times New Roman" w:cs="Times New Roman"/>
          <w:lang w:eastAsia="fr-FR"/>
        </w:rPr>
        <w:t xml:space="preserve">… Et enfin des </w:t>
      </w:r>
      <w:r w:rsidR="00FE132E" w:rsidRPr="00177321">
        <w:rPr>
          <w:rFonts w:ascii="Times New Roman" w:eastAsia="Times New Roman" w:hAnsi="Times New Roman" w:cs="Times New Roman"/>
          <w:lang w:eastAsia="fr-FR"/>
        </w:rPr>
        <w:t>indicateurs</w:t>
      </w:r>
      <w:r w:rsidR="00E62842" w:rsidRPr="00177321">
        <w:rPr>
          <w:rFonts w:ascii="Times New Roman" w:eastAsia="Times New Roman" w:hAnsi="Times New Roman" w:cs="Times New Roman"/>
          <w:lang w:eastAsia="fr-FR"/>
        </w:rPr>
        <w:t xml:space="preserve"> d’inégalité comme l’indice de Gini</w:t>
      </w:r>
      <w:r w:rsidR="009B1806">
        <w:rPr>
          <w:rFonts w:ascii="Times New Roman" w:eastAsia="Times New Roman" w:hAnsi="Times New Roman" w:cs="Times New Roman"/>
          <w:lang w:eastAsia="fr-FR"/>
        </w:rPr>
        <w:t xml:space="preserve"> ou encore</w:t>
      </w:r>
      <w:r w:rsidR="00E62842" w:rsidRPr="00177321">
        <w:rPr>
          <w:rFonts w:ascii="Times New Roman" w:eastAsia="Times New Roman" w:hAnsi="Times New Roman" w:cs="Times New Roman"/>
          <w:lang w:eastAsia="fr-FR"/>
        </w:rPr>
        <w:t xml:space="preserve"> le rapport Interdécil</w:t>
      </w:r>
      <w:r w:rsidR="00987CE5">
        <w:rPr>
          <w:rFonts w:ascii="Times New Roman" w:eastAsia="Times New Roman" w:hAnsi="Times New Roman" w:cs="Times New Roman"/>
          <w:lang w:eastAsia="fr-FR"/>
        </w:rPr>
        <w:t>e</w:t>
      </w:r>
      <w:r w:rsidR="009B1806">
        <w:rPr>
          <w:rFonts w:ascii="Times New Roman" w:eastAsia="Times New Roman" w:hAnsi="Times New Roman" w:cs="Times New Roman"/>
          <w:lang w:eastAsia="fr-FR"/>
        </w:rPr>
        <w:t xml:space="preserve"> et bien d’autres</w:t>
      </w:r>
      <w:r w:rsidR="00987CE5">
        <w:rPr>
          <w:rFonts w:ascii="Times New Roman" w:eastAsia="Times New Roman" w:hAnsi="Times New Roman" w:cs="Times New Roman"/>
          <w:lang w:eastAsia="fr-FR"/>
        </w:rPr>
        <w:t xml:space="preserve"> </w:t>
      </w:r>
      <w:r w:rsidR="00346DBC">
        <w:rPr>
          <w:rFonts w:ascii="Times New Roman" w:eastAsia="Times New Roman" w:hAnsi="Times New Roman" w:cs="Times New Roman"/>
          <w:lang w:eastAsia="fr-FR"/>
        </w:rPr>
        <w:t>(cf.</w:t>
      </w:r>
      <w:r w:rsidR="003D2B16">
        <w:rPr>
          <w:rFonts w:ascii="Times New Roman" w:eastAsia="Times New Roman" w:hAnsi="Times New Roman" w:cs="Times New Roman"/>
          <w:lang w:eastAsia="fr-FR"/>
        </w:rPr>
        <w:t xml:space="preserve"> </w:t>
      </w:r>
      <w:r w:rsidR="00346DBC">
        <w:rPr>
          <w:rFonts w:ascii="Times New Roman" w:eastAsia="Times New Roman" w:hAnsi="Times New Roman" w:cs="Times New Roman"/>
          <w:lang w:eastAsia="fr-FR"/>
        </w:rPr>
        <w:t>Annexe)</w:t>
      </w:r>
      <w:r w:rsidR="00987CE5">
        <w:rPr>
          <w:rFonts w:ascii="Times New Roman" w:eastAsia="Times New Roman" w:hAnsi="Times New Roman" w:cs="Times New Roman"/>
          <w:lang w:eastAsia="fr-FR"/>
        </w:rPr>
        <w:t>.</w:t>
      </w:r>
    </w:p>
    <w:p w14:paraId="0021C9A4" w14:textId="0254AF2B" w:rsidR="00FE132E" w:rsidRDefault="00FE132E" w:rsidP="002721D1">
      <w:pPr>
        <w:shd w:val="clear" w:color="auto" w:fill="FFFFFF"/>
        <w:jc w:val="both"/>
        <w:rPr>
          <w:rFonts w:ascii="Times New Roman" w:eastAsia="Times New Roman" w:hAnsi="Times New Roman" w:cs="Times New Roman"/>
          <w:lang w:eastAsia="fr-FR"/>
        </w:rPr>
      </w:pPr>
    </w:p>
    <w:p w14:paraId="353031DE" w14:textId="62EB99E2" w:rsidR="00FE132E" w:rsidRPr="00177321" w:rsidRDefault="00FE132E" w:rsidP="002721D1">
      <w:pPr>
        <w:shd w:val="clear" w:color="auto" w:fill="FFFFFF"/>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Également, pour les indicateurs d’inégalité, </w:t>
      </w:r>
      <w:r w:rsidR="00F777E0">
        <w:rPr>
          <w:rFonts w:ascii="Times New Roman" w:eastAsia="Times New Roman" w:hAnsi="Times New Roman" w:cs="Times New Roman"/>
          <w:lang w:eastAsia="fr-FR"/>
        </w:rPr>
        <w:t>nous avons</w:t>
      </w:r>
      <w:r>
        <w:rPr>
          <w:rFonts w:ascii="Times New Roman" w:eastAsia="Times New Roman" w:hAnsi="Times New Roman" w:cs="Times New Roman"/>
          <w:lang w:eastAsia="fr-FR"/>
        </w:rPr>
        <w:t xml:space="preserve"> pu effectuer de l’interpolation linéaire, et de l’extrapolation linéaire pour compléter les trous dans les données, étant donné que les valeurs allaient plutôt dans un sens sans fluctuer et qu’il était nécessaire de n’avoir aucune donnée manquante pour l’étude qui va suivre, surtout pour la construction du modèle économétrique.</w:t>
      </w:r>
      <w:r w:rsidR="00B935E9">
        <w:rPr>
          <w:rFonts w:ascii="Times New Roman" w:eastAsia="Times New Roman" w:hAnsi="Times New Roman" w:cs="Times New Roman"/>
          <w:lang w:eastAsia="fr-FR"/>
        </w:rPr>
        <w:t xml:space="preserve"> Ensuite, </w:t>
      </w:r>
      <w:r w:rsidR="00F777E0">
        <w:rPr>
          <w:rFonts w:ascii="Times New Roman" w:eastAsia="Times New Roman" w:hAnsi="Times New Roman" w:cs="Times New Roman"/>
          <w:lang w:eastAsia="fr-FR"/>
        </w:rPr>
        <w:t>nous avons</w:t>
      </w:r>
      <w:r w:rsidR="00B935E9">
        <w:rPr>
          <w:rFonts w:ascii="Times New Roman" w:eastAsia="Times New Roman" w:hAnsi="Times New Roman" w:cs="Times New Roman"/>
          <w:lang w:eastAsia="fr-FR"/>
        </w:rPr>
        <w:t xml:space="preserve"> pu récupérer le taux de change du dollar à l’euro</w:t>
      </w:r>
      <w:r w:rsidR="00903AD0">
        <w:rPr>
          <w:rFonts w:ascii="Times New Roman" w:eastAsia="Times New Roman" w:hAnsi="Times New Roman" w:cs="Times New Roman"/>
          <w:lang w:eastAsia="fr-FR"/>
        </w:rPr>
        <w:t xml:space="preserve"> pour convertir les données de PIB en </w:t>
      </w:r>
      <w:r w:rsidR="00761801">
        <w:rPr>
          <w:rFonts w:ascii="Times New Roman" w:eastAsia="Times New Roman" w:hAnsi="Times New Roman" w:cs="Times New Roman"/>
          <w:lang w:eastAsia="fr-FR"/>
        </w:rPr>
        <w:t>dollars</w:t>
      </w:r>
      <w:r w:rsidR="00903AD0">
        <w:rPr>
          <w:rFonts w:ascii="Times New Roman" w:eastAsia="Times New Roman" w:hAnsi="Times New Roman" w:cs="Times New Roman"/>
          <w:lang w:eastAsia="fr-FR"/>
        </w:rPr>
        <w:t xml:space="preserve"> constants 2015 en </w:t>
      </w:r>
      <w:r w:rsidR="00761801">
        <w:rPr>
          <w:rFonts w:ascii="Times New Roman" w:eastAsia="Times New Roman" w:hAnsi="Times New Roman" w:cs="Times New Roman"/>
          <w:lang w:eastAsia="fr-FR"/>
        </w:rPr>
        <w:t xml:space="preserve">euros </w:t>
      </w:r>
      <w:r w:rsidR="00903AD0">
        <w:rPr>
          <w:rFonts w:ascii="Times New Roman" w:eastAsia="Times New Roman" w:hAnsi="Times New Roman" w:cs="Times New Roman"/>
          <w:lang w:eastAsia="fr-FR"/>
        </w:rPr>
        <w:t>constants 2015</w:t>
      </w:r>
      <w:r w:rsidR="00FE277D">
        <w:rPr>
          <w:rFonts w:ascii="Times New Roman" w:eastAsia="Times New Roman" w:hAnsi="Times New Roman" w:cs="Times New Roman"/>
          <w:lang w:eastAsia="fr-FR"/>
        </w:rPr>
        <w:t>.</w:t>
      </w:r>
    </w:p>
    <w:p w14:paraId="73F1AC01" w14:textId="77777777" w:rsidR="00F17B4E" w:rsidRPr="00177321" w:rsidRDefault="00F17B4E" w:rsidP="002721D1">
      <w:pPr>
        <w:shd w:val="clear" w:color="auto" w:fill="FFFFFF"/>
        <w:jc w:val="both"/>
        <w:rPr>
          <w:rFonts w:ascii="Times New Roman" w:eastAsia="Times New Roman" w:hAnsi="Times New Roman" w:cs="Times New Roman"/>
          <w:b/>
          <w:bCs/>
          <w:u w:val="single"/>
          <w:lang w:eastAsia="fr-FR"/>
        </w:rPr>
      </w:pPr>
    </w:p>
    <w:p w14:paraId="5807E25C" w14:textId="77777777" w:rsidR="00F17B4E" w:rsidRDefault="00F17B4E" w:rsidP="002721D1">
      <w:pPr>
        <w:shd w:val="clear" w:color="auto" w:fill="FFFFFF"/>
        <w:jc w:val="both"/>
        <w:rPr>
          <w:rFonts w:ascii="Times New Roman" w:eastAsia="Times New Roman" w:hAnsi="Times New Roman" w:cs="Times New Roman"/>
          <w:b/>
          <w:bCs/>
          <w:u w:val="single"/>
          <w:lang w:eastAsia="fr-FR"/>
        </w:rPr>
      </w:pPr>
    </w:p>
    <w:p w14:paraId="28FA58A4"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28AAA240"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094648EC"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0410DFA5"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0A10C9B7"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2F3C84D3"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52A79F9C"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2148A0B8"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13E2425A"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3C8F663A" w14:textId="77777777" w:rsidR="006D2A65" w:rsidRDefault="006D2A65" w:rsidP="002721D1">
      <w:pPr>
        <w:shd w:val="clear" w:color="auto" w:fill="FFFFFF"/>
        <w:jc w:val="both"/>
        <w:rPr>
          <w:rFonts w:ascii="Times New Roman" w:eastAsia="Times New Roman" w:hAnsi="Times New Roman" w:cs="Times New Roman"/>
          <w:b/>
          <w:bCs/>
          <w:u w:val="single"/>
          <w:lang w:eastAsia="fr-FR"/>
        </w:rPr>
      </w:pPr>
    </w:p>
    <w:p w14:paraId="22815587" w14:textId="77777777" w:rsidR="006D2A65" w:rsidRPr="00177321" w:rsidRDefault="006D2A65">
      <w:pPr>
        <w:rPr>
          <w:rFonts w:ascii="Times New Roman" w:hAnsi="Times New Roman" w:cs="Times New Roman"/>
        </w:rPr>
      </w:pPr>
    </w:p>
    <w:p w14:paraId="0A5C5C4C" w14:textId="01507409" w:rsidR="003B2358" w:rsidRPr="00177321" w:rsidRDefault="003B2358" w:rsidP="00EE0674">
      <w:pPr>
        <w:pStyle w:val="Titre1"/>
        <w:rPr>
          <w:rFonts w:eastAsia="Times New Roman"/>
          <w:lang w:eastAsia="fr-FR"/>
        </w:rPr>
      </w:pPr>
      <w:bookmarkStart w:id="2" w:name="_Toc162512574"/>
      <w:r w:rsidRPr="00177321">
        <w:rPr>
          <w:rFonts w:eastAsia="Times New Roman"/>
          <w:lang w:eastAsia="fr-FR"/>
        </w:rPr>
        <w:lastRenderedPageBreak/>
        <w:t>Statistiques descriptives</w:t>
      </w:r>
      <w:bookmarkEnd w:id="2"/>
    </w:p>
    <w:p w14:paraId="2E4D2F7D" w14:textId="79E0C67A" w:rsidR="00AF5941" w:rsidRPr="00177321" w:rsidRDefault="00AF5941" w:rsidP="00EE0674">
      <w:pPr>
        <w:pStyle w:val="Titre2"/>
        <w:ind w:firstLine="708"/>
        <w:rPr>
          <w:rFonts w:eastAsia="Times New Roman"/>
          <w:lang w:eastAsia="fr-FR"/>
        </w:rPr>
      </w:pPr>
      <w:bookmarkStart w:id="3" w:name="_Toc162512575"/>
      <w:r w:rsidRPr="00177321">
        <w:rPr>
          <w:rFonts w:eastAsia="Times New Roman"/>
          <w:lang w:eastAsia="fr-FR"/>
        </w:rPr>
        <w:t>Statistiques Univariés</w:t>
      </w:r>
      <w:bookmarkEnd w:id="3"/>
      <w:r w:rsidRPr="00177321">
        <w:rPr>
          <w:rFonts w:eastAsia="Times New Roman"/>
          <w:lang w:eastAsia="fr-FR"/>
        </w:rPr>
        <w:t> </w:t>
      </w:r>
    </w:p>
    <w:p w14:paraId="2E4ED4F7" w14:textId="77777777" w:rsidR="00B54896" w:rsidRPr="00177321" w:rsidRDefault="00B54896" w:rsidP="00B54896">
      <w:pPr>
        <w:spacing w:after="0" w:line="240" w:lineRule="auto"/>
        <w:jc w:val="both"/>
        <w:rPr>
          <w:rFonts w:ascii="Times New Roman" w:eastAsia="Times New Roman" w:hAnsi="Times New Roman" w:cs="Times New Roman"/>
          <w:b/>
          <w:u w:val="single"/>
          <w:lang w:eastAsia="fr-FR"/>
        </w:rPr>
      </w:pPr>
    </w:p>
    <w:p w14:paraId="60ADAEB3" w14:textId="77777777" w:rsidR="00B54896" w:rsidRPr="00177321" w:rsidRDefault="00B54896" w:rsidP="00B54896">
      <w:pPr>
        <w:spacing w:after="0" w:line="240" w:lineRule="auto"/>
        <w:jc w:val="both"/>
        <w:rPr>
          <w:rFonts w:ascii="Times New Roman" w:eastAsia="Times New Roman" w:hAnsi="Times New Roman" w:cs="Times New Roman"/>
          <w:b/>
          <w:u w:val="single"/>
          <w:lang w:eastAsia="fr-FR"/>
        </w:rPr>
      </w:pPr>
    </w:p>
    <w:p w14:paraId="28D5E3C3" w14:textId="308F808A" w:rsidR="009B649D" w:rsidRPr="00177321" w:rsidRDefault="00B54896" w:rsidP="003B2358">
      <w:pPr>
        <w:jc w:val="both"/>
        <w:rPr>
          <w:rFonts w:ascii="Times New Roman" w:eastAsia="Times New Roman" w:hAnsi="Times New Roman" w:cs="Times New Roman"/>
          <w:u w:val="single"/>
          <w:lang w:eastAsia="fr-FR"/>
        </w:rPr>
      </w:pPr>
      <w:r w:rsidRPr="00177321">
        <w:rPr>
          <w:rFonts w:ascii="Times New Roman" w:eastAsia="Times New Roman" w:hAnsi="Times New Roman" w:cs="Times New Roman"/>
          <w:u w:val="single"/>
          <w:lang w:eastAsia="fr-FR"/>
        </w:rPr>
        <w:t>Graphique 1 : Satisfaction des Français de 1975 à 2016</w:t>
      </w:r>
    </w:p>
    <w:p w14:paraId="36F0A559" w14:textId="4904157B" w:rsidR="008C130D" w:rsidRPr="00177321" w:rsidRDefault="008C130D" w:rsidP="003B2358">
      <w:pPr>
        <w:jc w:val="both"/>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14:anchorId="3FBFDC8C" wp14:editId="1414C44A">
            <wp:extent cx="5762625" cy="2876550"/>
            <wp:effectExtent l="0" t="0" r="9525" b="0"/>
            <wp:docPr id="6827584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2CF099F5" w14:textId="72F0D73B" w:rsidR="003A0CA3" w:rsidRDefault="00B54896"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 xml:space="preserve">Tout d’abord fait remarquable la satisfaction des </w:t>
      </w:r>
      <w:r w:rsidR="003E7DF9" w:rsidRPr="00177321">
        <w:rPr>
          <w:rFonts w:ascii="Times New Roman" w:eastAsia="Times New Roman" w:hAnsi="Times New Roman" w:cs="Times New Roman"/>
          <w:lang w:eastAsia="fr-FR"/>
        </w:rPr>
        <w:t>Français</w:t>
      </w:r>
      <w:r w:rsidRPr="00177321">
        <w:rPr>
          <w:rFonts w:ascii="Times New Roman" w:eastAsia="Times New Roman" w:hAnsi="Times New Roman" w:cs="Times New Roman"/>
          <w:lang w:eastAsia="fr-FR"/>
        </w:rPr>
        <w:t xml:space="preserve"> a été en hausse depuis 1975, nous sommes passés de 73,9% de la population française satisfaite</w:t>
      </w:r>
      <w:r w:rsidR="005671A9" w:rsidRPr="00177321">
        <w:rPr>
          <w:rFonts w:ascii="Times New Roman" w:eastAsia="Times New Roman" w:hAnsi="Times New Roman" w:cs="Times New Roman"/>
          <w:lang w:eastAsia="fr-FR"/>
        </w:rPr>
        <w:t xml:space="preserve"> à 84,07%.</w:t>
      </w:r>
      <w:r w:rsidR="008D4585" w:rsidRPr="00177321">
        <w:rPr>
          <w:rFonts w:ascii="Times New Roman" w:eastAsia="Times New Roman" w:hAnsi="Times New Roman" w:cs="Times New Roman"/>
          <w:lang w:eastAsia="fr-FR"/>
        </w:rPr>
        <w:t xml:space="preserve"> Ensuite </w:t>
      </w:r>
      <w:r w:rsidR="006C23A4">
        <w:rPr>
          <w:rFonts w:ascii="Times New Roman" w:eastAsia="Times New Roman" w:hAnsi="Times New Roman" w:cs="Times New Roman"/>
          <w:lang w:eastAsia="fr-FR"/>
        </w:rPr>
        <w:t>nous</w:t>
      </w:r>
      <w:r w:rsidR="008D4585" w:rsidRPr="00177321">
        <w:rPr>
          <w:rFonts w:ascii="Times New Roman" w:eastAsia="Times New Roman" w:hAnsi="Times New Roman" w:cs="Times New Roman"/>
          <w:lang w:eastAsia="fr-FR"/>
        </w:rPr>
        <w:t xml:space="preserve"> constat</w:t>
      </w:r>
      <w:r w:rsidR="006C23A4">
        <w:rPr>
          <w:rFonts w:ascii="Times New Roman" w:eastAsia="Times New Roman" w:hAnsi="Times New Roman" w:cs="Times New Roman"/>
          <w:lang w:eastAsia="fr-FR"/>
        </w:rPr>
        <w:t>ons</w:t>
      </w:r>
      <w:r w:rsidR="008D4585" w:rsidRPr="00177321">
        <w:rPr>
          <w:rFonts w:ascii="Times New Roman" w:eastAsia="Times New Roman" w:hAnsi="Times New Roman" w:cs="Times New Roman"/>
          <w:lang w:eastAsia="fr-FR"/>
        </w:rPr>
        <w:t xml:space="preserve"> que la satisfaction des Français est très cyclique, dû à plusieurs réformes économiques, crises économiques etc. Par exemple en 2008 </w:t>
      </w:r>
      <w:r w:rsidR="006C23A4">
        <w:rPr>
          <w:rFonts w:ascii="Times New Roman" w:eastAsia="Times New Roman" w:hAnsi="Times New Roman" w:cs="Times New Roman"/>
          <w:lang w:eastAsia="fr-FR"/>
        </w:rPr>
        <w:t>nous pouvons</w:t>
      </w:r>
      <w:r w:rsidR="008D4585" w:rsidRPr="00177321">
        <w:rPr>
          <w:rFonts w:ascii="Times New Roman" w:eastAsia="Times New Roman" w:hAnsi="Times New Roman" w:cs="Times New Roman"/>
          <w:lang w:eastAsia="fr-FR"/>
        </w:rPr>
        <w:t xml:space="preserve"> voir le pic en baisse causé par la crise des « </w:t>
      </w:r>
      <w:proofErr w:type="spellStart"/>
      <w:r w:rsidR="008D4585" w:rsidRPr="00177321">
        <w:rPr>
          <w:rFonts w:ascii="Times New Roman" w:eastAsia="Times New Roman" w:hAnsi="Times New Roman" w:cs="Times New Roman"/>
          <w:lang w:eastAsia="fr-FR"/>
        </w:rPr>
        <w:t>subprimes</w:t>
      </w:r>
      <w:proofErr w:type="spellEnd"/>
      <w:r w:rsidR="008D4585" w:rsidRPr="00177321">
        <w:rPr>
          <w:rFonts w:ascii="Times New Roman" w:eastAsia="Times New Roman" w:hAnsi="Times New Roman" w:cs="Times New Roman"/>
          <w:lang w:eastAsia="fr-FR"/>
        </w:rPr>
        <w:t xml:space="preserve"> ». Cependant </w:t>
      </w:r>
      <w:r w:rsidR="00C306C4" w:rsidRPr="00177321">
        <w:rPr>
          <w:rFonts w:ascii="Times New Roman" w:eastAsia="Times New Roman" w:hAnsi="Times New Roman" w:cs="Times New Roman"/>
          <w:lang w:eastAsia="fr-FR"/>
        </w:rPr>
        <w:t>cela reste très difficile à analyser, et il nous faudrait plus d’éléments pour pouvoir expliquer des pics de hausse et de baisse dans le temps. C’est ce que nos variables explicatives vont essayer de faire.</w:t>
      </w:r>
      <w:r w:rsidR="008D4585" w:rsidRPr="00177321">
        <w:rPr>
          <w:rFonts w:ascii="Times New Roman" w:eastAsia="Times New Roman" w:hAnsi="Times New Roman" w:cs="Times New Roman"/>
          <w:lang w:eastAsia="fr-FR"/>
        </w:rPr>
        <w:t xml:space="preserve"> </w:t>
      </w:r>
    </w:p>
    <w:p w14:paraId="1F7B8D7B" w14:textId="27671925" w:rsidR="008C130D" w:rsidRPr="00177321" w:rsidRDefault="008C130D" w:rsidP="003B2358">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Au contraire, nous pouvons voir que la croissance du RDB est en baisse.</w:t>
      </w:r>
      <w:r w:rsidR="002F0F7D">
        <w:rPr>
          <w:rFonts w:ascii="Times New Roman" w:eastAsia="Times New Roman" w:hAnsi="Times New Roman" w:cs="Times New Roman"/>
          <w:lang w:eastAsia="fr-FR"/>
        </w:rPr>
        <w:t xml:space="preserve"> En effet, l’âge d’or de l’économie « Les </w:t>
      </w:r>
      <w:proofErr w:type="spellStart"/>
      <w:r w:rsidR="002F0F7D">
        <w:rPr>
          <w:rFonts w:ascii="Times New Roman" w:eastAsia="Times New Roman" w:hAnsi="Times New Roman" w:cs="Times New Roman"/>
          <w:lang w:eastAsia="fr-FR"/>
        </w:rPr>
        <w:t>Trentes</w:t>
      </w:r>
      <w:proofErr w:type="spellEnd"/>
      <w:r w:rsidR="002F0F7D">
        <w:rPr>
          <w:rFonts w:ascii="Times New Roman" w:eastAsia="Times New Roman" w:hAnsi="Times New Roman" w:cs="Times New Roman"/>
          <w:lang w:eastAsia="fr-FR"/>
        </w:rPr>
        <w:t xml:space="preserve"> Glorieuses » de 1949 à 1974 a eu un impact sur une grosse croissance du RDB durant 5 ans. Cependant, ce RDB a un</w:t>
      </w:r>
      <w:r w:rsidR="00B64FDC">
        <w:rPr>
          <w:rFonts w:ascii="Times New Roman" w:eastAsia="Times New Roman" w:hAnsi="Times New Roman" w:cs="Times New Roman"/>
          <w:lang w:eastAsia="fr-FR"/>
        </w:rPr>
        <w:t>e croissance qui a décru avec le temps, expliqué par la fin de cet âge d’or, et de politiques économiques qui favorisent moins les ménages français.</w:t>
      </w:r>
    </w:p>
    <w:p w14:paraId="4B0AAE9D" w14:textId="77777777" w:rsidR="006124E3" w:rsidRPr="00177321" w:rsidRDefault="006124E3" w:rsidP="003B2358">
      <w:pPr>
        <w:jc w:val="both"/>
        <w:rPr>
          <w:rFonts w:ascii="Times New Roman" w:eastAsia="Times New Roman" w:hAnsi="Times New Roman" w:cs="Times New Roman"/>
          <w:lang w:eastAsia="fr-FR"/>
        </w:rPr>
      </w:pPr>
    </w:p>
    <w:p w14:paraId="00779EC8" w14:textId="4744C721" w:rsidR="006124E3" w:rsidRPr="00177321" w:rsidRDefault="006124E3" w:rsidP="003B2358">
      <w:pPr>
        <w:jc w:val="both"/>
        <w:rPr>
          <w:rFonts w:ascii="Times New Roman" w:eastAsia="Times New Roman" w:hAnsi="Times New Roman" w:cs="Times New Roman"/>
          <w:lang w:eastAsia="fr-FR"/>
        </w:rPr>
      </w:pPr>
    </w:p>
    <w:p w14:paraId="6178F34F" w14:textId="77777777" w:rsidR="004220EF" w:rsidRPr="00177321" w:rsidRDefault="004220EF" w:rsidP="003B2358">
      <w:pPr>
        <w:jc w:val="both"/>
        <w:rPr>
          <w:rFonts w:ascii="Times New Roman" w:eastAsia="Times New Roman" w:hAnsi="Times New Roman" w:cs="Times New Roman"/>
          <w:lang w:eastAsia="fr-FR"/>
        </w:rPr>
      </w:pPr>
    </w:p>
    <w:p w14:paraId="198FFA43" w14:textId="31EBB2B5" w:rsidR="003A0CA3" w:rsidRDefault="003A0CA3" w:rsidP="003B2358">
      <w:pPr>
        <w:jc w:val="both"/>
        <w:rPr>
          <w:rFonts w:ascii="Times New Roman" w:eastAsia="Times New Roman" w:hAnsi="Times New Roman" w:cs="Times New Roman"/>
          <w:lang w:eastAsia="fr-FR"/>
        </w:rPr>
      </w:pPr>
    </w:p>
    <w:p w14:paraId="092E5CED" w14:textId="77777777" w:rsidR="00F65E66" w:rsidRPr="00177321" w:rsidRDefault="00F65E66" w:rsidP="003B2358">
      <w:pPr>
        <w:jc w:val="both"/>
        <w:rPr>
          <w:rFonts w:ascii="Times New Roman" w:eastAsia="Times New Roman" w:hAnsi="Times New Roman" w:cs="Times New Roman"/>
          <w:noProof/>
          <w:lang w:eastAsia="fr-FR"/>
        </w:rPr>
      </w:pPr>
    </w:p>
    <w:p w14:paraId="47C670A3" w14:textId="3D289A5A" w:rsidR="003A0CA3" w:rsidRPr="00177321" w:rsidRDefault="003A0CA3" w:rsidP="003B2358">
      <w:pPr>
        <w:jc w:val="both"/>
        <w:rPr>
          <w:rFonts w:ascii="Times New Roman" w:eastAsia="Times New Roman" w:hAnsi="Times New Roman" w:cs="Times New Roman"/>
          <w:lang w:eastAsia="fr-FR"/>
        </w:rPr>
      </w:pPr>
    </w:p>
    <w:p w14:paraId="2E989A7F" w14:textId="5C00FF6D" w:rsidR="003A0CA3" w:rsidRPr="00177321" w:rsidRDefault="00FB44A6" w:rsidP="003B2358">
      <w:pPr>
        <w:jc w:val="both"/>
        <w:rPr>
          <w:rFonts w:ascii="Times New Roman" w:eastAsia="Times New Roman" w:hAnsi="Times New Roman" w:cs="Times New Roman"/>
          <w:u w:val="single"/>
          <w:lang w:eastAsia="fr-FR"/>
        </w:rPr>
      </w:pPr>
      <w:r w:rsidRPr="00177321">
        <w:rPr>
          <w:rFonts w:ascii="Times New Roman" w:eastAsia="Times New Roman" w:hAnsi="Times New Roman" w:cs="Times New Roman"/>
          <w:u w:val="single"/>
          <w:lang w:eastAsia="fr-FR"/>
        </w:rPr>
        <w:lastRenderedPageBreak/>
        <w:t xml:space="preserve">Graphique </w:t>
      </w:r>
      <w:r w:rsidR="00C60FF6">
        <w:rPr>
          <w:rFonts w:ascii="Times New Roman" w:eastAsia="Times New Roman" w:hAnsi="Times New Roman" w:cs="Times New Roman"/>
          <w:u w:val="single"/>
          <w:lang w:eastAsia="fr-FR"/>
        </w:rPr>
        <w:t>2</w:t>
      </w:r>
      <w:r w:rsidRPr="00177321">
        <w:rPr>
          <w:rFonts w:ascii="Times New Roman" w:eastAsia="Times New Roman" w:hAnsi="Times New Roman" w:cs="Times New Roman"/>
          <w:u w:val="single"/>
          <w:lang w:eastAsia="fr-FR"/>
        </w:rPr>
        <w:t> : PIB par habitant en euros constants en France de 1975 à 2016 </w:t>
      </w:r>
    </w:p>
    <w:p w14:paraId="557F3D33" w14:textId="30609A0E" w:rsidR="003A0CA3" w:rsidRPr="00177321" w:rsidRDefault="00F65E66" w:rsidP="003B2358">
      <w:pPr>
        <w:jc w:val="both"/>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14:anchorId="1C81D1D1" wp14:editId="5EC81403">
            <wp:extent cx="5762625" cy="2876550"/>
            <wp:effectExtent l="0" t="0" r="9525" b="0"/>
            <wp:docPr id="9503022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2EA69586" w14:textId="23E9E377" w:rsidR="00FB44A6" w:rsidRPr="00177321" w:rsidRDefault="00FB44A6"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Le PIB par habitant de la France, comme la plupart des pays développés est en</w:t>
      </w:r>
      <w:r w:rsidR="00F65E66">
        <w:rPr>
          <w:rFonts w:ascii="Times New Roman" w:eastAsia="Times New Roman" w:hAnsi="Times New Roman" w:cs="Times New Roman"/>
          <w:lang w:eastAsia="fr-FR"/>
        </w:rPr>
        <w:t xml:space="preserve"> hausse sur toute la période</w:t>
      </w:r>
      <w:r w:rsidRPr="00177321">
        <w:rPr>
          <w:rFonts w:ascii="Times New Roman" w:eastAsia="Times New Roman" w:hAnsi="Times New Roman" w:cs="Times New Roman"/>
          <w:lang w:eastAsia="fr-FR"/>
        </w:rPr>
        <w:t>. Cependant nous pouvons constater la crise des « </w:t>
      </w:r>
      <w:proofErr w:type="spellStart"/>
      <w:r w:rsidRPr="00177321">
        <w:rPr>
          <w:rFonts w:ascii="Times New Roman" w:eastAsia="Times New Roman" w:hAnsi="Times New Roman" w:cs="Times New Roman"/>
          <w:lang w:eastAsia="fr-FR"/>
        </w:rPr>
        <w:t>subprimes</w:t>
      </w:r>
      <w:proofErr w:type="spellEnd"/>
      <w:r w:rsidRPr="00177321">
        <w:rPr>
          <w:rFonts w:ascii="Times New Roman" w:eastAsia="Times New Roman" w:hAnsi="Times New Roman" w:cs="Times New Roman"/>
          <w:lang w:eastAsia="fr-FR"/>
        </w:rPr>
        <w:t> » en 2008 qui a eu un impact sur le PIB par habitant, qui impactera les 4 prochaines années avant de revenir au même niveau que juste avant 2008.</w:t>
      </w:r>
      <w:r w:rsidR="0040526D" w:rsidRPr="00177321">
        <w:rPr>
          <w:rFonts w:ascii="Times New Roman" w:eastAsia="Times New Roman" w:hAnsi="Times New Roman" w:cs="Times New Roman"/>
          <w:lang w:eastAsia="fr-FR"/>
        </w:rPr>
        <w:t xml:space="preserve"> Si nous avions eu le PIB jusqu’en 2023, nous aurions pu constater également </w:t>
      </w:r>
      <w:r w:rsidR="005C3333" w:rsidRPr="00177321">
        <w:rPr>
          <w:rFonts w:ascii="Times New Roman" w:eastAsia="Times New Roman" w:hAnsi="Times New Roman" w:cs="Times New Roman"/>
          <w:lang w:eastAsia="fr-FR"/>
        </w:rPr>
        <w:t>la baisse en 2020 causée</w:t>
      </w:r>
      <w:r w:rsidR="0040526D" w:rsidRPr="00177321">
        <w:rPr>
          <w:rFonts w:ascii="Times New Roman" w:eastAsia="Times New Roman" w:hAnsi="Times New Roman" w:cs="Times New Roman"/>
          <w:lang w:eastAsia="fr-FR"/>
        </w:rPr>
        <w:t xml:space="preserve"> par la crise covid.</w:t>
      </w:r>
    </w:p>
    <w:p w14:paraId="17E8A2BF" w14:textId="42AD2E8F" w:rsidR="003A0CA3" w:rsidRPr="00177321" w:rsidRDefault="003A0CA3" w:rsidP="003B2358">
      <w:pPr>
        <w:jc w:val="both"/>
        <w:rPr>
          <w:rFonts w:ascii="Times New Roman" w:eastAsia="Times New Roman" w:hAnsi="Times New Roman" w:cs="Times New Roman"/>
          <w:lang w:eastAsia="fr-FR"/>
        </w:rPr>
      </w:pPr>
    </w:p>
    <w:p w14:paraId="1561793F" w14:textId="76B21930" w:rsidR="005B69F0" w:rsidRPr="00177321" w:rsidRDefault="005B69F0" w:rsidP="003B2358">
      <w:pPr>
        <w:jc w:val="both"/>
        <w:rPr>
          <w:rFonts w:ascii="Times New Roman" w:eastAsia="Times New Roman" w:hAnsi="Times New Roman" w:cs="Times New Roman"/>
          <w:u w:val="single"/>
          <w:lang w:eastAsia="fr-FR"/>
        </w:rPr>
      </w:pPr>
      <w:r w:rsidRPr="00177321">
        <w:rPr>
          <w:rFonts w:ascii="Times New Roman" w:eastAsia="Times New Roman" w:hAnsi="Times New Roman" w:cs="Times New Roman"/>
          <w:u w:val="single"/>
          <w:lang w:eastAsia="fr-FR"/>
        </w:rPr>
        <w:t xml:space="preserve">Graphique </w:t>
      </w:r>
      <w:r w:rsidR="00C60FF6">
        <w:rPr>
          <w:rFonts w:ascii="Times New Roman" w:eastAsia="Times New Roman" w:hAnsi="Times New Roman" w:cs="Times New Roman"/>
          <w:u w:val="single"/>
          <w:lang w:eastAsia="fr-FR"/>
        </w:rPr>
        <w:t>3</w:t>
      </w:r>
      <w:r w:rsidRPr="00177321">
        <w:rPr>
          <w:rFonts w:ascii="Times New Roman" w:eastAsia="Times New Roman" w:hAnsi="Times New Roman" w:cs="Times New Roman"/>
          <w:u w:val="single"/>
          <w:lang w:eastAsia="fr-FR"/>
        </w:rPr>
        <w:t> : Pouvoir d’achat du RDB de 1975 à 2016 en France</w:t>
      </w:r>
    </w:p>
    <w:p w14:paraId="5B24044E" w14:textId="58C62816" w:rsidR="003A0CA3" w:rsidRPr="00177321" w:rsidRDefault="005C71B0"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noProof/>
          <w:lang w:eastAsia="fr-FR"/>
        </w:rPr>
        <w:drawing>
          <wp:inline distT="0" distB="0" distL="0" distR="0" wp14:anchorId="44FCC309" wp14:editId="329C23EB">
            <wp:extent cx="5760720" cy="2875599"/>
            <wp:effectExtent l="0" t="0" r="0" b="1270"/>
            <wp:docPr id="1642993514" name="Image 8" descr="Une image contenant texte, Tracé,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3514" name="Image 8" descr="Une image contenant texte, Tracé, ligne, Polic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75599"/>
                    </a:xfrm>
                    <a:prstGeom prst="rect">
                      <a:avLst/>
                    </a:prstGeom>
                    <a:noFill/>
                    <a:ln>
                      <a:noFill/>
                    </a:ln>
                  </pic:spPr>
                </pic:pic>
              </a:graphicData>
            </a:graphic>
          </wp:inline>
        </w:drawing>
      </w:r>
    </w:p>
    <w:p w14:paraId="7039CB8C" w14:textId="7B4470D5" w:rsidR="00CC28DE" w:rsidRPr="00177321" w:rsidRDefault="008E36C7"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Nous pouvons constater que le pouvoir d’achat des Français est extrêmement cyclique. En effet il y a eu une croissance assez forte avant les années 80 qui s’est réduite entre 0 et 4% dans les années 90, 2000. Cependant dans les années 1983-1984, le pouvoir d’achat était en décroissance, un mouvement qui ne s’était produit depuis 35 ans (</w:t>
      </w:r>
      <w:r w:rsidR="00C56115">
        <w:rPr>
          <w:rFonts w:ascii="Times New Roman" w:eastAsia="Times New Roman" w:hAnsi="Times New Roman" w:cs="Times New Roman"/>
          <w:lang w:eastAsia="fr-FR"/>
        </w:rPr>
        <w:t>cf. Bibliographie</w:t>
      </w:r>
      <w:r w:rsidRPr="00177321">
        <w:rPr>
          <w:rFonts w:ascii="Times New Roman" w:eastAsia="Times New Roman" w:hAnsi="Times New Roman" w:cs="Times New Roman"/>
          <w:lang w:eastAsia="fr-FR"/>
        </w:rPr>
        <w:t>).</w:t>
      </w:r>
      <w:r w:rsidR="00433105" w:rsidRPr="00177321">
        <w:rPr>
          <w:rFonts w:ascii="Times New Roman" w:eastAsia="Times New Roman" w:hAnsi="Times New Roman" w:cs="Times New Roman"/>
          <w:lang w:eastAsia="fr-FR"/>
        </w:rPr>
        <w:t xml:space="preserve"> Nous </w:t>
      </w:r>
      <w:r w:rsidR="00433105" w:rsidRPr="00177321">
        <w:rPr>
          <w:rFonts w:ascii="Times New Roman" w:eastAsia="Times New Roman" w:hAnsi="Times New Roman" w:cs="Times New Roman"/>
          <w:lang w:eastAsia="fr-FR"/>
        </w:rPr>
        <w:lastRenderedPageBreak/>
        <w:t xml:space="preserve">constatons alors que </w:t>
      </w:r>
      <w:proofErr w:type="gramStart"/>
      <w:r w:rsidR="00433105" w:rsidRPr="00177321">
        <w:rPr>
          <w:rFonts w:ascii="Times New Roman" w:eastAsia="Times New Roman" w:hAnsi="Times New Roman" w:cs="Times New Roman"/>
          <w:lang w:eastAsia="fr-FR"/>
        </w:rPr>
        <w:t>la</w:t>
      </w:r>
      <w:proofErr w:type="gramEnd"/>
      <w:r w:rsidR="00433105" w:rsidRPr="00177321">
        <w:rPr>
          <w:rFonts w:ascii="Times New Roman" w:eastAsia="Times New Roman" w:hAnsi="Times New Roman" w:cs="Times New Roman"/>
          <w:lang w:eastAsia="fr-FR"/>
        </w:rPr>
        <w:t xml:space="preserve"> croissance/décroissance du pouvoir d’achat dépend réellement des politiques monétaires appliquées, comme on peut voir également en 2012-2013 les années de début de la présidence de François Hollande, précédé par Nicolas Sarkozy.</w:t>
      </w:r>
    </w:p>
    <w:p w14:paraId="3E1F929D" w14:textId="77777777" w:rsidR="00CC28DE" w:rsidRDefault="00CC28DE" w:rsidP="003B2358">
      <w:pPr>
        <w:jc w:val="both"/>
        <w:rPr>
          <w:rFonts w:ascii="Times New Roman" w:eastAsia="Times New Roman" w:hAnsi="Times New Roman" w:cs="Times New Roman"/>
          <w:lang w:eastAsia="fr-FR"/>
        </w:rPr>
      </w:pPr>
    </w:p>
    <w:p w14:paraId="777F26B2" w14:textId="4C5B545C" w:rsidR="00C60FF6" w:rsidRPr="00177321" w:rsidRDefault="00C60FF6" w:rsidP="00C60FF6">
      <w:pPr>
        <w:jc w:val="both"/>
        <w:rPr>
          <w:rFonts w:ascii="Times New Roman" w:eastAsia="Times New Roman" w:hAnsi="Times New Roman" w:cs="Times New Roman"/>
          <w:noProof/>
          <w:u w:val="single"/>
          <w:lang w:eastAsia="fr-FR"/>
        </w:rPr>
      </w:pPr>
      <w:r w:rsidRPr="00177321">
        <w:rPr>
          <w:rFonts w:ascii="Times New Roman" w:eastAsia="Times New Roman" w:hAnsi="Times New Roman" w:cs="Times New Roman"/>
          <w:noProof/>
          <w:u w:val="single"/>
          <w:lang w:eastAsia="fr-FR"/>
        </w:rPr>
        <w:t xml:space="preserve">Graphique </w:t>
      </w:r>
      <w:r w:rsidR="00437342">
        <w:rPr>
          <w:rFonts w:ascii="Times New Roman" w:eastAsia="Times New Roman" w:hAnsi="Times New Roman" w:cs="Times New Roman"/>
          <w:noProof/>
          <w:u w:val="single"/>
          <w:lang w:eastAsia="fr-FR"/>
        </w:rPr>
        <w:t>4</w:t>
      </w:r>
      <w:r w:rsidRPr="00177321">
        <w:rPr>
          <w:rFonts w:ascii="Times New Roman" w:eastAsia="Times New Roman" w:hAnsi="Times New Roman" w:cs="Times New Roman"/>
          <w:noProof/>
          <w:u w:val="single"/>
          <w:lang w:eastAsia="fr-FR"/>
        </w:rPr>
        <w:t>/</w:t>
      </w:r>
      <w:r w:rsidR="00437342">
        <w:rPr>
          <w:rFonts w:ascii="Times New Roman" w:eastAsia="Times New Roman" w:hAnsi="Times New Roman" w:cs="Times New Roman"/>
          <w:noProof/>
          <w:u w:val="single"/>
          <w:lang w:eastAsia="fr-FR"/>
        </w:rPr>
        <w:t>5</w:t>
      </w:r>
      <w:r w:rsidRPr="00177321">
        <w:rPr>
          <w:rFonts w:ascii="Times New Roman" w:eastAsia="Times New Roman" w:hAnsi="Times New Roman" w:cs="Times New Roman"/>
          <w:noProof/>
          <w:u w:val="single"/>
          <w:lang w:eastAsia="fr-FR"/>
        </w:rPr>
        <w:t> : Taux de chômage/Taux d’épargne de 1975 à 2016 :</w:t>
      </w:r>
    </w:p>
    <w:p w14:paraId="63FC8282" w14:textId="77777777" w:rsidR="00C60FF6" w:rsidRPr="00177321" w:rsidRDefault="00C60FF6" w:rsidP="00C60FF6">
      <w:pPr>
        <w:jc w:val="both"/>
        <w:rPr>
          <w:rFonts w:ascii="Times New Roman" w:eastAsia="Times New Roman" w:hAnsi="Times New Roman" w:cs="Times New Roman"/>
          <w:lang w:eastAsia="fr-FR"/>
        </w:rPr>
      </w:pPr>
      <w:r w:rsidRPr="00177321">
        <w:rPr>
          <w:rFonts w:ascii="Times New Roman" w:eastAsia="Times New Roman" w:hAnsi="Times New Roman" w:cs="Times New Roman"/>
          <w:noProof/>
          <w:lang w:eastAsia="fr-FR"/>
        </w:rPr>
        <w:drawing>
          <wp:inline distT="0" distB="0" distL="0" distR="0" wp14:anchorId="32E99453" wp14:editId="45EC030D">
            <wp:extent cx="5762625" cy="2876550"/>
            <wp:effectExtent l="0" t="0" r="9525" b="0"/>
            <wp:docPr id="303807161" name="Image 2"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7161" name="Image 2" descr="Une image contenant texte, Tracé, ligne, diagramm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6927B221" w14:textId="2BADB66C" w:rsidR="00C60FF6" w:rsidRPr="00177321" w:rsidRDefault="00C60FF6" w:rsidP="00C60FF6">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 xml:space="preserve">La comparaison entre ces deux taux est intéressante car </w:t>
      </w:r>
      <w:r w:rsidR="002479DE">
        <w:rPr>
          <w:rFonts w:ascii="Times New Roman" w:eastAsia="Times New Roman" w:hAnsi="Times New Roman" w:cs="Times New Roman"/>
          <w:lang w:eastAsia="fr-FR"/>
        </w:rPr>
        <w:t>lorsque le taux de chômage est en hausse, le taux d’épargne est en baisse.</w:t>
      </w:r>
      <w:r w:rsidRPr="00177321">
        <w:rPr>
          <w:rFonts w:ascii="Times New Roman" w:eastAsia="Times New Roman" w:hAnsi="Times New Roman" w:cs="Times New Roman"/>
          <w:lang w:eastAsia="fr-FR"/>
        </w:rPr>
        <w:t xml:space="preserve"> Il y a une corrélation négative que </w:t>
      </w:r>
      <w:r w:rsidR="002479DE">
        <w:rPr>
          <w:rFonts w:ascii="Times New Roman" w:eastAsia="Times New Roman" w:hAnsi="Times New Roman" w:cs="Times New Roman"/>
          <w:lang w:eastAsia="fr-FR"/>
        </w:rPr>
        <w:t>nous allons</w:t>
      </w:r>
      <w:r w:rsidRPr="00177321">
        <w:rPr>
          <w:rFonts w:ascii="Times New Roman" w:eastAsia="Times New Roman" w:hAnsi="Times New Roman" w:cs="Times New Roman"/>
          <w:lang w:eastAsia="fr-FR"/>
        </w:rPr>
        <w:t xml:space="preserve"> pouvoir observer dans les prochains graphiques des statistiques bivariées. On comprend désormais mieux pourquoi la part de la population française satisfaite de leur vie était basse dans les années 1990-2000 puisque c’était une période de chômage qui était plus élevée que la normale. En parallèle le taux d’épargne était au plus bas en 1988, ce qui pourrait expliquer ce qu’on a vu dans le premier graphique.</w:t>
      </w:r>
    </w:p>
    <w:p w14:paraId="02AB0F86" w14:textId="77777777" w:rsidR="00C60FF6" w:rsidRPr="00177321" w:rsidRDefault="00C60FF6" w:rsidP="003B2358">
      <w:pPr>
        <w:jc w:val="both"/>
        <w:rPr>
          <w:rFonts w:ascii="Times New Roman" w:eastAsia="Times New Roman" w:hAnsi="Times New Roman" w:cs="Times New Roman"/>
          <w:lang w:eastAsia="fr-FR"/>
        </w:rPr>
      </w:pPr>
    </w:p>
    <w:p w14:paraId="5F72B97B" w14:textId="77777777" w:rsidR="00CC28DE" w:rsidRPr="00177321" w:rsidRDefault="00CC28DE" w:rsidP="003B2358">
      <w:pPr>
        <w:jc w:val="both"/>
        <w:rPr>
          <w:rFonts w:ascii="Times New Roman" w:eastAsia="Times New Roman" w:hAnsi="Times New Roman" w:cs="Times New Roman"/>
          <w:lang w:eastAsia="fr-FR"/>
        </w:rPr>
      </w:pPr>
    </w:p>
    <w:p w14:paraId="449CD1F0" w14:textId="77777777" w:rsidR="00CC28DE" w:rsidRPr="00177321" w:rsidRDefault="00CC28DE" w:rsidP="003B2358">
      <w:pPr>
        <w:jc w:val="both"/>
        <w:rPr>
          <w:rFonts w:ascii="Times New Roman" w:eastAsia="Times New Roman" w:hAnsi="Times New Roman" w:cs="Times New Roman"/>
          <w:lang w:eastAsia="fr-FR"/>
        </w:rPr>
      </w:pPr>
    </w:p>
    <w:p w14:paraId="50061B29" w14:textId="77777777" w:rsidR="00CC28DE" w:rsidRPr="00177321" w:rsidRDefault="00CC28DE" w:rsidP="003B2358">
      <w:pPr>
        <w:jc w:val="both"/>
        <w:rPr>
          <w:rFonts w:ascii="Times New Roman" w:eastAsia="Times New Roman" w:hAnsi="Times New Roman" w:cs="Times New Roman"/>
          <w:lang w:eastAsia="fr-FR"/>
        </w:rPr>
      </w:pPr>
    </w:p>
    <w:p w14:paraId="412F57EE" w14:textId="77777777" w:rsidR="00CC28DE" w:rsidRPr="00177321" w:rsidRDefault="00CC28DE" w:rsidP="003B2358">
      <w:pPr>
        <w:jc w:val="both"/>
        <w:rPr>
          <w:rFonts w:ascii="Times New Roman" w:eastAsia="Times New Roman" w:hAnsi="Times New Roman" w:cs="Times New Roman"/>
          <w:lang w:eastAsia="fr-FR"/>
        </w:rPr>
      </w:pPr>
    </w:p>
    <w:p w14:paraId="49E740F9" w14:textId="77777777" w:rsidR="00E66FF6" w:rsidRDefault="00E66FF6" w:rsidP="003B2358">
      <w:pPr>
        <w:jc w:val="both"/>
        <w:rPr>
          <w:rFonts w:ascii="Times New Roman" w:eastAsia="Times New Roman" w:hAnsi="Times New Roman" w:cs="Times New Roman"/>
          <w:lang w:eastAsia="fr-FR"/>
        </w:rPr>
      </w:pPr>
    </w:p>
    <w:p w14:paraId="3AB86DA1" w14:textId="77777777" w:rsidR="0020179D" w:rsidRDefault="0020179D" w:rsidP="003B2358">
      <w:pPr>
        <w:jc w:val="both"/>
        <w:rPr>
          <w:rFonts w:ascii="Times New Roman" w:eastAsia="Times New Roman" w:hAnsi="Times New Roman" w:cs="Times New Roman"/>
          <w:lang w:eastAsia="fr-FR"/>
        </w:rPr>
      </w:pPr>
    </w:p>
    <w:p w14:paraId="695AD9F3" w14:textId="77777777" w:rsidR="00645590" w:rsidRDefault="00645590" w:rsidP="003B2358">
      <w:pPr>
        <w:jc w:val="both"/>
        <w:rPr>
          <w:rFonts w:ascii="Times New Roman" w:eastAsia="Times New Roman" w:hAnsi="Times New Roman" w:cs="Times New Roman"/>
          <w:lang w:eastAsia="fr-FR"/>
        </w:rPr>
      </w:pPr>
    </w:p>
    <w:p w14:paraId="6E256560" w14:textId="77777777" w:rsidR="00E66FF6" w:rsidRDefault="00E66FF6" w:rsidP="003B2358">
      <w:pPr>
        <w:jc w:val="both"/>
        <w:rPr>
          <w:rFonts w:ascii="Times New Roman" w:eastAsia="Times New Roman" w:hAnsi="Times New Roman" w:cs="Times New Roman"/>
          <w:u w:val="single"/>
          <w:lang w:eastAsia="fr-FR"/>
        </w:rPr>
      </w:pPr>
    </w:p>
    <w:p w14:paraId="480310F4" w14:textId="77777777" w:rsidR="00F45A1B" w:rsidRPr="00177321" w:rsidRDefault="00F45A1B" w:rsidP="003B2358">
      <w:pPr>
        <w:jc w:val="both"/>
        <w:rPr>
          <w:rFonts w:ascii="Times New Roman" w:eastAsia="Times New Roman" w:hAnsi="Times New Roman" w:cs="Times New Roman"/>
          <w:lang w:eastAsia="fr-FR"/>
        </w:rPr>
      </w:pPr>
    </w:p>
    <w:p w14:paraId="0DCFE053" w14:textId="0D62738A" w:rsidR="00F45A1B" w:rsidRPr="00177321" w:rsidRDefault="00F45A1B" w:rsidP="003B2358">
      <w:pPr>
        <w:jc w:val="both"/>
        <w:rPr>
          <w:rFonts w:ascii="Times New Roman" w:eastAsia="Times New Roman" w:hAnsi="Times New Roman" w:cs="Times New Roman"/>
          <w:u w:val="single"/>
          <w:lang w:eastAsia="fr-FR"/>
        </w:rPr>
      </w:pPr>
      <w:r w:rsidRPr="00177321">
        <w:rPr>
          <w:rFonts w:ascii="Times New Roman" w:eastAsia="Times New Roman" w:hAnsi="Times New Roman" w:cs="Times New Roman"/>
          <w:u w:val="single"/>
          <w:lang w:eastAsia="fr-FR"/>
        </w:rPr>
        <w:lastRenderedPageBreak/>
        <w:t xml:space="preserve">Graphique </w:t>
      </w:r>
      <w:r w:rsidR="00645590">
        <w:rPr>
          <w:rFonts w:ascii="Times New Roman" w:eastAsia="Times New Roman" w:hAnsi="Times New Roman" w:cs="Times New Roman"/>
          <w:u w:val="single"/>
          <w:lang w:eastAsia="fr-FR"/>
        </w:rPr>
        <w:t>6/7</w:t>
      </w:r>
      <w:r w:rsidRPr="00177321">
        <w:rPr>
          <w:rFonts w:ascii="Times New Roman" w:eastAsia="Times New Roman" w:hAnsi="Times New Roman" w:cs="Times New Roman"/>
          <w:u w:val="single"/>
          <w:lang w:eastAsia="fr-FR"/>
        </w:rPr>
        <w:t xml:space="preserve"> : Indice de Gini/Rapport interdécile et </w:t>
      </w:r>
      <w:proofErr w:type="spellStart"/>
      <w:r w:rsidRPr="00177321">
        <w:rPr>
          <w:rFonts w:ascii="Times New Roman" w:eastAsia="Times New Roman" w:hAnsi="Times New Roman" w:cs="Times New Roman"/>
          <w:u w:val="single"/>
          <w:lang w:eastAsia="fr-FR"/>
        </w:rPr>
        <w:t>interquintile</w:t>
      </w:r>
      <w:proofErr w:type="spellEnd"/>
      <w:r w:rsidRPr="00177321">
        <w:rPr>
          <w:rFonts w:ascii="Times New Roman" w:eastAsia="Times New Roman" w:hAnsi="Times New Roman" w:cs="Times New Roman"/>
          <w:u w:val="single"/>
          <w:lang w:eastAsia="fr-FR"/>
        </w:rPr>
        <w:t xml:space="preserve"> de 1975 à 2016 en France </w:t>
      </w:r>
    </w:p>
    <w:p w14:paraId="70F227B5" w14:textId="2EBCE141" w:rsidR="00357E57" w:rsidRPr="00177321" w:rsidRDefault="00645590" w:rsidP="003B2358">
      <w:pPr>
        <w:jc w:val="both"/>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14:anchorId="4C5D6E93" wp14:editId="1F1A477E">
            <wp:extent cx="5762625" cy="2876550"/>
            <wp:effectExtent l="0" t="0" r="9525" b="0"/>
            <wp:docPr id="17684011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7798B55F" w14:textId="70A21B03" w:rsidR="00357E57" w:rsidRPr="00177321" w:rsidRDefault="00155EF0"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 xml:space="preserve">Tout d’abord, nous pouvons constater avec l’indice de </w:t>
      </w:r>
      <w:r w:rsidR="0091643A" w:rsidRPr="00177321">
        <w:rPr>
          <w:rFonts w:ascii="Times New Roman" w:eastAsia="Times New Roman" w:hAnsi="Times New Roman" w:cs="Times New Roman"/>
          <w:lang w:eastAsia="fr-FR"/>
        </w:rPr>
        <w:t>G</w:t>
      </w:r>
      <w:r w:rsidRPr="00177321">
        <w:rPr>
          <w:rFonts w:ascii="Times New Roman" w:eastAsia="Times New Roman" w:hAnsi="Times New Roman" w:cs="Times New Roman"/>
          <w:lang w:eastAsia="fr-FR"/>
        </w:rPr>
        <w:t xml:space="preserve">ini que l’inégalité était tout d’abord en baisse de 1975 à 1983, cela nous fait encore référence </w:t>
      </w:r>
      <w:r w:rsidR="00274DE3">
        <w:rPr>
          <w:rFonts w:ascii="Times New Roman" w:eastAsia="Times New Roman" w:hAnsi="Times New Roman" w:cs="Times New Roman"/>
          <w:lang w:eastAsia="fr-FR"/>
        </w:rPr>
        <w:t>à la fin de l’âge d’or</w:t>
      </w:r>
      <w:r w:rsidRPr="00177321">
        <w:rPr>
          <w:rFonts w:ascii="Times New Roman" w:eastAsia="Times New Roman" w:hAnsi="Times New Roman" w:cs="Times New Roman"/>
          <w:lang w:eastAsia="fr-FR"/>
        </w:rPr>
        <w:t xml:space="preserve"> </w:t>
      </w:r>
      <w:r w:rsidR="00196CB1" w:rsidRPr="00177321">
        <w:rPr>
          <w:rFonts w:ascii="Times New Roman" w:eastAsia="Times New Roman" w:hAnsi="Times New Roman" w:cs="Times New Roman"/>
          <w:lang w:eastAsia="fr-FR"/>
        </w:rPr>
        <w:t>en termes de</w:t>
      </w:r>
      <w:r w:rsidRPr="00177321">
        <w:rPr>
          <w:rFonts w:ascii="Times New Roman" w:eastAsia="Times New Roman" w:hAnsi="Times New Roman" w:cs="Times New Roman"/>
          <w:lang w:eastAsia="fr-FR"/>
        </w:rPr>
        <w:t xml:space="preserve"> croissance de RDB, de pouvoir d’achat. Cependant L’inégalité s’est accrue constamment et s’est stabilisée juste avant le passage à l’euro. Cependant</w:t>
      </w:r>
      <w:r w:rsidR="00626C5D" w:rsidRPr="00177321">
        <w:rPr>
          <w:rFonts w:ascii="Times New Roman" w:eastAsia="Times New Roman" w:hAnsi="Times New Roman" w:cs="Times New Roman"/>
          <w:lang w:eastAsia="fr-FR"/>
        </w:rPr>
        <w:t xml:space="preserve"> l</w:t>
      </w:r>
      <w:r w:rsidR="00274DE3">
        <w:rPr>
          <w:rFonts w:ascii="Times New Roman" w:eastAsia="Times New Roman" w:hAnsi="Times New Roman" w:cs="Times New Roman"/>
          <w:lang w:eastAsia="fr-FR"/>
        </w:rPr>
        <w:t>orsque le</w:t>
      </w:r>
      <w:r w:rsidR="00626C5D" w:rsidRPr="00177321">
        <w:rPr>
          <w:rFonts w:ascii="Times New Roman" w:eastAsia="Times New Roman" w:hAnsi="Times New Roman" w:cs="Times New Roman"/>
          <w:lang w:eastAsia="fr-FR"/>
        </w:rPr>
        <w:t xml:space="preserve"> rapport interdécile et </w:t>
      </w:r>
      <w:proofErr w:type="spellStart"/>
      <w:r w:rsidR="00626C5D" w:rsidRPr="00177321">
        <w:rPr>
          <w:rFonts w:ascii="Times New Roman" w:eastAsia="Times New Roman" w:hAnsi="Times New Roman" w:cs="Times New Roman"/>
          <w:lang w:eastAsia="fr-FR"/>
        </w:rPr>
        <w:t>interquintile</w:t>
      </w:r>
      <w:proofErr w:type="spellEnd"/>
      <w:r w:rsidR="00274DE3">
        <w:rPr>
          <w:rFonts w:ascii="Times New Roman" w:eastAsia="Times New Roman" w:hAnsi="Times New Roman" w:cs="Times New Roman"/>
          <w:lang w:eastAsia="fr-FR"/>
        </w:rPr>
        <w:t xml:space="preserve"> est en hausse, </w:t>
      </w:r>
      <w:r w:rsidR="00626C5D" w:rsidRPr="00177321">
        <w:rPr>
          <w:rFonts w:ascii="Times New Roman" w:eastAsia="Times New Roman" w:hAnsi="Times New Roman" w:cs="Times New Roman"/>
          <w:lang w:eastAsia="fr-FR"/>
        </w:rPr>
        <w:t xml:space="preserve">l’indice de </w:t>
      </w:r>
      <w:r w:rsidR="00196CB1" w:rsidRPr="00177321">
        <w:rPr>
          <w:rFonts w:ascii="Times New Roman" w:eastAsia="Times New Roman" w:hAnsi="Times New Roman" w:cs="Times New Roman"/>
          <w:lang w:eastAsia="fr-FR"/>
        </w:rPr>
        <w:t>G</w:t>
      </w:r>
      <w:r w:rsidR="00626C5D" w:rsidRPr="00177321">
        <w:rPr>
          <w:rFonts w:ascii="Times New Roman" w:eastAsia="Times New Roman" w:hAnsi="Times New Roman" w:cs="Times New Roman"/>
          <w:lang w:eastAsia="fr-FR"/>
        </w:rPr>
        <w:t xml:space="preserve">ini </w:t>
      </w:r>
      <w:r w:rsidR="00274DE3">
        <w:rPr>
          <w:rFonts w:ascii="Times New Roman" w:eastAsia="Times New Roman" w:hAnsi="Times New Roman" w:cs="Times New Roman"/>
          <w:lang w:eastAsia="fr-FR"/>
        </w:rPr>
        <w:t>lui est en baisse,</w:t>
      </w:r>
      <w:r w:rsidR="00626C5D" w:rsidRPr="00177321">
        <w:rPr>
          <w:rFonts w:ascii="Times New Roman" w:eastAsia="Times New Roman" w:hAnsi="Times New Roman" w:cs="Times New Roman"/>
          <w:lang w:eastAsia="fr-FR"/>
        </w:rPr>
        <w:t xml:space="preserve"> ce qui est un peu contre intuitif car le rapport interdécile ou rapport </w:t>
      </w:r>
      <w:proofErr w:type="spellStart"/>
      <w:r w:rsidR="00626C5D" w:rsidRPr="00177321">
        <w:rPr>
          <w:rFonts w:ascii="Times New Roman" w:eastAsia="Times New Roman" w:hAnsi="Times New Roman" w:cs="Times New Roman"/>
          <w:lang w:eastAsia="fr-FR"/>
        </w:rPr>
        <w:t>interquintile</w:t>
      </w:r>
      <w:proofErr w:type="spellEnd"/>
      <w:r w:rsidR="00626C5D" w:rsidRPr="00177321">
        <w:rPr>
          <w:rFonts w:ascii="Times New Roman" w:eastAsia="Times New Roman" w:hAnsi="Times New Roman" w:cs="Times New Roman"/>
          <w:lang w:eastAsia="fr-FR"/>
        </w:rPr>
        <w:t xml:space="preserve"> mesure l’écart entre 2 niveaux de richesse des ménages, et là cela voudrait dire que cet écart s’est réduit</w:t>
      </w:r>
      <w:r w:rsidR="00660B44">
        <w:rPr>
          <w:rFonts w:ascii="Times New Roman" w:eastAsia="Times New Roman" w:hAnsi="Times New Roman" w:cs="Times New Roman"/>
          <w:lang w:eastAsia="fr-FR"/>
        </w:rPr>
        <w:t xml:space="preserve"> provoquant une baisse de l’inégalité ?</w:t>
      </w:r>
    </w:p>
    <w:p w14:paraId="78E6FA69" w14:textId="42FFD2E6" w:rsidR="00AF157B" w:rsidRPr="00177321" w:rsidRDefault="00AF157B"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 xml:space="preserve">Néanmoins, cela est possible et veut justement dire que les revenus des </w:t>
      </w:r>
      <w:r w:rsidR="00660B44">
        <w:rPr>
          <w:rFonts w:ascii="Times New Roman" w:eastAsia="Times New Roman" w:hAnsi="Times New Roman" w:cs="Times New Roman"/>
          <w:lang w:eastAsia="fr-FR"/>
        </w:rPr>
        <w:t>10%</w:t>
      </w:r>
      <w:r w:rsidRPr="00177321">
        <w:rPr>
          <w:rFonts w:ascii="Times New Roman" w:eastAsia="Times New Roman" w:hAnsi="Times New Roman" w:cs="Times New Roman"/>
          <w:lang w:eastAsia="fr-FR"/>
        </w:rPr>
        <w:t xml:space="preserve"> </w:t>
      </w:r>
      <w:r w:rsidR="00660B44">
        <w:rPr>
          <w:rFonts w:ascii="Times New Roman" w:eastAsia="Times New Roman" w:hAnsi="Times New Roman" w:cs="Times New Roman"/>
          <w:lang w:eastAsia="fr-FR"/>
        </w:rPr>
        <w:t>les plus riches</w:t>
      </w:r>
      <w:r w:rsidRPr="00177321">
        <w:rPr>
          <w:rFonts w:ascii="Times New Roman" w:eastAsia="Times New Roman" w:hAnsi="Times New Roman" w:cs="Times New Roman"/>
          <w:lang w:eastAsia="fr-FR"/>
        </w:rPr>
        <w:t xml:space="preserve"> </w:t>
      </w:r>
      <w:r w:rsidR="00660B44">
        <w:rPr>
          <w:rFonts w:ascii="Times New Roman" w:eastAsia="Times New Roman" w:hAnsi="Times New Roman" w:cs="Times New Roman"/>
          <w:lang w:eastAsia="fr-FR"/>
        </w:rPr>
        <w:t>ont</w:t>
      </w:r>
      <w:r w:rsidRPr="00177321">
        <w:rPr>
          <w:rFonts w:ascii="Times New Roman" w:eastAsia="Times New Roman" w:hAnsi="Times New Roman" w:cs="Times New Roman"/>
          <w:lang w:eastAsia="fr-FR"/>
        </w:rPr>
        <w:t xml:space="preserve"> nettement augmenté, et ceux des revenus des 10% les </w:t>
      </w:r>
      <w:r w:rsidR="00660B44">
        <w:rPr>
          <w:rFonts w:ascii="Times New Roman" w:eastAsia="Times New Roman" w:hAnsi="Times New Roman" w:cs="Times New Roman"/>
          <w:lang w:eastAsia="fr-FR"/>
        </w:rPr>
        <w:t>plus précaires</w:t>
      </w:r>
      <w:r w:rsidRPr="00177321">
        <w:rPr>
          <w:rFonts w:ascii="Times New Roman" w:eastAsia="Times New Roman" w:hAnsi="Times New Roman" w:cs="Times New Roman"/>
          <w:lang w:eastAsia="fr-FR"/>
        </w:rPr>
        <w:t xml:space="preserve"> </w:t>
      </w:r>
      <w:r w:rsidR="00904711" w:rsidRPr="00177321">
        <w:rPr>
          <w:rFonts w:ascii="Times New Roman" w:eastAsia="Times New Roman" w:hAnsi="Times New Roman" w:cs="Times New Roman"/>
          <w:lang w:eastAsia="fr-FR"/>
        </w:rPr>
        <w:t>ont</w:t>
      </w:r>
      <w:r w:rsidRPr="00177321">
        <w:rPr>
          <w:rFonts w:ascii="Times New Roman" w:eastAsia="Times New Roman" w:hAnsi="Times New Roman" w:cs="Times New Roman"/>
          <w:lang w:eastAsia="fr-FR"/>
        </w:rPr>
        <w:t xml:space="preserve"> légèrement augmenté, mais vu que les revenus des 10% les plus </w:t>
      </w:r>
      <w:r w:rsidR="002626B3">
        <w:rPr>
          <w:rFonts w:ascii="Times New Roman" w:eastAsia="Times New Roman" w:hAnsi="Times New Roman" w:cs="Times New Roman"/>
          <w:lang w:eastAsia="fr-FR"/>
        </w:rPr>
        <w:t>précaires</w:t>
      </w:r>
      <w:r w:rsidRPr="00177321">
        <w:rPr>
          <w:rFonts w:ascii="Times New Roman" w:eastAsia="Times New Roman" w:hAnsi="Times New Roman" w:cs="Times New Roman"/>
          <w:lang w:eastAsia="fr-FR"/>
        </w:rPr>
        <w:t xml:space="preserve"> représente une plus grande partie de la population quant aux revenus des </w:t>
      </w:r>
      <w:r w:rsidR="004205BE">
        <w:rPr>
          <w:rFonts w:ascii="Times New Roman" w:eastAsia="Times New Roman" w:hAnsi="Times New Roman" w:cs="Times New Roman"/>
          <w:lang w:eastAsia="fr-FR"/>
        </w:rPr>
        <w:t>1</w:t>
      </w:r>
      <w:r w:rsidRPr="00177321">
        <w:rPr>
          <w:rFonts w:ascii="Times New Roman" w:eastAsia="Times New Roman" w:hAnsi="Times New Roman" w:cs="Times New Roman"/>
          <w:lang w:eastAsia="fr-FR"/>
        </w:rPr>
        <w:t xml:space="preserve">0% </w:t>
      </w:r>
      <w:r w:rsidR="004205BE">
        <w:rPr>
          <w:rFonts w:ascii="Times New Roman" w:eastAsia="Times New Roman" w:hAnsi="Times New Roman" w:cs="Times New Roman"/>
          <w:lang w:eastAsia="fr-FR"/>
        </w:rPr>
        <w:t>les plus riches</w:t>
      </w:r>
      <w:r w:rsidRPr="00177321">
        <w:rPr>
          <w:rFonts w:ascii="Times New Roman" w:eastAsia="Times New Roman" w:hAnsi="Times New Roman" w:cs="Times New Roman"/>
          <w:lang w:eastAsia="fr-FR"/>
        </w:rPr>
        <w:t>, alors il peut y avoir une baisse de l’écart, mais également une hausse de l’inégalité au sens de l’indice de Gini car la répartition globale des revenus est devenue plus inégale.</w:t>
      </w:r>
    </w:p>
    <w:p w14:paraId="2CB8DB9C" w14:textId="77777777" w:rsidR="00357E57" w:rsidRPr="00177321" w:rsidRDefault="00357E57" w:rsidP="003B2358">
      <w:pPr>
        <w:jc w:val="both"/>
        <w:rPr>
          <w:rFonts w:ascii="Times New Roman" w:eastAsia="Times New Roman" w:hAnsi="Times New Roman" w:cs="Times New Roman"/>
          <w:lang w:eastAsia="fr-FR"/>
        </w:rPr>
      </w:pPr>
    </w:p>
    <w:p w14:paraId="4F37CC1F" w14:textId="77777777" w:rsidR="00357E57" w:rsidRPr="00177321" w:rsidRDefault="00357E57" w:rsidP="003B2358">
      <w:pPr>
        <w:jc w:val="both"/>
        <w:rPr>
          <w:rFonts w:ascii="Times New Roman" w:eastAsia="Times New Roman" w:hAnsi="Times New Roman" w:cs="Times New Roman"/>
          <w:lang w:eastAsia="fr-FR"/>
        </w:rPr>
      </w:pPr>
    </w:p>
    <w:p w14:paraId="57EBFE5D" w14:textId="77777777" w:rsidR="001E7FAB" w:rsidRPr="00177321" w:rsidRDefault="001E7FAB" w:rsidP="003B2358">
      <w:pPr>
        <w:jc w:val="both"/>
        <w:rPr>
          <w:rFonts w:ascii="Times New Roman" w:eastAsia="Times New Roman" w:hAnsi="Times New Roman" w:cs="Times New Roman"/>
          <w:lang w:eastAsia="fr-FR"/>
        </w:rPr>
      </w:pPr>
    </w:p>
    <w:p w14:paraId="33C55071" w14:textId="77777777" w:rsidR="001E7FAB" w:rsidRPr="00177321" w:rsidRDefault="001E7FAB" w:rsidP="003B2358">
      <w:pPr>
        <w:jc w:val="both"/>
        <w:rPr>
          <w:rFonts w:ascii="Times New Roman" w:eastAsia="Times New Roman" w:hAnsi="Times New Roman" w:cs="Times New Roman"/>
          <w:lang w:eastAsia="fr-FR"/>
        </w:rPr>
      </w:pPr>
    </w:p>
    <w:p w14:paraId="630B503B" w14:textId="77777777" w:rsidR="001E7FAB" w:rsidRPr="00177321" w:rsidRDefault="001E7FAB" w:rsidP="003B2358">
      <w:pPr>
        <w:jc w:val="both"/>
        <w:rPr>
          <w:rFonts w:ascii="Times New Roman" w:eastAsia="Times New Roman" w:hAnsi="Times New Roman" w:cs="Times New Roman"/>
          <w:lang w:eastAsia="fr-FR"/>
        </w:rPr>
      </w:pPr>
    </w:p>
    <w:p w14:paraId="7ABCEEBE" w14:textId="77777777" w:rsidR="001E7FAB" w:rsidRPr="00177321" w:rsidRDefault="001E7FAB" w:rsidP="003B2358">
      <w:pPr>
        <w:jc w:val="both"/>
        <w:rPr>
          <w:rFonts w:ascii="Times New Roman" w:eastAsia="Times New Roman" w:hAnsi="Times New Roman" w:cs="Times New Roman"/>
          <w:lang w:eastAsia="fr-FR"/>
        </w:rPr>
      </w:pPr>
    </w:p>
    <w:p w14:paraId="0AE1D000" w14:textId="77777777" w:rsidR="001E7FAB" w:rsidRPr="00177321" w:rsidRDefault="001E7FAB" w:rsidP="003B2358">
      <w:pPr>
        <w:jc w:val="both"/>
        <w:rPr>
          <w:rFonts w:ascii="Times New Roman" w:eastAsia="Times New Roman" w:hAnsi="Times New Roman" w:cs="Times New Roman"/>
          <w:lang w:eastAsia="fr-FR"/>
        </w:rPr>
      </w:pPr>
    </w:p>
    <w:p w14:paraId="41FC9E92" w14:textId="77777777" w:rsidR="001E7FAB" w:rsidRPr="00177321" w:rsidRDefault="001E7FAB" w:rsidP="003B2358">
      <w:pPr>
        <w:jc w:val="both"/>
        <w:rPr>
          <w:rFonts w:ascii="Times New Roman" w:eastAsia="Times New Roman" w:hAnsi="Times New Roman" w:cs="Times New Roman"/>
          <w:lang w:eastAsia="fr-FR"/>
        </w:rPr>
      </w:pPr>
    </w:p>
    <w:p w14:paraId="51EFF7B1" w14:textId="77777777" w:rsidR="001E7FAB" w:rsidRPr="00177321" w:rsidRDefault="001E7FAB" w:rsidP="003B2358">
      <w:pPr>
        <w:jc w:val="both"/>
        <w:rPr>
          <w:rFonts w:ascii="Times New Roman" w:eastAsia="Times New Roman" w:hAnsi="Times New Roman" w:cs="Times New Roman"/>
          <w:lang w:eastAsia="fr-FR"/>
        </w:rPr>
      </w:pPr>
    </w:p>
    <w:p w14:paraId="19F393C7" w14:textId="1F743031" w:rsidR="001E7FAB" w:rsidRPr="00177321" w:rsidRDefault="001E7FAB" w:rsidP="003B2358">
      <w:pPr>
        <w:jc w:val="both"/>
        <w:rPr>
          <w:rFonts w:ascii="Times New Roman" w:eastAsia="Times New Roman" w:hAnsi="Times New Roman" w:cs="Times New Roman"/>
          <w:u w:val="single"/>
          <w:lang w:eastAsia="fr-FR"/>
        </w:rPr>
      </w:pPr>
      <w:r w:rsidRPr="00177321">
        <w:rPr>
          <w:rFonts w:ascii="Times New Roman" w:eastAsia="Times New Roman" w:hAnsi="Times New Roman" w:cs="Times New Roman"/>
          <w:u w:val="single"/>
          <w:lang w:eastAsia="fr-FR"/>
        </w:rPr>
        <w:lastRenderedPageBreak/>
        <w:t xml:space="preserve">Graphique </w:t>
      </w:r>
      <w:r w:rsidR="009E3FC3">
        <w:rPr>
          <w:rFonts w:ascii="Times New Roman" w:eastAsia="Times New Roman" w:hAnsi="Times New Roman" w:cs="Times New Roman"/>
          <w:u w:val="single"/>
          <w:lang w:eastAsia="fr-FR"/>
        </w:rPr>
        <w:t>8</w:t>
      </w:r>
      <w:r w:rsidRPr="00177321">
        <w:rPr>
          <w:rFonts w:ascii="Times New Roman" w:eastAsia="Times New Roman" w:hAnsi="Times New Roman" w:cs="Times New Roman"/>
          <w:u w:val="single"/>
          <w:lang w:eastAsia="fr-FR"/>
        </w:rPr>
        <w:t> : 1</w:t>
      </w:r>
      <w:r w:rsidRPr="00177321">
        <w:rPr>
          <w:rFonts w:ascii="Times New Roman" w:eastAsia="Times New Roman" w:hAnsi="Times New Roman" w:cs="Times New Roman"/>
          <w:u w:val="single"/>
          <w:vertAlign w:val="superscript"/>
          <w:lang w:eastAsia="fr-FR"/>
        </w:rPr>
        <w:t>er</w:t>
      </w:r>
      <w:r w:rsidRPr="00177321">
        <w:rPr>
          <w:rFonts w:ascii="Times New Roman" w:eastAsia="Times New Roman" w:hAnsi="Times New Roman" w:cs="Times New Roman"/>
          <w:u w:val="single"/>
          <w:lang w:eastAsia="fr-FR"/>
        </w:rPr>
        <w:t xml:space="preserve"> décile et 9</w:t>
      </w:r>
      <w:r w:rsidRPr="00177321">
        <w:rPr>
          <w:rFonts w:ascii="Times New Roman" w:eastAsia="Times New Roman" w:hAnsi="Times New Roman" w:cs="Times New Roman"/>
          <w:u w:val="single"/>
          <w:vertAlign w:val="superscript"/>
          <w:lang w:eastAsia="fr-FR"/>
        </w:rPr>
        <w:t>ème</w:t>
      </w:r>
      <w:r w:rsidRPr="00177321">
        <w:rPr>
          <w:rFonts w:ascii="Times New Roman" w:eastAsia="Times New Roman" w:hAnsi="Times New Roman" w:cs="Times New Roman"/>
          <w:u w:val="single"/>
          <w:lang w:eastAsia="fr-FR"/>
        </w:rPr>
        <w:t xml:space="preserve"> décile de 1975 à 2016 en France</w:t>
      </w:r>
    </w:p>
    <w:p w14:paraId="31E5D8F1" w14:textId="4ACDAB77" w:rsidR="004220EF" w:rsidRPr="00177321" w:rsidRDefault="00357E57"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noProof/>
          <w:lang w:eastAsia="fr-FR"/>
        </w:rPr>
        <w:drawing>
          <wp:inline distT="0" distB="0" distL="0" distR="0" wp14:anchorId="32FA117E" wp14:editId="46D01D4B">
            <wp:extent cx="5762625" cy="2876550"/>
            <wp:effectExtent l="0" t="0" r="9525" b="0"/>
            <wp:docPr id="120894897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0FB6E9CD" w14:textId="0E7FC0CE" w:rsidR="00357E57" w:rsidRPr="00177321" w:rsidRDefault="00D071B7" w:rsidP="003B2358">
      <w:pPr>
        <w:jc w:val="both"/>
        <w:rPr>
          <w:rFonts w:ascii="Times New Roman" w:eastAsia="Times New Roman" w:hAnsi="Times New Roman" w:cs="Times New Roman"/>
          <w:lang w:eastAsia="fr-FR"/>
        </w:rPr>
      </w:pPr>
      <w:r w:rsidRPr="00177321">
        <w:rPr>
          <w:rFonts w:ascii="Times New Roman" w:eastAsia="Times New Roman" w:hAnsi="Times New Roman" w:cs="Times New Roman"/>
          <w:lang w:eastAsia="fr-FR"/>
        </w:rPr>
        <w:t>Ce graphique permet de voir l’énorme différence de revenu annuel entre deux groupes de personnes, le premier décile qui sont les revenus des 10% les plus précaires, et le neuvième décile qui sont les revenus des 10% les plus riches.</w:t>
      </w:r>
      <w:r w:rsidR="008C7D6A" w:rsidRPr="00177321">
        <w:rPr>
          <w:rFonts w:ascii="Times New Roman" w:eastAsia="Times New Roman" w:hAnsi="Times New Roman" w:cs="Times New Roman"/>
          <w:lang w:eastAsia="fr-FR"/>
        </w:rPr>
        <w:t xml:space="preserve"> Cela nous permet de mieux comprendre les graphiques précédents, </w:t>
      </w:r>
      <w:r w:rsidR="00C92C22" w:rsidRPr="00177321">
        <w:rPr>
          <w:rFonts w:ascii="Times New Roman" w:eastAsia="Times New Roman" w:hAnsi="Times New Roman" w:cs="Times New Roman"/>
          <w:lang w:eastAsia="fr-FR"/>
        </w:rPr>
        <w:t>car</w:t>
      </w:r>
      <w:r w:rsidR="008C7D6A" w:rsidRPr="00177321">
        <w:rPr>
          <w:rFonts w:ascii="Times New Roman" w:eastAsia="Times New Roman" w:hAnsi="Times New Roman" w:cs="Times New Roman"/>
          <w:lang w:eastAsia="fr-FR"/>
        </w:rPr>
        <w:t xml:space="preserve"> on constate que le </w:t>
      </w:r>
      <w:r w:rsidR="00F72581" w:rsidRPr="00177321">
        <w:rPr>
          <w:rFonts w:ascii="Times New Roman" w:eastAsia="Times New Roman" w:hAnsi="Times New Roman" w:cs="Times New Roman"/>
          <w:lang w:eastAsia="fr-FR"/>
        </w:rPr>
        <w:t>1</w:t>
      </w:r>
      <w:r w:rsidR="00F72581" w:rsidRPr="00177321">
        <w:rPr>
          <w:rFonts w:ascii="Times New Roman" w:eastAsia="Times New Roman" w:hAnsi="Times New Roman" w:cs="Times New Roman"/>
          <w:vertAlign w:val="superscript"/>
          <w:lang w:eastAsia="fr-FR"/>
        </w:rPr>
        <w:t>er</w:t>
      </w:r>
      <w:r w:rsidR="00F72581" w:rsidRPr="00177321">
        <w:rPr>
          <w:rFonts w:ascii="Times New Roman" w:eastAsia="Times New Roman" w:hAnsi="Times New Roman" w:cs="Times New Roman"/>
          <w:lang w:eastAsia="fr-FR"/>
        </w:rPr>
        <w:t xml:space="preserve"> décile</w:t>
      </w:r>
      <w:r w:rsidR="008C7D6A" w:rsidRPr="00177321">
        <w:rPr>
          <w:rFonts w:ascii="Times New Roman" w:eastAsia="Times New Roman" w:hAnsi="Times New Roman" w:cs="Times New Roman"/>
          <w:lang w:eastAsia="fr-FR"/>
        </w:rPr>
        <w:t xml:space="preserve"> a eu une légère augmentation sur le temps, tandis que ceux du 9</w:t>
      </w:r>
      <w:r w:rsidR="008C7D6A" w:rsidRPr="00177321">
        <w:rPr>
          <w:rFonts w:ascii="Times New Roman" w:eastAsia="Times New Roman" w:hAnsi="Times New Roman" w:cs="Times New Roman"/>
          <w:vertAlign w:val="superscript"/>
          <w:lang w:eastAsia="fr-FR"/>
        </w:rPr>
        <w:t>ème</w:t>
      </w:r>
      <w:r w:rsidR="008C7D6A" w:rsidRPr="00177321">
        <w:rPr>
          <w:rFonts w:ascii="Times New Roman" w:eastAsia="Times New Roman" w:hAnsi="Times New Roman" w:cs="Times New Roman"/>
          <w:lang w:eastAsia="fr-FR"/>
        </w:rPr>
        <w:t xml:space="preserve"> décile ont eu une</w:t>
      </w:r>
      <w:r w:rsidR="009E3FC3">
        <w:rPr>
          <w:rFonts w:ascii="Times New Roman" w:eastAsia="Times New Roman" w:hAnsi="Times New Roman" w:cs="Times New Roman"/>
          <w:lang w:eastAsia="fr-FR"/>
        </w:rPr>
        <w:t xml:space="preserve"> plus grande</w:t>
      </w:r>
      <w:r w:rsidR="008C7D6A" w:rsidRPr="00177321">
        <w:rPr>
          <w:rFonts w:ascii="Times New Roman" w:eastAsia="Times New Roman" w:hAnsi="Times New Roman" w:cs="Times New Roman"/>
          <w:lang w:eastAsia="fr-FR"/>
        </w:rPr>
        <w:t xml:space="preserve"> augmentation sur le temps. On peut voir cependant après 2008 que le 1</w:t>
      </w:r>
      <w:r w:rsidR="008C7D6A" w:rsidRPr="00177321">
        <w:rPr>
          <w:rFonts w:ascii="Times New Roman" w:eastAsia="Times New Roman" w:hAnsi="Times New Roman" w:cs="Times New Roman"/>
          <w:vertAlign w:val="superscript"/>
          <w:lang w:eastAsia="fr-FR"/>
        </w:rPr>
        <w:t>er</w:t>
      </w:r>
      <w:r w:rsidR="008C7D6A" w:rsidRPr="00177321">
        <w:rPr>
          <w:rFonts w:ascii="Times New Roman" w:eastAsia="Times New Roman" w:hAnsi="Times New Roman" w:cs="Times New Roman"/>
          <w:lang w:eastAsia="fr-FR"/>
        </w:rPr>
        <w:t xml:space="preserve"> décile stagne voire diminue légèrement jusqu’à 2016, tandis que le 9</w:t>
      </w:r>
      <w:r w:rsidR="008C7D6A" w:rsidRPr="00177321">
        <w:rPr>
          <w:rFonts w:ascii="Times New Roman" w:eastAsia="Times New Roman" w:hAnsi="Times New Roman" w:cs="Times New Roman"/>
          <w:vertAlign w:val="superscript"/>
          <w:lang w:eastAsia="fr-FR"/>
        </w:rPr>
        <w:t>ème</w:t>
      </w:r>
      <w:r w:rsidR="008C7D6A" w:rsidRPr="00177321">
        <w:rPr>
          <w:rFonts w:ascii="Times New Roman" w:eastAsia="Times New Roman" w:hAnsi="Times New Roman" w:cs="Times New Roman"/>
          <w:lang w:eastAsia="fr-FR"/>
        </w:rPr>
        <w:t xml:space="preserve"> décile a une hausse significative.</w:t>
      </w:r>
      <w:r w:rsidR="00C92C22" w:rsidRPr="00177321">
        <w:rPr>
          <w:rFonts w:ascii="Times New Roman" w:eastAsia="Times New Roman" w:hAnsi="Times New Roman" w:cs="Times New Roman"/>
          <w:lang w:eastAsia="fr-FR"/>
        </w:rPr>
        <w:t xml:space="preserve"> Cela explique pourquoi le rapport interdécile a repris à la hausse dans le précédent graphique.</w:t>
      </w:r>
      <w:r w:rsidR="00697CA4" w:rsidRPr="00177321">
        <w:rPr>
          <w:rFonts w:ascii="Times New Roman" w:eastAsia="Times New Roman" w:hAnsi="Times New Roman" w:cs="Times New Roman"/>
          <w:lang w:eastAsia="fr-FR"/>
        </w:rPr>
        <w:t xml:space="preserve"> </w:t>
      </w:r>
    </w:p>
    <w:p w14:paraId="26F343FD" w14:textId="77777777" w:rsidR="00357E57" w:rsidRPr="00177321" w:rsidRDefault="00357E57" w:rsidP="003B2358">
      <w:pPr>
        <w:jc w:val="both"/>
        <w:rPr>
          <w:rFonts w:ascii="Times New Roman" w:eastAsia="Times New Roman" w:hAnsi="Times New Roman" w:cs="Times New Roman"/>
          <w:lang w:eastAsia="fr-FR"/>
        </w:rPr>
      </w:pPr>
    </w:p>
    <w:p w14:paraId="2ED816E0" w14:textId="77777777" w:rsidR="00357E57" w:rsidRPr="00177321" w:rsidRDefault="00357E57" w:rsidP="003B2358">
      <w:pPr>
        <w:jc w:val="both"/>
        <w:rPr>
          <w:rFonts w:ascii="Times New Roman" w:eastAsia="Times New Roman" w:hAnsi="Times New Roman" w:cs="Times New Roman"/>
          <w:lang w:eastAsia="fr-FR"/>
        </w:rPr>
      </w:pPr>
    </w:p>
    <w:p w14:paraId="13E72C44" w14:textId="77777777" w:rsidR="00357E57" w:rsidRPr="00177321" w:rsidRDefault="00357E57" w:rsidP="003B2358">
      <w:pPr>
        <w:jc w:val="both"/>
        <w:rPr>
          <w:rFonts w:ascii="Times New Roman" w:eastAsia="Times New Roman" w:hAnsi="Times New Roman" w:cs="Times New Roman"/>
          <w:lang w:eastAsia="fr-FR"/>
        </w:rPr>
      </w:pPr>
    </w:p>
    <w:p w14:paraId="79428A7B" w14:textId="77777777" w:rsidR="00357E57" w:rsidRPr="00177321" w:rsidRDefault="00357E57" w:rsidP="003B2358">
      <w:pPr>
        <w:jc w:val="both"/>
        <w:rPr>
          <w:rFonts w:ascii="Times New Roman" w:eastAsia="Times New Roman" w:hAnsi="Times New Roman" w:cs="Times New Roman"/>
          <w:lang w:eastAsia="fr-FR"/>
        </w:rPr>
      </w:pPr>
    </w:p>
    <w:p w14:paraId="6BA95F3A" w14:textId="77777777" w:rsidR="00357E57" w:rsidRPr="00177321" w:rsidRDefault="00357E57" w:rsidP="003B2358">
      <w:pPr>
        <w:jc w:val="both"/>
        <w:rPr>
          <w:rFonts w:ascii="Times New Roman" w:eastAsia="Times New Roman" w:hAnsi="Times New Roman" w:cs="Times New Roman"/>
          <w:lang w:eastAsia="fr-FR"/>
        </w:rPr>
      </w:pPr>
    </w:p>
    <w:p w14:paraId="1ABCBCE0" w14:textId="77777777" w:rsidR="00357E57" w:rsidRPr="00177321" w:rsidRDefault="00357E57" w:rsidP="003B2358">
      <w:pPr>
        <w:jc w:val="both"/>
        <w:rPr>
          <w:rFonts w:ascii="Times New Roman" w:eastAsia="Times New Roman" w:hAnsi="Times New Roman" w:cs="Times New Roman"/>
          <w:lang w:eastAsia="fr-FR"/>
        </w:rPr>
      </w:pPr>
    </w:p>
    <w:p w14:paraId="7600BF79" w14:textId="77777777" w:rsidR="00357E57" w:rsidRPr="00177321" w:rsidRDefault="00357E57" w:rsidP="003B2358">
      <w:pPr>
        <w:jc w:val="both"/>
        <w:rPr>
          <w:rFonts w:ascii="Times New Roman" w:eastAsia="Times New Roman" w:hAnsi="Times New Roman" w:cs="Times New Roman"/>
          <w:lang w:eastAsia="fr-FR"/>
        </w:rPr>
      </w:pPr>
    </w:p>
    <w:p w14:paraId="44E85707" w14:textId="77777777" w:rsidR="00357E57" w:rsidRPr="00177321" w:rsidRDefault="00357E57" w:rsidP="003B2358">
      <w:pPr>
        <w:jc w:val="both"/>
        <w:rPr>
          <w:rFonts w:ascii="Times New Roman" w:eastAsia="Times New Roman" w:hAnsi="Times New Roman" w:cs="Times New Roman"/>
          <w:lang w:eastAsia="fr-FR"/>
        </w:rPr>
      </w:pPr>
    </w:p>
    <w:p w14:paraId="76246603" w14:textId="77777777" w:rsidR="00871AAF" w:rsidRDefault="00871AAF" w:rsidP="003B2358">
      <w:pPr>
        <w:jc w:val="both"/>
        <w:rPr>
          <w:rFonts w:ascii="Times New Roman" w:eastAsia="Times New Roman" w:hAnsi="Times New Roman" w:cs="Times New Roman"/>
          <w:lang w:eastAsia="fr-FR"/>
        </w:rPr>
      </w:pPr>
    </w:p>
    <w:p w14:paraId="1EC8739C" w14:textId="77777777" w:rsidR="006135A3" w:rsidRPr="00177321" w:rsidRDefault="006135A3" w:rsidP="003B2358">
      <w:pPr>
        <w:jc w:val="both"/>
        <w:rPr>
          <w:rFonts w:ascii="Times New Roman" w:eastAsia="Times New Roman" w:hAnsi="Times New Roman" w:cs="Times New Roman"/>
          <w:lang w:eastAsia="fr-FR"/>
        </w:rPr>
      </w:pPr>
    </w:p>
    <w:p w14:paraId="69B56326" w14:textId="77777777" w:rsidR="00A96883" w:rsidRDefault="00A96883" w:rsidP="00AF5941">
      <w:pPr>
        <w:spacing w:after="0" w:line="240" w:lineRule="auto"/>
        <w:ind w:left="360" w:firstLine="348"/>
        <w:jc w:val="both"/>
        <w:rPr>
          <w:rFonts w:ascii="Times New Roman" w:eastAsia="Times New Roman" w:hAnsi="Times New Roman" w:cs="Times New Roman"/>
          <w:b/>
          <w:u w:val="single"/>
          <w:lang w:eastAsia="fr-FR"/>
        </w:rPr>
      </w:pPr>
    </w:p>
    <w:p w14:paraId="47DC2A59" w14:textId="77777777" w:rsidR="00803B2A" w:rsidRDefault="00803B2A" w:rsidP="00AF5941">
      <w:pPr>
        <w:spacing w:after="0" w:line="240" w:lineRule="auto"/>
        <w:ind w:left="360" w:firstLine="348"/>
        <w:jc w:val="both"/>
        <w:rPr>
          <w:rFonts w:ascii="Times New Roman" w:eastAsia="Times New Roman" w:hAnsi="Times New Roman" w:cs="Times New Roman"/>
          <w:b/>
          <w:u w:val="single"/>
          <w:lang w:eastAsia="fr-FR"/>
        </w:rPr>
      </w:pPr>
    </w:p>
    <w:p w14:paraId="394B6F2F" w14:textId="77777777" w:rsidR="009E3FC3" w:rsidRDefault="00AF5941" w:rsidP="00293A20">
      <w:pPr>
        <w:pStyle w:val="Titre2"/>
        <w:ind w:firstLine="708"/>
        <w:rPr>
          <w:rFonts w:eastAsia="Times New Roman"/>
          <w:lang w:eastAsia="fr-FR"/>
        </w:rPr>
      </w:pPr>
      <w:bookmarkStart w:id="4" w:name="_Toc162512576"/>
      <w:r w:rsidRPr="00177321">
        <w:rPr>
          <w:rFonts w:eastAsia="Times New Roman"/>
          <w:lang w:eastAsia="fr-FR"/>
        </w:rPr>
        <w:lastRenderedPageBreak/>
        <w:t>Statistiques Bivariés</w:t>
      </w:r>
      <w:bookmarkEnd w:id="4"/>
    </w:p>
    <w:p w14:paraId="5A7225CF" w14:textId="77777777" w:rsidR="00D155F2" w:rsidRPr="00D155F2" w:rsidRDefault="00D155F2" w:rsidP="00D155F2">
      <w:pPr>
        <w:rPr>
          <w:lang w:eastAsia="fr-FR"/>
        </w:rPr>
      </w:pPr>
    </w:p>
    <w:p w14:paraId="619DDA94" w14:textId="77777777" w:rsidR="00D155F2" w:rsidRDefault="00AF5941" w:rsidP="00AF322A">
      <w:pPr>
        <w:rPr>
          <w:rFonts w:ascii="Times New Roman" w:hAnsi="Times New Roman" w:cs="Times New Roman"/>
          <w:u w:val="single"/>
          <w:lang w:eastAsia="fr-FR"/>
        </w:rPr>
      </w:pPr>
      <w:r w:rsidRPr="009E3FC3">
        <w:rPr>
          <w:rFonts w:ascii="Times New Roman" w:hAnsi="Times New Roman" w:cs="Times New Roman"/>
          <w:u w:val="single"/>
          <w:lang w:eastAsia="fr-FR"/>
        </w:rPr>
        <w:t> </w:t>
      </w:r>
      <w:r w:rsidR="009E3FC3" w:rsidRPr="009E3FC3">
        <w:rPr>
          <w:rFonts w:ascii="Times New Roman" w:hAnsi="Times New Roman" w:cs="Times New Roman"/>
          <w:u w:val="single"/>
          <w:lang w:eastAsia="fr-FR"/>
        </w:rPr>
        <w:t xml:space="preserve">Graphique </w:t>
      </w:r>
      <w:r w:rsidR="009E3FC3" w:rsidRPr="009E3FC3">
        <w:rPr>
          <w:rFonts w:ascii="Times New Roman" w:hAnsi="Times New Roman" w:cs="Times New Roman"/>
          <w:u w:val="single"/>
          <w:lang w:eastAsia="fr-FR"/>
        </w:rPr>
        <w:t>9</w:t>
      </w:r>
      <w:r w:rsidR="009E3FC3" w:rsidRPr="009E3FC3">
        <w:rPr>
          <w:rFonts w:ascii="Times New Roman" w:hAnsi="Times New Roman" w:cs="Times New Roman"/>
          <w:u w:val="single"/>
          <w:lang w:eastAsia="fr-FR"/>
        </w:rPr>
        <w:t xml:space="preserve"> : </w:t>
      </w:r>
      <w:r w:rsidR="00AF322A">
        <w:rPr>
          <w:rFonts w:ascii="Times New Roman" w:hAnsi="Times New Roman" w:cs="Times New Roman"/>
          <w:u w:val="single"/>
          <w:lang w:eastAsia="fr-FR"/>
        </w:rPr>
        <w:t>Matrice de corrélation</w:t>
      </w:r>
    </w:p>
    <w:p w14:paraId="25DB7ADD" w14:textId="682153EF" w:rsidR="00871AAF" w:rsidRPr="00AF322A" w:rsidRDefault="009E3FC3" w:rsidP="00AF322A">
      <w:pPr>
        <w:rPr>
          <w:rFonts w:ascii="Times New Roman" w:hAnsi="Times New Roman" w:cs="Times New Roman"/>
          <w:u w:val="single"/>
          <w:lang w:eastAsia="fr-FR"/>
        </w:rPr>
      </w:pPr>
      <w:r>
        <w:rPr>
          <w:rFonts w:ascii="Times New Roman" w:eastAsia="Times New Roman" w:hAnsi="Times New Roman" w:cs="Times New Roman"/>
          <w:noProof/>
          <w:lang w:eastAsia="fr-FR"/>
        </w:rPr>
        <w:drawing>
          <wp:anchor distT="0" distB="0" distL="114300" distR="114300" simplePos="0" relativeHeight="251660288" behindDoc="0" locked="0" layoutInCell="1" allowOverlap="1" wp14:anchorId="243C4C11" wp14:editId="69919BFC">
            <wp:simplePos x="0" y="0"/>
            <wp:positionH relativeFrom="column">
              <wp:posOffset>-347345</wp:posOffset>
            </wp:positionH>
            <wp:positionV relativeFrom="paragraph">
              <wp:posOffset>248285</wp:posOffset>
            </wp:positionV>
            <wp:extent cx="6477000" cy="5181600"/>
            <wp:effectExtent l="0" t="0" r="0" b="0"/>
            <wp:wrapSquare wrapText="bothSides"/>
            <wp:docPr id="3906954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33767" w14:textId="02314649" w:rsidR="006212EE" w:rsidRPr="00177321" w:rsidRDefault="00D155F2" w:rsidP="003B2358">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Grâce à cette matrice de corrélation, on peut observer les différentes dépendances entre les variables. En effet, sur la deuxième colonne en partant de la droite, on peut voir que la variable « </w:t>
      </w:r>
      <w:proofErr w:type="spellStart"/>
      <w:r>
        <w:rPr>
          <w:rFonts w:ascii="Times New Roman" w:eastAsia="Times New Roman" w:hAnsi="Times New Roman" w:cs="Times New Roman"/>
          <w:lang w:eastAsia="fr-FR"/>
        </w:rPr>
        <w:t>pop_satisfaction</w:t>
      </w:r>
      <w:proofErr w:type="spellEnd"/>
      <w:r>
        <w:rPr>
          <w:rFonts w:ascii="Times New Roman" w:eastAsia="Times New Roman" w:hAnsi="Times New Roman" w:cs="Times New Roman"/>
          <w:lang w:eastAsia="fr-FR"/>
        </w:rPr>
        <w:t> », notre variable endogène, est extrêmement corrélée avec des indicateurs d’inégalité comme l’écart interdécile, le neuvième décile et autre. En plus de cela, elle est corrélée à des indicateurs économiques</w:t>
      </w:r>
      <w:r w:rsidR="00AA6F12">
        <w:rPr>
          <w:rFonts w:ascii="Times New Roman" w:eastAsia="Times New Roman" w:hAnsi="Times New Roman" w:cs="Times New Roman"/>
          <w:lang w:eastAsia="fr-FR"/>
        </w:rPr>
        <w:t xml:space="preserve"> comme l’indice de prix à la consommation, ou encore le RDB et autre. Beaucoup de variables ont une certaine corrélation avec la variable endogène, cependant on ne pourra pas les mettre ensemble. En effet il y a énormément de corrélations entre les variables comme la dépense consommation finale des ménages avec l’indice prix à la consommation, ou encore le RDB… toutes ces corrélations vont avoir pour résultat des </w:t>
      </w:r>
      <w:proofErr w:type="spellStart"/>
      <w:r w:rsidR="00AA6F12">
        <w:rPr>
          <w:rFonts w:ascii="Times New Roman" w:eastAsia="Times New Roman" w:hAnsi="Times New Roman" w:cs="Times New Roman"/>
          <w:lang w:eastAsia="fr-FR"/>
        </w:rPr>
        <w:t>pvalue</w:t>
      </w:r>
      <w:proofErr w:type="spellEnd"/>
      <w:r w:rsidR="00AA6F12">
        <w:rPr>
          <w:rFonts w:ascii="Times New Roman" w:eastAsia="Times New Roman" w:hAnsi="Times New Roman" w:cs="Times New Roman"/>
          <w:lang w:eastAsia="fr-FR"/>
        </w:rPr>
        <w:t xml:space="preserve"> extrêmement élevées dans le modèle. Ainsi les coefficients ne rejetteront pas l’hypothèse nulle et pourront être potentiellement égaux à 0</w:t>
      </w:r>
      <w:r w:rsidR="00E53903">
        <w:rPr>
          <w:rFonts w:ascii="Times New Roman" w:eastAsia="Times New Roman" w:hAnsi="Times New Roman" w:cs="Times New Roman"/>
          <w:lang w:eastAsia="fr-FR"/>
        </w:rPr>
        <w:t>. Passons désormais à la modélisation économétrique</w:t>
      </w:r>
      <w:r w:rsidR="00A3115E">
        <w:rPr>
          <w:rFonts w:ascii="Times New Roman" w:eastAsia="Times New Roman" w:hAnsi="Times New Roman" w:cs="Times New Roman"/>
          <w:lang w:eastAsia="fr-FR"/>
        </w:rPr>
        <w:t>.</w:t>
      </w:r>
    </w:p>
    <w:p w14:paraId="5FEFF510" w14:textId="34E448D2" w:rsidR="00CC3258" w:rsidRDefault="00967743" w:rsidP="004D5891">
      <w:pPr>
        <w:pStyle w:val="Titre1"/>
        <w:rPr>
          <w:rFonts w:eastAsia="Times New Roman"/>
          <w:lang w:eastAsia="fr-FR"/>
        </w:rPr>
      </w:pPr>
      <w:r w:rsidRPr="00177321">
        <w:rPr>
          <w:rFonts w:eastAsia="Times New Roman"/>
          <w:lang w:eastAsia="fr-FR"/>
        </w:rPr>
        <w:lastRenderedPageBreak/>
        <w:t xml:space="preserve"> </w:t>
      </w:r>
      <w:bookmarkStart w:id="5" w:name="_Toc162512577"/>
      <w:r w:rsidRPr="00177321">
        <w:rPr>
          <w:rFonts w:eastAsia="Times New Roman"/>
          <w:lang w:eastAsia="fr-FR"/>
        </w:rPr>
        <w:t>Modèle économétrique</w:t>
      </w:r>
      <w:bookmarkEnd w:id="5"/>
      <w:r w:rsidRPr="00177321">
        <w:rPr>
          <w:rFonts w:eastAsia="Times New Roman"/>
          <w:lang w:eastAsia="fr-FR"/>
        </w:rPr>
        <w:t xml:space="preserve"> </w:t>
      </w:r>
    </w:p>
    <w:p w14:paraId="0962243F" w14:textId="5F9D8639" w:rsidR="00082910" w:rsidRPr="008C21D3" w:rsidRDefault="003566C6" w:rsidP="003566C6">
      <w:pPr>
        <w:rPr>
          <w:lang w:eastAsia="fr-FR"/>
        </w:rPr>
      </w:pPr>
      <w:r w:rsidRPr="00B0477F">
        <w:rPr>
          <w:b/>
          <w:bCs/>
          <w:u w:val="single"/>
          <w:lang w:eastAsia="fr-FR"/>
        </w:rPr>
        <w:t>Premier modèle économétrique :</w:t>
      </w:r>
      <w:r w:rsidR="008C21D3">
        <w:rPr>
          <w:u w:val="single"/>
          <w:lang w:eastAsia="fr-FR"/>
        </w:rPr>
        <w:t xml:space="preserve"> </w:t>
      </w:r>
      <w:r>
        <w:rPr>
          <w:lang w:eastAsia="fr-FR"/>
        </w:rPr>
        <w:t xml:space="preserve"> </w:t>
      </w:r>
      <m:oMath>
        <m:r>
          <w:rPr>
            <w:rFonts w:ascii="Cambria Math" w:hAnsi="Cambria Math"/>
            <w:lang w:eastAsia="fr-FR"/>
          </w:rPr>
          <m:t>po</m:t>
        </m:r>
        <m:sSub>
          <m:sSubPr>
            <m:ctrlPr>
              <w:rPr>
                <w:rFonts w:ascii="Cambria Math" w:hAnsi="Cambria Math"/>
                <w:i/>
                <w:lang w:eastAsia="fr-FR"/>
              </w:rPr>
            </m:ctrlPr>
          </m:sSubPr>
          <m:e>
            <m:r>
              <w:rPr>
                <w:rFonts w:ascii="Cambria Math" w:hAnsi="Cambria Math"/>
                <w:lang w:eastAsia="fr-FR"/>
              </w:rPr>
              <m:t>p</m:t>
            </m:r>
          </m:e>
          <m:sub>
            <m:r>
              <w:rPr>
                <w:rFonts w:ascii="Cambria Math" w:hAnsi="Cambria Math"/>
                <w:lang w:eastAsia="fr-FR"/>
              </w:rPr>
              <m:t>satisfaction</m:t>
            </m:r>
          </m:sub>
        </m:sSub>
        <m:r>
          <w:rPr>
            <w:rFonts w:ascii="Cambria Math" w:hAnsi="Cambria Math"/>
            <w:lang w:eastAsia="fr-FR"/>
          </w:rPr>
          <m:t>=2.453+</m:t>
        </m:r>
        <m:d>
          <m:dPr>
            <m:ctrlPr>
              <w:rPr>
                <w:rFonts w:ascii="Cambria Math" w:hAnsi="Cambria Math"/>
                <w:i/>
                <w:lang w:eastAsia="fr-FR"/>
              </w:rPr>
            </m:ctrlPr>
          </m:dPr>
          <m:e>
            <m:r>
              <w:rPr>
                <w:rFonts w:ascii="Cambria Math" w:hAnsi="Cambria Math"/>
                <w:lang w:eastAsia="fr-FR"/>
              </w:rPr>
              <m:t>-0.352</m:t>
            </m:r>
          </m:e>
        </m:d>
        <m:r>
          <w:rPr>
            <w:rFonts w:ascii="Cambria Math" w:eastAsiaTheme="minorEastAsia" w:hAnsi="Cambria Math"/>
            <w:lang w:eastAsia="fr-FR"/>
          </w:rPr>
          <m:t>*tau</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chomage</m:t>
            </m:r>
          </m:sub>
        </m:sSub>
        <m:r>
          <w:rPr>
            <w:rFonts w:ascii="Cambria Math" w:eastAsiaTheme="minorEastAsia" w:hAnsi="Cambria Math"/>
            <w:lang w:eastAsia="fr-FR"/>
          </w:rPr>
          <m:t>+</m:t>
        </m:r>
        <m:d>
          <m:dPr>
            <m:ctrlPr>
              <w:rPr>
                <w:rFonts w:ascii="Cambria Math" w:eastAsiaTheme="minorEastAsia" w:hAnsi="Cambria Math"/>
                <w:i/>
                <w:lang w:eastAsia="fr-FR"/>
              </w:rPr>
            </m:ctrlPr>
          </m:dPr>
          <m:e>
            <m:r>
              <w:rPr>
                <w:rFonts w:ascii="Cambria Math" w:eastAsiaTheme="minorEastAsia" w:hAnsi="Cambria Math"/>
                <w:lang w:eastAsia="fr-FR"/>
              </w:rPr>
              <m:t>-5.809</m:t>
            </m:r>
          </m:e>
        </m:d>
        <m:r>
          <w:rPr>
            <w:rFonts w:ascii="Cambria Math" w:eastAsiaTheme="minorEastAsia" w:hAnsi="Cambria Math"/>
            <w:lang w:eastAsia="fr-FR"/>
          </w:rPr>
          <m:t>*RDB+5.159*IP</m:t>
        </m:r>
        <m:sSub>
          <m:sSubPr>
            <m:ctrlPr>
              <w:rPr>
                <w:rFonts w:ascii="Cambria Math" w:eastAsiaTheme="minorEastAsia" w:hAnsi="Cambria Math"/>
                <w:i/>
                <w:lang w:eastAsia="fr-FR"/>
              </w:rPr>
            </m:ctrlPr>
          </m:sSubPr>
          <m:e>
            <m:r>
              <w:rPr>
                <w:rFonts w:ascii="Cambria Math" w:eastAsiaTheme="minorEastAsia" w:hAnsi="Cambria Math"/>
                <w:lang w:eastAsia="fr-FR"/>
              </w:rPr>
              <m:t>C</m:t>
            </m:r>
          </m:e>
          <m:sub>
            <m:r>
              <w:rPr>
                <w:rFonts w:ascii="Cambria Math" w:eastAsiaTheme="minorEastAsia" w:hAnsi="Cambria Math"/>
                <w:lang w:eastAsia="fr-FR"/>
              </w:rPr>
              <m:t>fina</m:t>
            </m:r>
            <m:sSub>
              <m:sSubPr>
                <m:ctrlPr>
                  <w:rPr>
                    <w:rFonts w:ascii="Cambria Math" w:eastAsiaTheme="minorEastAsia" w:hAnsi="Cambria Math"/>
                    <w:i/>
                    <w:lang w:eastAsia="fr-FR"/>
                  </w:rPr>
                </m:ctrlPr>
              </m:sSubPr>
              <m:e>
                <m:r>
                  <w:rPr>
                    <w:rFonts w:ascii="Cambria Math" w:eastAsiaTheme="minorEastAsia" w:hAnsi="Cambria Math"/>
                    <w:lang w:eastAsia="fr-FR"/>
                  </w:rPr>
                  <m:t>l</m:t>
                </m:r>
              </m:e>
              <m:sub>
                <m:r>
                  <w:rPr>
                    <w:rFonts w:ascii="Cambria Math" w:eastAsiaTheme="minorEastAsia" w:hAnsi="Cambria Math"/>
                    <w:lang w:eastAsia="fr-FR"/>
                  </w:rPr>
                  <m:t>menages</m:t>
                </m:r>
              </m:sub>
            </m:sSub>
          </m:sub>
        </m:sSub>
        <m:r>
          <w:rPr>
            <w:rFonts w:ascii="Cambria Math" w:eastAsiaTheme="minorEastAsia" w:hAnsi="Cambria Math"/>
            <w:lang w:eastAsia="fr-FR"/>
          </w:rPr>
          <m:t>+5.975*p</m:t>
        </m:r>
        <m:sSub>
          <m:sSubPr>
            <m:ctrlPr>
              <w:rPr>
                <w:rFonts w:ascii="Cambria Math" w:eastAsiaTheme="minorEastAsia" w:hAnsi="Cambria Math"/>
                <w:i/>
                <w:lang w:eastAsia="fr-FR"/>
              </w:rPr>
            </m:ctrlPr>
          </m:sSubPr>
          <m:e>
            <m:r>
              <w:rPr>
                <w:rFonts w:ascii="Cambria Math" w:eastAsiaTheme="minorEastAsia" w:hAnsi="Cambria Math"/>
                <w:lang w:eastAsia="fr-FR"/>
              </w:rPr>
              <m:t>a</m:t>
            </m:r>
          </m:e>
          <m:sub>
            <m:r>
              <w:rPr>
                <w:rFonts w:ascii="Cambria Math" w:eastAsiaTheme="minorEastAsia" w:hAnsi="Cambria Math"/>
                <w:lang w:eastAsia="fr-FR"/>
              </w:rPr>
              <m:t>menages</m:t>
            </m:r>
          </m:sub>
        </m:sSub>
        <m:r>
          <w:rPr>
            <w:rFonts w:ascii="Cambria Math" w:eastAsiaTheme="minorEastAsia" w:hAnsi="Cambria Math"/>
            <w:lang w:eastAsia="fr-FR"/>
          </w:rPr>
          <m:t>+0.318*t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epargne</m:t>
            </m:r>
          </m:sub>
        </m:sSub>
        <m:r>
          <w:rPr>
            <w:rFonts w:ascii="Cambria Math" w:eastAsiaTheme="minorEastAsia" w:hAnsi="Cambria Math"/>
            <w:lang w:eastAsia="fr-FR"/>
          </w:rPr>
          <m:t>+0.186*dc</m:t>
        </m:r>
        <m:sSub>
          <m:sSubPr>
            <m:ctrlPr>
              <w:rPr>
                <w:rFonts w:ascii="Cambria Math" w:eastAsiaTheme="minorEastAsia" w:hAnsi="Cambria Math"/>
                <w:i/>
                <w:lang w:eastAsia="fr-FR"/>
              </w:rPr>
            </m:ctrlPr>
          </m:sSubPr>
          <m:e>
            <m:r>
              <w:rPr>
                <w:rFonts w:ascii="Cambria Math" w:eastAsiaTheme="minorEastAsia" w:hAnsi="Cambria Math"/>
                <w:lang w:eastAsia="fr-FR"/>
              </w:rPr>
              <m:t>f</m:t>
            </m:r>
          </m:e>
          <m:sub>
            <m:r>
              <w:rPr>
                <w:rFonts w:ascii="Cambria Math" w:eastAsiaTheme="minorEastAsia" w:hAnsi="Cambria Math"/>
                <w:lang w:eastAsia="fr-FR"/>
              </w:rPr>
              <m:t>menage</m:t>
            </m:r>
          </m:sub>
        </m:sSub>
        <m:r>
          <w:rPr>
            <w:rFonts w:ascii="Cambria Math" w:eastAsiaTheme="minorEastAsia" w:hAnsi="Cambria Math"/>
            <w:lang w:eastAsia="fr-FR"/>
          </w:rPr>
          <m:t>+18,530*po</m:t>
        </m:r>
        <m:sSub>
          <m:sSubPr>
            <m:ctrlPr>
              <w:rPr>
                <w:rFonts w:ascii="Cambria Math" w:eastAsiaTheme="minorEastAsia" w:hAnsi="Cambria Math"/>
                <w:i/>
                <w:lang w:eastAsia="fr-FR"/>
              </w:rPr>
            </m:ctrlPr>
          </m:sSubPr>
          <m:e>
            <m:r>
              <w:rPr>
                <w:rFonts w:ascii="Cambria Math" w:eastAsiaTheme="minorEastAsia" w:hAnsi="Cambria Math"/>
                <w:lang w:eastAsia="fr-FR"/>
              </w:rPr>
              <m:t>p</m:t>
            </m:r>
          </m:e>
          <m:sub>
            <m:r>
              <w:rPr>
                <w:rFonts w:ascii="Cambria Math" w:eastAsiaTheme="minorEastAsia" w:hAnsi="Cambria Math"/>
                <w:lang w:eastAsia="fr-FR"/>
              </w:rPr>
              <m:t>moyenne</m:t>
            </m:r>
          </m:sub>
        </m:sSub>
        <m:r>
          <w:rPr>
            <w:rFonts w:ascii="Cambria Math" w:eastAsiaTheme="minorEastAsia" w:hAnsi="Cambria Math"/>
            <w:lang w:eastAsia="fr-FR"/>
          </w:rPr>
          <m:t>+</m:t>
        </m:r>
        <m:d>
          <m:dPr>
            <m:ctrlPr>
              <w:rPr>
                <w:rFonts w:ascii="Cambria Math" w:eastAsiaTheme="minorEastAsia" w:hAnsi="Cambria Math"/>
                <w:i/>
                <w:lang w:eastAsia="fr-FR"/>
              </w:rPr>
            </m:ctrlPr>
          </m:dPr>
          <m:e>
            <m:r>
              <w:rPr>
                <w:rFonts w:ascii="Cambria Math" w:eastAsiaTheme="minorEastAsia" w:hAnsi="Cambria Math"/>
                <w:lang w:eastAsia="fr-FR"/>
              </w:rPr>
              <m:t>-9.411</m:t>
            </m:r>
          </m:e>
        </m:d>
        <m:r>
          <w:rPr>
            <w:rFonts w:ascii="Cambria Math" w:eastAsiaTheme="minorEastAsia" w:hAnsi="Cambria Math"/>
            <w:lang w:eastAsia="fr-FR"/>
          </w:rPr>
          <m:t>*n</m:t>
        </m:r>
        <m:sSub>
          <m:sSubPr>
            <m:ctrlPr>
              <w:rPr>
                <w:rFonts w:ascii="Cambria Math" w:eastAsiaTheme="minorEastAsia" w:hAnsi="Cambria Math"/>
                <w:i/>
                <w:lang w:eastAsia="fr-FR"/>
              </w:rPr>
            </m:ctrlPr>
          </m:sSubPr>
          <m:e>
            <m:r>
              <w:rPr>
                <w:rFonts w:ascii="Cambria Math" w:eastAsiaTheme="minorEastAsia" w:hAnsi="Cambria Math"/>
                <w:lang w:eastAsia="fr-FR"/>
              </w:rPr>
              <m:t>b</m:t>
            </m:r>
          </m:e>
          <m:sub>
            <m:r>
              <w:rPr>
                <w:rFonts w:ascii="Cambria Math" w:eastAsiaTheme="minorEastAsia" w:hAnsi="Cambria Math"/>
                <w:lang w:eastAsia="fr-FR"/>
              </w:rPr>
              <m:t>menages</m:t>
            </m:r>
          </m:sub>
        </m:sSub>
        <m:r>
          <w:rPr>
            <w:rFonts w:ascii="Cambria Math" w:eastAsiaTheme="minorEastAsia" w:hAnsi="Cambria Math"/>
            <w:lang w:eastAsia="fr-FR"/>
          </w:rPr>
          <m:t>+1.477*n</m:t>
        </m:r>
        <m:sSub>
          <m:sSubPr>
            <m:ctrlPr>
              <w:rPr>
                <w:rFonts w:ascii="Cambria Math" w:eastAsiaTheme="minorEastAsia" w:hAnsi="Cambria Math"/>
                <w:i/>
                <w:lang w:eastAsia="fr-FR"/>
              </w:rPr>
            </m:ctrlPr>
          </m:sSubPr>
          <m:e>
            <m:r>
              <w:rPr>
                <w:rFonts w:ascii="Cambria Math" w:eastAsiaTheme="minorEastAsia" w:hAnsi="Cambria Math"/>
                <w:lang w:eastAsia="fr-FR"/>
              </w:rPr>
              <m:t>b</m:t>
            </m:r>
          </m:e>
          <m:sub>
            <m:r>
              <w:rPr>
                <w:rFonts w:ascii="Cambria Math" w:eastAsiaTheme="minorEastAsia" w:hAnsi="Cambria Math"/>
                <w:lang w:eastAsia="fr-FR"/>
              </w:rPr>
              <m:t>uni</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conso</m:t>
                </m:r>
              </m:sub>
            </m:sSub>
          </m:sub>
        </m:sSub>
        <m:r>
          <w:rPr>
            <w:rFonts w:ascii="Cambria Math" w:eastAsiaTheme="minorEastAsia" w:hAnsi="Cambria Math"/>
            <w:lang w:eastAsia="fr-FR"/>
          </w:rPr>
          <m:t>+</m:t>
        </m:r>
        <m:d>
          <m:dPr>
            <m:ctrlPr>
              <w:rPr>
                <w:rFonts w:ascii="Cambria Math" w:eastAsiaTheme="minorEastAsia" w:hAnsi="Cambria Math"/>
                <w:i/>
                <w:lang w:eastAsia="fr-FR"/>
              </w:rPr>
            </m:ctrlPr>
          </m:dPr>
          <m:e>
            <m:r>
              <w:rPr>
                <w:rFonts w:ascii="Cambria Math" w:eastAsiaTheme="minorEastAsia" w:hAnsi="Cambria Math"/>
                <w:lang w:eastAsia="fr-FR"/>
              </w:rPr>
              <m:t>-182.769</m:t>
            </m:r>
          </m:e>
        </m:d>
        <m:r>
          <w:rPr>
            <w:rFonts w:ascii="Cambria Math" w:eastAsiaTheme="minorEastAsia" w:hAnsi="Cambria Math"/>
            <w:lang w:eastAsia="fr-FR"/>
          </w:rPr>
          <m:t>*In</m:t>
        </m:r>
        <m:sSub>
          <m:sSubPr>
            <m:ctrlPr>
              <w:rPr>
                <w:rFonts w:ascii="Cambria Math" w:eastAsiaTheme="minorEastAsia" w:hAnsi="Cambria Math"/>
                <w:i/>
                <w:lang w:eastAsia="fr-FR"/>
              </w:rPr>
            </m:ctrlPr>
          </m:sSubPr>
          <m:e>
            <m:r>
              <w:rPr>
                <w:rFonts w:ascii="Cambria Math" w:eastAsiaTheme="minorEastAsia" w:hAnsi="Cambria Math"/>
                <w:lang w:eastAsia="fr-FR"/>
              </w:rPr>
              <m:t>d</m:t>
            </m:r>
          </m:e>
          <m:sub>
            <m:r>
              <w:rPr>
                <w:rFonts w:ascii="Cambria Math" w:eastAsiaTheme="minorEastAsia" w:hAnsi="Cambria Math"/>
                <w:lang w:eastAsia="fr-FR"/>
              </w:rPr>
              <m:t>Gini</m:t>
            </m:r>
          </m:sub>
        </m:sSub>
        <m:r>
          <w:rPr>
            <w:rFonts w:ascii="Cambria Math" w:eastAsiaTheme="minorEastAsia" w:hAnsi="Cambria Math"/>
            <w:lang w:eastAsia="fr-FR"/>
          </w:rPr>
          <m:t>+0.015*premie</m:t>
        </m:r>
        <m:sSub>
          <m:sSubPr>
            <m:ctrlPr>
              <w:rPr>
                <w:rFonts w:ascii="Cambria Math" w:eastAsiaTheme="minorEastAsia" w:hAnsi="Cambria Math"/>
                <w:i/>
                <w:lang w:eastAsia="fr-FR"/>
              </w:rPr>
            </m:ctrlPr>
          </m:sSubPr>
          <m:e>
            <m:r>
              <w:rPr>
                <w:rFonts w:ascii="Cambria Math" w:eastAsiaTheme="minorEastAsia" w:hAnsi="Cambria Math"/>
                <w:lang w:eastAsia="fr-FR"/>
              </w:rPr>
              <m:t>r</m:t>
            </m:r>
          </m:e>
          <m:sub>
            <m:r>
              <w:rPr>
                <w:rFonts w:ascii="Cambria Math" w:eastAsiaTheme="minorEastAsia" w:hAnsi="Cambria Math"/>
                <w:lang w:eastAsia="fr-FR"/>
              </w:rPr>
              <m:t>decile</m:t>
            </m:r>
          </m:sub>
        </m:sSub>
        <m:r>
          <w:rPr>
            <w:rFonts w:ascii="Cambria Math" w:eastAsiaTheme="minorEastAsia" w:hAnsi="Cambria Math"/>
            <w:lang w:eastAsia="fr-FR"/>
          </w:rPr>
          <m:t>+</m:t>
        </m:r>
        <m:d>
          <m:dPr>
            <m:ctrlPr>
              <w:rPr>
                <w:rFonts w:ascii="Cambria Math" w:eastAsiaTheme="minorEastAsia" w:hAnsi="Cambria Math"/>
                <w:i/>
                <w:lang w:eastAsia="fr-FR"/>
              </w:rPr>
            </m:ctrlPr>
          </m:dPr>
          <m:e>
            <m:r>
              <w:rPr>
                <w:rFonts w:ascii="Cambria Math" w:eastAsiaTheme="minorEastAsia" w:hAnsi="Cambria Math"/>
                <w:lang w:eastAsia="fr-FR"/>
              </w:rPr>
              <m:t>-0.006</m:t>
            </m:r>
          </m:e>
        </m:d>
        <m:r>
          <w:rPr>
            <w:rFonts w:ascii="Cambria Math" w:eastAsiaTheme="minorEastAsia" w:hAnsi="Cambria Math"/>
            <w:lang w:eastAsia="fr-FR"/>
          </w:rPr>
          <m:t>*</m:t>
        </m:r>
        <m:r>
          <m:rPr>
            <m:sty m:val="bi"/>
          </m:rPr>
          <w:rPr>
            <w:rFonts w:ascii="Cambria Math" w:eastAsiaTheme="minorEastAsia" w:hAnsi="Cambria Math"/>
            <w:color w:val="FF0000"/>
            <w:lang w:eastAsia="fr-FR"/>
          </w:rPr>
          <m:t>neuviem</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e</m:t>
            </m:r>
          </m:e>
          <m:sub>
            <m:r>
              <m:rPr>
                <m:sty m:val="bi"/>
              </m:rPr>
              <w:rPr>
                <w:rFonts w:ascii="Cambria Math" w:eastAsiaTheme="minorEastAsia" w:hAnsi="Cambria Math"/>
                <w:color w:val="FF0000"/>
                <w:lang w:eastAsia="fr-FR"/>
              </w:rPr>
              <m:t>decile</m:t>
            </m:r>
          </m:sub>
        </m:sSub>
        <m:r>
          <w:rPr>
            <w:rFonts w:ascii="Cambria Math" w:eastAsiaTheme="minorEastAsia" w:hAnsi="Cambria Math"/>
            <w:lang w:eastAsia="fr-FR"/>
          </w:rPr>
          <m:t>+25.748*</m:t>
        </m:r>
        <m:r>
          <m:rPr>
            <m:sty m:val="bi"/>
          </m:rPr>
          <w:rPr>
            <w:rFonts w:ascii="Cambria Math" w:eastAsiaTheme="minorEastAsia" w:hAnsi="Cambria Math"/>
            <w:color w:val="FF0000"/>
            <w:lang w:eastAsia="fr-FR"/>
          </w:rPr>
          <m:t>rappor</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t</m:t>
            </m:r>
          </m:e>
          <m:sub>
            <m:r>
              <m:rPr>
                <m:sty m:val="bi"/>
              </m:rPr>
              <w:rPr>
                <w:rFonts w:ascii="Cambria Math" w:eastAsiaTheme="minorEastAsia" w:hAnsi="Cambria Math"/>
                <w:color w:val="FF0000"/>
                <w:lang w:eastAsia="fr-FR"/>
              </w:rPr>
              <m:t>interdecile</m:t>
            </m:r>
          </m:sub>
        </m:sSub>
        <m:r>
          <w:rPr>
            <w:rFonts w:ascii="Cambria Math" w:eastAsiaTheme="minorEastAsia" w:hAnsi="Cambria Math"/>
            <w:lang w:eastAsia="fr-FR"/>
          </w:rPr>
          <m:t>+0.839*rappor</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interquintil</m:t>
            </m:r>
            <m:sSub>
              <m:sSubPr>
                <m:ctrlPr>
                  <w:rPr>
                    <w:rFonts w:ascii="Cambria Math" w:eastAsiaTheme="minorEastAsia" w:hAnsi="Cambria Math"/>
                    <w:i/>
                    <w:lang w:eastAsia="fr-FR"/>
                  </w:rPr>
                </m:ctrlPr>
              </m:sSubPr>
              <m:e>
                <m:r>
                  <w:rPr>
                    <w:rFonts w:ascii="Cambria Math" w:eastAsiaTheme="minorEastAsia" w:hAnsi="Cambria Math"/>
                    <w:lang w:eastAsia="fr-FR"/>
                  </w:rPr>
                  <m:t>e</m:t>
                </m:r>
              </m:e>
              <m:sub>
                <m:r>
                  <w:rPr>
                    <w:rFonts w:ascii="Cambria Math" w:eastAsiaTheme="minorEastAsia" w:hAnsi="Cambria Math"/>
                    <w:lang w:eastAsia="fr-FR"/>
                  </w:rPr>
                  <m:t>de</m:t>
                </m:r>
                <m:sSub>
                  <m:sSubPr>
                    <m:ctrlPr>
                      <w:rPr>
                        <w:rFonts w:ascii="Cambria Math" w:eastAsiaTheme="minorEastAsia" w:hAnsi="Cambria Math"/>
                        <w:i/>
                        <w:lang w:eastAsia="fr-FR"/>
                      </w:rPr>
                    </m:ctrlPr>
                  </m:sSubPr>
                  <m:e>
                    <m:r>
                      <w:rPr>
                        <w:rFonts w:ascii="Cambria Math" w:eastAsiaTheme="minorEastAsia" w:hAnsi="Cambria Math"/>
                        <w:lang w:eastAsia="fr-FR"/>
                      </w:rPr>
                      <m:t>s</m:t>
                    </m:r>
                  </m:e>
                  <m:sub>
                    <m:r>
                      <w:rPr>
                        <w:rFonts w:ascii="Cambria Math" w:eastAsiaTheme="minorEastAsia" w:hAnsi="Cambria Math"/>
                        <w:lang w:eastAsia="fr-FR"/>
                      </w:rPr>
                      <m:t>masses</m:t>
                    </m:r>
                  </m:sub>
                </m:sSub>
              </m:sub>
            </m:sSub>
          </m:sub>
        </m:sSub>
        <m:r>
          <w:rPr>
            <w:rFonts w:ascii="Cambria Math" w:eastAsiaTheme="minorEastAsia" w:hAnsi="Cambria Math"/>
            <w:lang w:eastAsia="fr-FR"/>
          </w:rPr>
          <m:t>+0.004*</m:t>
        </m:r>
        <m:r>
          <m:rPr>
            <m:sty m:val="bi"/>
          </m:rPr>
          <w:rPr>
            <w:rFonts w:ascii="Cambria Math" w:eastAsiaTheme="minorEastAsia" w:hAnsi="Cambria Math"/>
            <w:lang w:eastAsia="fr-FR"/>
          </w:rPr>
          <m:t xml:space="preserve"> </m:t>
        </m:r>
        <m:r>
          <m:rPr>
            <m:sty m:val="bi"/>
          </m:rPr>
          <w:rPr>
            <w:rFonts w:ascii="Cambria Math" w:eastAsiaTheme="minorEastAsia" w:hAnsi="Cambria Math"/>
            <w:color w:val="FF0000"/>
            <w:lang w:eastAsia="fr-FR"/>
          </w:rPr>
          <m:t>PI</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B</m:t>
            </m:r>
          </m:e>
          <m:sub>
            <m:r>
              <m:rPr>
                <m:sty m:val="bi"/>
              </m:rPr>
              <w:rPr>
                <w:rFonts w:ascii="Cambria Math" w:eastAsiaTheme="minorEastAsia" w:hAnsi="Cambria Math"/>
                <w:color w:val="FF0000"/>
                <w:lang w:eastAsia="fr-FR"/>
              </w:rPr>
              <m:t>constant</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s</m:t>
                </m:r>
              </m:e>
              <m:sub>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2015</m:t>
                    </m:r>
                  </m:e>
                  <m:sub>
                    <m:r>
                      <m:rPr>
                        <m:sty m:val="bi"/>
                      </m:rPr>
                      <w:rPr>
                        <w:rFonts w:ascii="Cambria Math" w:eastAsiaTheme="minorEastAsia" w:hAnsi="Cambria Math"/>
                        <w:color w:val="FF0000"/>
                        <w:lang w:eastAsia="fr-FR"/>
                      </w:rPr>
                      <m:t>€</m:t>
                    </m:r>
                  </m:sub>
                </m:sSub>
              </m:sub>
            </m:sSub>
          </m:sub>
        </m:sSub>
        <m:r>
          <m:rPr>
            <m:sty m:val="bi"/>
          </m:rPr>
          <w:rPr>
            <w:rFonts w:ascii="Cambria Math" w:eastAsiaTheme="minorEastAsia" w:hAnsi="Cambria Math"/>
            <w:lang w:eastAsia="fr-FR"/>
          </w:rPr>
          <m:t xml:space="preserve"> </m:t>
        </m:r>
      </m:oMath>
    </w:p>
    <w:p w14:paraId="5D8CE258" w14:textId="77777777" w:rsidR="00DD522A" w:rsidRPr="00177321" w:rsidRDefault="00DD522A" w:rsidP="00DD522A">
      <w:pPr>
        <w:jc w:val="both"/>
        <w:rPr>
          <w:rFonts w:ascii="Times New Roman" w:eastAsia="Times New Roman" w:hAnsi="Times New Roman" w:cs="Times New Roman"/>
          <w:lang w:eastAsia="fr-FR"/>
        </w:rPr>
      </w:pPr>
    </w:p>
    <w:p w14:paraId="0C97427A" w14:textId="3300015B" w:rsidR="003566C6" w:rsidRPr="00177321" w:rsidRDefault="00DD522A" w:rsidP="00DD522A">
      <w:pPr>
        <w:jc w:val="both"/>
        <w:rPr>
          <w:rFonts w:ascii="Times New Roman" w:eastAsia="Times New Roman" w:hAnsi="Times New Roman" w:cs="Times New Roman"/>
          <w:lang w:eastAsia="fr-FR"/>
        </w:rPr>
      </w:pPr>
      <w:r w:rsidRPr="00B0477F">
        <w:rPr>
          <w:rFonts w:ascii="Times New Roman" w:eastAsia="Times New Roman" w:hAnsi="Times New Roman" w:cs="Times New Roman"/>
          <w:b/>
          <w:bCs/>
          <w:u w:val="single"/>
          <w:lang w:eastAsia="fr-FR"/>
        </w:rPr>
        <w:t>Second modèle économétrique en enlevant quelques variables principales non significatives :</w:t>
      </w:r>
      <w:r w:rsidR="008C21D3">
        <w:rPr>
          <w:rFonts w:ascii="Times New Roman" w:eastAsia="Times New Roman" w:hAnsi="Times New Roman" w:cs="Times New Roman"/>
          <w:lang w:eastAsia="fr-FR"/>
        </w:rPr>
        <w:t xml:space="preserve"> </w:t>
      </w:r>
      <m:oMath>
        <m:r>
          <w:rPr>
            <w:rFonts w:ascii="Cambria Math" w:hAnsi="Cambria Math"/>
            <w:lang w:eastAsia="fr-FR"/>
          </w:rPr>
          <m:t>po</m:t>
        </m:r>
        <m:sSub>
          <m:sSubPr>
            <m:ctrlPr>
              <w:rPr>
                <w:rFonts w:ascii="Cambria Math" w:hAnsi="Cambria Math"/>
                <w:i/>
                <w:lang w:eastAsia="fr-FR"/>
              </w:rPr>
            </m:ctrlPr>
          </m:sSubPr>
          <m:e>
            <m:r>
              <w:rPr>
                <w:rFonts w:ascii="Cambria Math" w:hAnsi="Cambria Math"/>
                <w:lang w:eastAsia="fr-FR"/>
              </w:rPr>
              <m:t>p</m:t>
            </m:r>
          </m:e>
          <m:sub>
            <m:r>
              <w:rPr>
                <w:rFonts w:ascii="Cambria Math" w:hAnsi="Cambria Math"/>
                <w:lang w:eastAsia="fr-FR"/>
              </w:rPr>
              <m:t>satisfaction</m:t>
            </m:r>
          </m:sub>
        </m:sSub>
        <m:r>
          <w:rPr>
            <w:rFonts w:ascii="Cambria Math" w:hAnsi="Cambria Math"/>
            <w:lang w:eastAsia="fr-FR"/>
          </w:rPr>
          <m:t>=</m:t>
        </m:r>
        <m:r>
          <w:rPr>
            <w:rFonts w:ascii="Cambria Math" w:hAnsi="Cambria Math"/>
            <w:lang w:eastAsia="fr-FR"/>
          </w:rPr>
          <m:t>-0.693</m:t>
        </m:r>
        <m:r>
          <w:rPr>
            <w:rFonts w:ascii="Cambria Math" w:eastAsiaTheme="minorEastAsia" w:hAnsi="Cambria Math"/>
            <w:lang w:eastAsia="fr-FR"/>
          </w:rPr>
          <m:t>+</m:t>
        </m:r>
        <m:r>
          <w:rPr>
            <w:rFonts w:ascii="Cambria Math" w:eastAsiaTheme="minorEastAsia" w:hAnsi="Cambria Math"/>
            <w:lang w:eastAsia="fr-FR"/>
          </w:rPr>
          <m:t>0.221</m:t>
        </m:r>
        <m:r>
          <w:rPr>
            <w:rFonts w:ascii="Cambria Math" w:eastAsiaTheme="minorEastAsia" w:hAnsi="Cambria Math"/>
            <w:lang w:eastAsia="fr-FR"/>
          </w:rPr>
          <m:t>*RDB+</m:t>
        </m:r>
        <m:r>
          <w:rPr>
            <w:rFonts w:ascii="Cambria Math" w:eastAsiaTheme="minorEastAsia" w:hAnsi="Cambria Math"/>
            <w:lang w:eastAsia="fr-FR"/>
          </w:rPr>
          <m:t>6.965</m:t>
        </m:r>
        <m:r>
          <w:rPr>
            <w:rFonts w:ascii="Cambria Math" w:eastAsiaTheme="minorEastAsia" w:hAnsi="Cambria Math"/>
            <w:lang w:eastAsia="fr-FR"/>
          </w:rPr>
          <m:t>*po</m:t>
        </m:r>
        <m:sSub>
          <m:sSubPr>
            <m:ctrlPr>
              <w:rPr>
                <w:rFonts w:ascii="Cambria Math" w:eastAsiaTheme="minorEastAsia" w:hAnsi="Cambria Math"/>
                <w:i/>
                <w:lang w:eastAsia="fr-FR"/>
              </w:rPr>
            </m:ctrlPr>
          </m:sSubPr>
          <m:e>
            <m:r>
              <w:rPr>
                <w:rFonts w:ascii="Cambria Math" w:eastAsiaTheme="minorEastAsia" w:hAnsi="Cambria Math"/>
                <w:lang w:eastAsia="fr-FR"/>
              </w:rPr>
              <m:t>p</m:t>
            </m:r>
          </m:e>
          <m:sub>
            <m:r>
              <w:rPr>
                <w:rFonts w:ascii="Cambria Math" w:eastAsiaTheme="minorEastAsia" w:hAnsi="Cambria Math"/>
                <w:lang w:eastAsia="fr-FR"/>
              </w:rPr>
              <m:t>moyenne</m:t>
            </m:r>
          </m:sub>
        </m:sSub>
        <m:r>
          <w:rPr>
            <w:rFonts w:ascii="Cambria Math" w:eastAsiaTheme="minorEastAsia" w:hAnsi="Cambria Math"/>
            <w:lang w:eastAsia="fr-FR"/>
          </w:rPr>
          <m:t>+</m:t>
        </m:r>
        <m:r>
          <w:rPr>
            <w:rFonts w:ascii="Cambria Math" w:eastAsiaTheme="minorEastAsia" w:hAnsi="Cambria Math"/>
            <w:lang w:eastAsia="fr-FR"/>
          </w:rPr>
          <m:t>5.569</m:t>
        </m:r>
        <m:r>
          <w:rPr>
            <w:rFonts w:ascii="Cambria Math" w:eastAsiaTheme="minorEastAsia" w:hAnsi="Cambria Math"/>
            <w:lang w:eastAsia="fr-FR"/>
          </w:rPr>
          <m:t>*</m:t>
        </m:r>
        <m:r>
          <m:rPr>
            <m:sty m:val="bi"/>
          </m:rPr>
          <w:rPr>
            <w:rFonts w:ascii="Cambria Math" w:eastAsiaTheme="minorEastAsia" w:hAnsi="Cambria Math"/>
            <w:color w:val="FF0000"/>
            <w:lang w:eastAsia="fr-FR"/>
          </w:rPr>
          <m:t>rappor</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t</m:t>
            </m:r>
          </m:e>
          <m:sub>
            <m:r>
              <m:rPr>
                <m:sty m:val="bi"/>
              </m:rPr>
              <w:rPr>
                <w:rFonts w:ascii="Cambria Math" w:eastAsiaTheme="minorEastAsia" w:hAnsi="Cambria Math"/>
                <w:color w:val="FF0000"/>
                <w:lang w:eastAsia="fr-FR"/>
              </w:rPr>
              <m:t>interdecile</m:t>
            </m:r>
          </m:sub>
        </m:sSub>
        <m:r>
          <w:rPr>
            <w:rFonts w:ascii="Cambria Math" w:eastAsiaTheme="minorEastAsia" w:hAnsi="Cambria Math"/>
            <w:lang w:eastAsia="fr-FR"/>
          </w:rPr>
          <m:t xml:space="preserve">+0.004* </m:t>
        </m:r>
        <m:r>
          <m:rPr>
            <m:sty m:val="bi"/>
          </m:rPr>
          <w:rPr>
            <w:rFonts w:ascii="Cambria Math" w:eastAsiaTheme="minorEastAsia" w:hAnsi="Cambria Math"/>
            <w:color w:val="FF0000"/>
            <w:lang w:eastAsia="fr-FR"/>
          </w:rPr>
          <m:t>PI</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B</m:t>
            </m:r>
          </m:e>
          <m:sub>
            <m:r>
              <m:rPr>
                <m:sty m:val="bi"/>
              </m:rPr>
              <w:rPr>
                <w:rFonts w:ascii="Cambria Math" w:eastAsiaTheme="minorEastAsia" w:hAnsi="Cambria Math"/>
                <w:color w:val="FF0000"/>
                <w:lang w:eastAsia="fr-FR"/>
              </w:rPr>
              <m:t>constant</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s</m:t>
                </m:r>
              </m:e>
              <m:sub>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2015</m:t>
                    </m:r>
                  </m:e>
                  <m:sub>
                    <m:r>
                      <m:rPr>
                        <m:sty m:val="bi"/>
                      </m:rPr>
                      <w:rPr>
                        <w:rFonts w:ascii="Cambria Math" w:eastAsiaTheme="minorEastAsia" w:hAnsi="Cambria Math"/>
                        <w:color w:val="FF0000"/>
                        <w:lang w:eastAsia="fr-FR"/>
                      </w:rPr>
                      <m:t>€</m:t>
                    </m:r>
                  </m:sub>
                </m:sSub>
              </m:sub>
            </m:sSub>
          </m:sub>
        </m:sSub>
      </m:oMath>
    </w:p>
    <w:p w14:paraId="3D9F9808" w14:textId="77777777" w:rsidR="00DD522A" w:rsidRPr="00177321" w:rsidRDefault="00DD522A" w:rsidP="00DD522A">
      <w:pPr>
        <w:jc w:val="both"/>
        <w:rPr>
          <w:rFonts w:ascii="Times New Roman" w:eastAsia="Times New Roman" w:hAnsi="Times New Roman" w:cs="Times New Roman"/>
          <w:lang w:eastAsia="fr-FR"/>
        </w:rPr>
      </w:pPr>
    </w:p>
    <w:p w14:paraId="1F228CA2" w14:textId="77777777" w:rsidR="00DD522A" w:rsidRPr="00177321" w:rsidRDefault="00DD522A" w:rsidP="00DD522A">
      <w:pPr>
        <w:jc w:val="both"/>
        <w:rPr>
          <w:rFonts w:ascii="Times New Roman" w:eastAsia="Times New Roman" w:hAnsi="Times New Roman" w:cs="Times New Roman"/>
          <w:lang w:eastAsia="fr-FR"/>
        </w:rPr>
      </w:pPr>
    </w:p>
    <w:p w14:paraId="6110ED48" w14:textId="77777777" w:rsidR="00DD522A" w:rsidRPr="00177321" w:rsidRDefault="00DD522A" w:rsidP="00DD522A">
      <w:pPr>
        <w:jc w:val="both"/>
        <w:rPr>
          <w:rFonts w:ascii="Times New Roman" w:eastAsia="Times New Roman" w:hAnsi="Times New Roman" w:cs="Times New Roman"/>
          <w:lang w:eastAsia="fr-FR"/>
        </w:rPr>
      </w:pPr>
    </w:p>
    <w:p w14:paraId="0165E476" w14:textId="77777777" w:rsidR="00DD522A" w:rsidRPr="00177321" w:rsidRDefault="00DD522A" w:rsidP="00DD522A">
      <w:pPr>
        <w:jc w:val="both"/>
        <w:rPr>
          <w:rFonts w:ascii="Times New Roman" w:eastAsia="Times New Roman" w:hAnsi="Times New Roman" w:cs="Times New Roman"/>
          <w:lang w:eastAsia="fr-FR"/>
        </w:rPr>
      </w:pPr>
    </w:p>
    <w:p w14:paraId="14669927" w14:textId="1F1B932E" w:rsidR="00DD522A" w:rsidRPr="003566C6" w:rsidRDefault="00DD522A" w:rsidP="00DD522A">
      <w:pPr>
        <w:jc w:val="both"/>
        <w:rPr>
          <w:rFonts w:ascii="Times New Roman" w:eastAsia="Times New Roman" w:hAnsi="Times New Roman" w:cs="Times New Roman"/>
          <w:lang w:eastAsia="fr-FR"/>
        </w:rPr>
      </w:pPr>
      <w:r w:rsidRPr="00B0477F">
        <w:rPr>
          <w:rFonts w:ascii="Times New Roman" w:eastAsia="Times New Roman" w:hAnsi="Times New Roman" w:cs="Times New Roman"/>
          <w:b/>
          <w:bCs/>
          <w:u w:val="single"/>
          <w:lang w:eastAsia="fr-FR"/>
        </w:rPr>
        <w:t xml:space="preserve">Troisième modèle économétrique final qui </w:t>
      </w:r>
      <w:r w:rsidR="00B0477F" w:rsidRPr="00B0477F">
        <w:rPr>
          <w:rFonts w:ascii="Times New Roman" w:eastAsia="Times New Roman" w:hAnsi="Times New Roman" w:cs="Times New Roman"/>
          <w:b/>
          <w:bCs/>
          <w:u w:val="single"/>
          <w:lang w:eastAsia="fr-FR"/>
        </w:rPr>
        <w:t>ne contient que des variables significatives</w:t>
      </w:r>
      <w:r w:rsidRPr="00B0477F">
        <w:rPr>
          <w:rFonts w:ascii="Times New Roman" w:eastAsia="Times New Roman" w:hAnsi="Times New Roman" w:cs="Times New Roman"/>
          <w:b/>
          <w:bCs/>
          <w:u w:val="single"/>
          <w:lang w:eastAsia="fr-FR"/>
        </w:rPr>
        <w:t> :</w:t>
      </w:r>
      <w:r w:rsidR="00B0477F" w:rsidRPr="00B0477F">
        <w:rPr>
          <w:rFonts w:ascii="Times New Roman" w:eastAsia="Times New Roman" w:hAnsi="Times New Roman" w:cs="Times New Roman"/>
          <w:b/>
          <w:bCs/>
          <w:lang w:eastAsia="fr-FR"/>
        </w:rPr>
        <w:t xml:space="preserve"> </w:t>
      </w:r>
      <m:oMath>
        <m:r>
          <w:rPr>
            <w:rFonts w:ascii="Cambria Math" w:hAnsi="Cambria Math"/>
            <w:lang w:eastAsia="fr-FR"/>
          </w:rPr>
          <m:t>po</m:t>
        </m:r>
        <m:sSub>
          <m:sSubPr>
            <m:ctrlPr>
              <w:rPr>
                <w:rFonts w:ascii="Cambria Math" w:hAnsi="Cambria Math"/>
                <w:i/>
                <w:lang w:eastAsia="fr-FR"/>
              </w:rPr>
            </m:ctrlPr>
          </m:sSubPr>
          <m:e>
            <m:r>
              <w:rPr>
                <w:rFonts w:ascii="Cambria Math" w:hAnsi="Cambria Math"/>
                <w:lang w:eastAsia="fr-FR"/>
              </w:rPr>
              <m:t>p</m:t>
            </m:r>
          </m:e>
          <m:sub>
            <m:r>
              <w:rPr>
                <w:rFonts w:ascii="Cambria Math" w:hAnsi="Cambria Math"/>
                <w:lang w:eastAsia="fr-FR"/>
              </w:rPr>
              <m:t>satisfaction</m:t>
            </m:r>
          </m:sub>
        </m:sSub>
        <m:r>
          <w:rPr>
            <w:rFonts w:ascii="Cambria Math" w:hAnsi="Cambria Math"/>
            <w:lang w:eastAsia="fr-FR"/>
          </w:rPr>
          <m:t>=</m:t>
        </m:r>
        <m:r>
          <w:rPr>
            <w:rFonts w:ascii="Cambria Math" w:hAnsi="Cambria Math"/>
            <w:lang w:eastAsia="fr-FR"/>
          </w:rPr>
          <m:t>13.246</m:t>
        </m:r>
        <m:r>
          <w:rPr>
            <w:rFonts w:ascii="Cambria Math" w:eastAsiaTheme="minorEastAsia" w:hAnsi="Cambria Math"/>
            <w:lang w:eastAsia="fr-FR"/>
          </w:rPr>
          <m:t>+0.</m:t>
        </m:r>
        <m:r>
          <w:rPr>
            <w:rFonts w:ascii="Cambria Math" w:eastAsiaTheme="minorEastAsia" w:hAnsi="Cambria Math"/>
            <w:lang w:eastAsia="fr-FR"/>
          </w:rPr>
          <m:t>342</m:t>
        </m:r>
        <m:r>
          <w:rPr>
            <w:rFonts w:ascii="Cambria Math" w:eastAsiaTheme="minorEastAsia" w:hAnsi="Cambria Math"/>
            <w:lang w:eastAsia="fr-FR"/>
          </w:rPr>
          <m:t>*</m:t>
        </m:r>
        <m:r>
          <m:rPr>
            <m:sty m:val="bi"/>
          </m:rPr>
          <w:rPr>
            <w:rFonts w:ascii="Cambria Math" w:eastAsiaTheme="minorEastAsia" w:hAnsi="Cambria Math"/>
            <w:color w:val="FF0000"/>
            <w:lang w:eastAsia="fr-FR"/>
          </w:rPr>
          <m:t>RDB</m:t>
        </m:r>
        <m:r>
          <w:rPr>
            <w:rFonts w:ascii="Cambria Math" w:eastAsiaTheme="minorEastAsia" w:hAnsi="Cambria Math"/>
            <w:lang w:eastAsia="fr-FR"/>
          </w:rPr>
          <m:t>+</m:t>
        </m:r>
        <m:r>
          <w:rPr>
            <w:rFonts w:ascii="Cambria Math" w:eastAsiaTheme="minorEastAsia" w:hAnsi="Cambria Math"/>
            <w:lang w:eastAsia="fr-FR"/>
          </w:rPr>
          <m:t>3.662</m:t>
        </m:r>
        <m:r>
          <w:rPr>
            <w:rFonts w:ascii="Cambria Math" w:eastAsiaTheme="minorEastAsia" w:hAnsi="Cambria Math"/>
            <w:lang w:eastAsia="fr-FR"/>
          </w:rPr>
          <m:t>*</m:t>
        </m:r>
        <m:r>
          <m:rPr>
            <m:sty m:val="bi"/>
          </m:rPr>
          <w:rPr>
            <w:rFonts w:ascii="Cambria Math" w:eastAsiaTheme="minorEastAsia" w:hAnsi="Cambria Math"/>
            <w:color w:val="FF0000"/>
            <w:lang w:eastAsia="fr-FR"/>
          </w:rPr>
          <m:t>rappor</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t</m:t>
            </m:r>
          </m:e>
          <m:sub>
            <m:r>
              <m:rPr>
                <m:sty m:val="bi"/>
              </m:rPr>
              <w:rPr>
                <w:rFonts w:ascii="Cambria Math" w:eastAsiaTheme="minorEastAsia" w:hAnsi="Cambria Math"/>
                <w:color w:val="FF0000"/>
                <w:lang w:eastAsia="fr-FR"/>
              </w:rPr>
              <m:t>interdecile</m:t>
            </m:r>
          </m:sub>
        </m:sSub>
        <m:r>
          <w:rPr>
            <w:rFonts w:ascii="Cambria Math" w:eastAsiaTheme="minorEastAsia" w:hAnsi="Cambria Math"/>
            <w:lang w:eastAsia="fr-FR"/>
          </w:rPr>
          <m:t>+0.00</m:t>
        </m:r>
        <m:r>
          <w:rPr>
            <w:rFonts w:ascii="Cambria Math" w:eastAsiaTheme="minorEastAsia" w:hAnsi="Cambria Math"/>
            <w:lang w:eastAsia="fr-FR"/>
          </w:rPr>
          <m:t>1</m:t>
        </m:r>
        <m:r>
          <w:rPr>
            <w:rFonts w:ascii="Cambria Math" w:eastAsiaTheme="minorEastAsia" w:hAnsi="Cambria Math"/>
            <w:lang w:eastAsia="fr-FR"/>
          </w:rPr>
          <m:t xml:space="preserve">* </m:t>
        </m:r>
        <m:r>
          <m:rPr>
            <m:sty m:val="bi"/>
          </m:rPr>
          <w:rPr>
            <w:rFonts w:ascii="Cambria Math" w:eastAsiaTheme="minorEastAsia" w:hAnsi="Cambria Math"/>
            <w:color w:val="FF0000"/>
            <w:lang w:eastAsia="fr-FR"/>
          </w:rPr>
          <m:t>PI</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B</m:t>
            </m:r>
          </m:e>
          <m:sub>
            <m:r>
              <m:rPr>
                <m:sty m:val="bi"/>
              </m:rPr>
              <w:rPr>
                <w:rFonts w:ascii="Cambria Math" w:eastAsiaTheme="minorEastAsia" w:hAnsi="Cambria Math"/>
                <w:color w:val="FF0000"/>
                <w:lang w:eastAsia="fr-FR"/>
              </w:rPr>
              <m:t>constant</m:t>
            </m:r>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s</m:t>
                </m:r>
              </m:e>
              <m:sub>
                <m:sSub>
                  <m:sSubPr>
                    <m:ctrlPr>
                      <w:rPr>
                        <w:rFonts w:ascii="Cambria Math" w:eastAsiaTheme="minorEastAsia" w:hAnsi="Cambria Math"/>
                        <w:b/>
                        <w:bCs/>
                        <w:i/>
                        <w:color w:val="FF0000"/>
                        <w:lang w:eastAsia="fr-FR"/>
                      </w:rPr>
                    </m:ctrlPr>
                  </m:sSubPr>
                  <m:e>
                    <m:r>
                      <m:rPr>
                        <m:sty m:val="bi"/>
                      </m:rPr>
                      <w:rPr>
                        <w:rFonts w:ascii="Cambria Math" w:eastAsiaTheme="minorEastAsia" w:hAnsi="Cambria Math"/>
                        <w:color w:val="FF0000"/>
                        <w:lang w:eastAsia="fr-FR"/>
                      </w:rPr>
                      <m:t>2015</m:t>
                    </m:r>
                  </m:e>
                  <m:sub>
                    <m:r>
                      <m:rPr>
                        <m:sty m:val="bi"/>
                      </m:rPr>
                      <w:rPr>
                        <w:rFonts w:ascii="Cambria Math" w:eastAsiaTheme="minorEastAsia" w:hAnsi="Cambria Math"/>
                        <w:color w:val="FF0000"/>
                        <w:lang w:eastAsia="fr-FR"/>
                      </w:rPr>
                      <m:t>€</m:t>
                    </m:r>
                  </m:sub>
                </m:sSub>
              </m:sub>
            </m:sSub>
          </m:sub>
        </m:sSub>
      </m:oMath>
    </w:p>
    <w:p w14:paraId="1CCD82B1" w14:textId="77777777" w:rsidR="00DD522A" w:rsidRPr="003566C6" w:rsidRDefault="00DD522A" w:rsidP="00DD522A">
      <w:pPr>
        <w:jc w:val="both"/>
        <w:rPr>
          <w:rFonts w:ascii="Times New Roman" w:eastAsia="Times New Roman" w:hAnsi="Times New Roman" w:cs="Times New Roman"/>
          <w:lang w:eastAsia="fr-FR"/>
        </w:rPr>
      </w:pPr>
    </w:p>
    <w:p w14:paraId="228564D1" w14:textId="77777777" w:rsidR="00DD522A" w:rsidRPr="003566C6" w:rsidRDefault="00DD522A" w:rsidP="00DD522A">
      <w:pPr>
        <w:jc w:val="both"/>
        <w:rPr>
          <w:rFonts w:ascii="Times New Roman" w:eastAsia="Times New Roman" w:hAnsi="Times New Roman" w:cs="Times New Roman"/>
          <w:lang w:eastAsia="fr-FR"/>
        </w:rPr>
      </w:pPr>
    </w:p>
    <w:p w14:paraId="26217E61" w14:textId="77777777" w:rsidR="00ED5CFE" w:rsidRDefault="00ED5CFE" w:rsidP="00DD522A">
      <w:pPr>
        <w:jc w:val="both"/>
        <w:rPr>
          <w:rFonts w:ascii="Times New Roman" w:eastAsia="Times New Roman" w:hAnsi="Times New Roman" w:cs="Times New Roman"/>
          <w:lang w:eastAsia="fr-FR"/>
        </w:rPr>
      </w:pPr>
    </w:p>
    <w:p w14:paraId="65427AFA" w14:textId="77777777" w:rsidR="00CB4D09" w:rsidRDefault="00CB4D09" w:rsidP="00DD522A">
      <w:pPr>
        <w:jc w:val="both"/>
        <w:rPr>
          <w:rFonts w:ascii="Times New Roman" w:eastAsia="Times New Roman" w:hAnsi="Times New Roman" w:cs="Times New Roman"/>
          <w:lang w:eastAsia="fr-FR"/>
        </w:rPr>
      </w:pPr>
    </w:p>
    <w:p w14:paraId="11ECA3E9" w14:textId="77777777" w:rsidR="00CB4D09" w:rsidRDefault="00CB4D09" w:rsidP="00DD522A">
      <w:pPr>
        <w:jc w:val="both"/>
        <w:rPr>
          <w:rFonts w:ascii="Times New Roman" w:eastAsia="Times New Roman" w:hAnsi="Times New Roman" w:cs="Times New Roman"/>
          <w:lang w:eastAsia="fr-FR"/>
        </w:rPr>
      </w:pPr>
    </w:p>
    <w:p w14:paraId="1235BB0F" w14:textId="77777777" w:rsidR="00CB4D09" w:rsidRDefault="00CB4D09" w:rsidP="00DD522A">
      <w:pPr>
        <w:jc w:val="both"/>
        <w:rPr>
          <w:rFonts w:ascii="Times New Roman" w:eastAsia="Times New Roman" w:hAnsi="Times New Roman" w:cs="Times New Roman"/>
          <w:lang w:eastAsia="fr-FR"/>
        </w:rPr>
      </w:pPr>
    </w:p>
    <w:p w14:paraId="1096458F" w14:textId="77777777" w:rsidR="00CB4D09" w:rsidRDefault="00CB4D09" w:rsidP="00DD522A">
      <w:pPr>
        <w:jc w:val="both"/>
        <w:rPr>
          <w:rFonts w:ascii="Times New Roman" w:eastAsia="Times New Roman" w:hAnsi="Times New Roman" w:cs="Times New Roman"/>
          <w:lang w:eastAsia="fr-FR"/>
        </w:rPr>
      </w:pPr>
    </w:p>
    <w:p w14:paraId="6FD4D089" w14:textId="77777777" w:rsidR="00CB4D09" w:rsidRDefault="00CB4D09" w:rsidP="00DD522A">
      <w:pPr>
        <w:jc w:val="both"/>
        <w:rPr>
          <w:rFonts w:ascii="Times New Roman" w:eastAsia="Times New Roman" w:hAnsi="Times New Roman" w:cs="Times New Roman"/>
          <w:lang w:eastAsia="fr-FR"/>
        </w:rPr>
      </w:pPr>
    </w:p>
    <w:p w14:paraId="68CA53D7" w14:textId="77777777" w:rsidR="00CB4D09" w:rsidRDefault="00CB4D09" w:rsidP="00DD522A">
      <w:pPr>
        <w:jc w:val="both"/>
        <w:rPr>
          <w:rFonts w:ascii="Times New Roman" w:eastAsia="Times New Roman" w:hAnsi="Times New Roman" w:cs="Times New Roman"/>
          <w:lang w:eastAsia="fr-FR"/>
        </w:rPr>
      </w:pPr>
    </w:p>
    <w:p w14:paraId="208D8233" w14:textId="77777777" w:rsidR="00E51290" w:rsidRPr="003566C6" w:rsidRDefault="00E51290" w:rsidP="00DD522A">
      <w:pPr>
        <w:jc w:val="both"/>
        <w:rPr>
          <w:rFonts w:ascii="Times New Roman" w:eastAsia="Times New Roman" w:hAnsi="Times New Roman" w:cs="Times New Roman"/>
          <w:lang w:eastAsia="fr-FR"/>
        </w:rPr>
      </w:pPr>
    </w:p>
    <w:p w14:paraId="49683862" w14:textId="0290CC6D" w:rsidR="005A32A3" w:rsidRPr="00177321" w:rsidRDefault="005A32A3" w:rsidP="00407193">
      <w:pPr>
        <w:pStyle w:val="Titre1"/>
        <w:rPr>
          <w:rFonts w:eastAsia="Times New Roman"/>
          <w:lang w:eastAsia="fr-FR"/>
        </w:rPr>
      </w:pPr>
      <w:bookmarkStart w:id="6" w:name="_Toc162512578"/>
      <w:r w:rsidRPr="00177321">
        <w:rPr>
          <w:rFonts w:eastAsia="Times New Roman"/>
          <w:lang w:eastAsia="fr-FR"/>
        </w:rPr>
        <w:lastRenderedPageBreak/>
        <w:t>Conclusion</w:t>
      </w:r>
      <w:bookmarkEnd w:id="6"/>
      <w:r w:rsidRPr="00177321">
        <w:rPr>
          <w:rFonts w:eastAsia="Times New Roman"/>
          <w:lang w:eastAsia="fr-FR"/>
        </w:rPr>
        <w:t> </w:t>
      </w:r>
    </w:p>
    <w:p w14:paraId="31582462" w14:textId="6DF83F5D" w:rsidR="005A32A3" w:rsidRDefault="00CB4D09" w:rsidP="00DD522A">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Points forts : Les indicateurs finaux dans le modèle économétrique sont pertinents</w:t>
      </w:r>
      <w:r w:rsidR="0044288B">
        <w:rPr>
          <w:rFonts w:ascii="Times New Roman" w:eastAsia="Times New Roman" w:hAnsi="Times New Roman" w:cs="Times New Roman"/>
          <w:lang w:eastAsia="fr-FR"/>
        </w:rPr>
        <w:t xml:space="preserve"> et significatifs</w:t>
      </w:r>
      <w:r>
        <w:rPr>
          <w:rFonts w:ascii="Times New Roman" w:eastAsia="Times New Roman" w:hAnsi="Times New Roman" w:cs="Times New Roman"/>
          <w:lang w:eastAsia="fr-FR"/>
        </w:rPr>
        <w:t>. En effet, bien que la plupart des indicateurs soient corrélés, les indicateurs qui explique le bien être sont le PIB par habitant, le Revenu, et l’écart de richesse entre les 10% les plus précaires, et les 10% les plus modestes. Cela paraît cohérent.</w:t>
      </w:r>
    </w:p>
    <w:p w14:paraId="4490F4E3" w14:textId="77777777" w:rsidR="00CB4D09" w:rsidRDefault="00CB4D09" w:rsidP="00DD522A">
      <w:pPr>
        <w:jc w:val="both"/>
        <w:rPr>
          <w:rFonts w:ascii="Times New Roman" w:eastAsia="Times New Roman" w:hAnsi="Times New Roman" w:cs="Times New Roman"/>
          <w:lang w:eastAsia="fr-FR"/>
        </w:rPr>
      </w:pPr>
    </w:p>
    <w:p w14:paraId="5326DD1D" w14:textId="0E58C229" w:rsidR="00CB4D09" w:rsidRPr="00177321" w:rsidRDefault="00CB4D09" w:rsidP="00DD522A">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Points faibles : La variable endogène n’est pas réellement la meilleure variable choisie pour cette étude. En effet</w:t>
      </w:r>
      <w:r w:rsidR="00FC64F5">
        <w:rPr>
          <w:rFonts w:ascii="Times New Roman" w:eastAsia="Times New Roman" w:hAnsi="Times New Roman" w:cs="Times New Roman"/>
          <w:lang w:eastAsia="fr-FR"/>
        </w:rPr>
        <w:t>, nous pouvons</w:t>
      </w:r>
      <w:r>
        <w:rPr>
          <w:rFonts w:ascii="Times New Roman" w:eastAsia="Times New Roman" w:hAnsi="Times New Roman" w:cs="Times New Roman"/>
          <w:lang w:eastAsia="fr-FR"/>
        </w:rPr>
        <w:t xml:space="preserve"> directement voir dès le début que c’est une variable qui est constamment croissante, ce qui veut dire que le Français </w:t>
      </w:r>
      <w:r w:rsidR="00DF21D6">
        <w:rPr>
          <w:rFonts w:ascii="Times New Roman" w:eastAsia="Times New Roman" w:hAnsi="Times New Roman" w:cs="Times New Roman"/>
          <w:lang w:eastAsia="fr-FR"/>
        </w:rPr>
        <w:t>voit</w:t>
      </w:r>
      <w:r>
        <w:rPr>
          <w:rFonts w:ascii="Times New Roman" w:eastAsia="Times New Roman" w:hAnsi="Times New Roman" w:cs="Times New Roman"/>
          <w:lang w:eastAsia="fr-FR"/>
        </w:rPr>
        <w:t xml:space="preserve"> leur satisfaction de vie s’améliorer de jour en jour, alors que ce n’est pas forcément le cas sur le plan économique</w:t>
      </w:r>
      <w:r w:rsidR="00DF21D6">
        <w:rPr>
          <w:rFonts w:ascii="Times New Roman" w:eastAsia="Times New Roman" w:hAnsi="Times New Roman" w:cs="Times New Roman"/>
          <w:lang w:eastAsia="fr-FR"/>
        </w:rPr>
        <w:t xml:space="preserve">, il y a d’ailleurs un indicateur de </w:t>
      </w:r>
      <w:r w:rsidR="007D44E9">
        <w:rPr>
          <w:rFonts w:ascii="Times New Roman" w:eastAsia="Times New Roman" w:hAnsi="Times New Roman" w:cs="Times New Roman"/>
          <w:lang w:eastAsia="fr-FR"/>
        </w:rPr>
        <w:t>bien-être</w:t>
      </w:r>
      <w:r w:rsidR="00DF21D6">
        <w:rPr>
          <w:rFonts w:ascii="Times New Roman" w:eastAsia="Times New Roman" w:hAnsi="Times New Roman" w:cs="Times New Roman"/>
          <w:lang w:eastAsia="fr-FR"/>
        </w:rPr>
        <w:t xml:space="preserve"> économique (IBEE) qui mesure beaucoup mieux ceci, mais il est construit à l’aide des principaux indicateurs que j’ai présenté lors des statistiques descriptives.</w:t>
      </w:r>
    </w:p>
    <w:p w14:paraId="3293DF65" w14:textId="77777777" w:rsidR="005A32A3" w:rsidRPr="00177321" w:rsidRDefault="005A32A3" w:rsidP="00DD522A">
      <w:pPr>
        <w:jc w:val="both"/>
        <w:rPr>
          <w:rFonts w:ascii="Times New Roman" w:eastAsia="Times New Roman" w:hAnsi="Times New Roman" w:cs="Times New Roman"/>
          <w:lang w:eastAsia="fr-FR"/>
        </w:rPr>
      </w:pPr>
    </w:p>
    <w:p w14:paraId="5BF592A8" w14:textId="77777777" w:rsidR="005A32A3" w:rsidRPr="00177321" w:rsidRDefault="005A32A3" w:rsidP="00DD522A">
      <w:pPr>
        <w:jc w:val="both"/>
        <w:rPr>
          <w:rFonts w:ascii="Times New Roman" w:eastAsia="Times New Roman" w:hAnsi="Times New Roman" w:cs="Times New Roman"/>
          <w:lang w:eastAsia="fr-FR"/>
        </w:rPr>
      </w:pPr>
    </w:p>
    <w:p w14:paraId="0FAF1C52" w14:textId="77777777" w:rsidR="005A32A3" w:rsidRPr="00177321" w:rsidRDefault="005A32A3" w:rsidP="00DD522A">
      <w:pPr>
        <w:jc w:val="both"/>
        <w:rPr>
          <w:rFonts w:ascii="Times New Roman" w:eastAsia="Times New Roman" w:hAnsi="Times New Roman" w:cs="Times New Roman"/>
          <w:lang w:eastAsia="fr-FR"/>
        </w:rPr>
      </w:pPr>
    </w:p>
    <w:p w14:paraId="23CDF3CB" w14:textId="77777777" w:rsidR="005A32A3" w:rsidRPr="00177321" w:rsidRDefault="005A32A3" w:rsidP="00DD522A">
      <w:pPr>
        <w:jc w:val="both"/>
        <w:rPr>
          <w:rFonts w:ascii="Times New Roman" w:eastAsia="Times New Roman" w:hAnsi="Times New Roman" w:cs="Times New Roman"/>
          <w:lang w:eastAsia="fr-FR"/>
        </w:rPr>
      </w:pPr>
    </w:p>
    <w:p w14:paraId="582F1676" w14:textId="77777777" w:rsidR="005A32A3" w:rsidRPr="00177321" w:rsidRDefault="005A32A3" w:rsidP="00DD522A">
      <w:pPr>
        <w:jc w:val="both"/>
        <w:rPr>
          <w:rFonts w:ascii="Times New Roman" w:eastAsia="Times New Roman" w:hAnsi="Times New Roman" w:cs="Times New Roman"/>
          <w:lang w:eastAsia="fr-FR"/>
        </w:rPr>
      </w:pPr>
    </w:p>
    <w:p w14:paraId="6A3501F0" w14:textId="77777777" w:rsidR="005A32A3" w:rsidRPr="00177321" w:rsidRDefault="005A32A3" w:rsidP="00DD522A">
      <w:pPr>
        <w:jc w:val="both"/>
        <w:rPr>
          <w:rFonts w:ascii="Times New Roman" w:eastAsia="Times New Roman" w:hAnsi="Times New Roman" w:cs="Times New Roman"/>
          <w:lang w:eastAsia="fr-FR"/>
        </w:rPr>
      </w:pPr>
    </w:p>
    <w:p w14:paraId="0204B35F" w14:textId="77777777" w:rsidR="005A32A3" w:rsidRPr="00177321" w:rsidRDefault="005A32A3" w:rsidP="00DD522A">
      <w:pPr>
        <w:jc w:val="both"/>
        <w:rPr>
          <w:rFonts w:ascii="Times New Roman" w:eastAsia="Times New Roman" w:hAnsi="Times New Roman" w:cs="Times New Roman"/>
          <w:lang w:eastAsia="fr-FR"/>
        </w:rPr>
      </w:pPr>
    </w:p>
    <w:p w14:paraId="0C982D3F" w14:textId="77777777" w:rsidR="005A32A3" w:rsidRPr="00177321" w:rsidRDefault="005A32A3" w:rsidP="00DD522A">
      <w:pPr>
        <w:jc w:val="both"/>
        <w:rPr>
          <w:rFonts w:ascii="Times New Roman" w:eastAsia="Times New Roman" w:hAnsi="Times New Roman" w:cs="Times New Roman"/>
          <w:lang w:eastAsia="fr-FR"/>
        </w:rPr>
      </w:pPr>
    </w:p>
    <w:p w14:paraId="0AB6340A" w14:textId="77777777" w:rsidR="005A32A3" w:rsidRPr="00177321" w:rsidRDefault="005A32A3" w:rsidP="00DD522A">
      <w:pPr>
        <w:jc w:val="both"/>
        <w:rPr>
          <w:rFonts w:ascii="Times New Roman" w:eastAsia="Times New Roman" w:hAnsi="Times New Roman" w:cs="Times New Roman"/>
          <w:lang w:eastAsia="fr-FR"/>
        </w:rPr>
      </w:pPr>
    </w:p>
    <w:p w14:paraId="42C8AFA8" w14:textId="77777777" w:rsidR="005A32A3" w:rsidRPr="00177321" w:rsidRDefault="005A32A3" w:rsidP="00DD522A">
      <w:pPr>
        <w:jc w:val="both"/>
        <w:rPr>
          <w:rFonts w:ascii="Times New Roman" w:eastAsia="Times New Roman" w:hAnsi="Times New Roman" w:cs="Times New Roman"/>
          <w:lang w:eastAsia="fr-FR"/>
        </w:rPr>
      </w:pPr>
    </w:p>
    <w:p w14:paraId="4661D4CA" w14:textId="77777777" w:rsidR="005A32A3" w:rsidRPr="00177321" w:rsidRDefault="005A32A3" w:rsidP="00DD522A">
      <w:pPr>
        <w:jc w:val="both"/>
        <w:rPr>
          <w:rFonts w:ascii="Times New Roman" w:eastAsia="Times New Roman" w:hAnsi="Times New Roman" w:cs="Times New Roman"/>
          <w:lang w:eastAsia="fr-FR"/>
        </w:rPr>
      </w:pPr>
    </w:p>
    <w:p w14:paraId="062EF018" w14:textId="77777777" w:rsidR="005A32A3" w:rsidRPr="00177321" w:rsidRDefault="005A32A3" w:rsidP="00DD522A">
      <w:pPr>
        <w:jc w:val="both"/>
        <w:rPr>
          <w:rFonts w:ascii="Times New Roman" w:eastAsia="Times New Roman" w:hAnsi="Times New Roman" w:cs="Times New Roman"/>
          <w:lang w:eastAsia="fr-FR"/>
        </w:rPr>
      </w:pPr>
    </w:p>
    <w:p w14:paraId="6C60E6B2" w14:textId="77777777" w:rsidR="005A32A3" w:rsidRPr="00177321" w:rsidRDefault="005A32A3" w:rsidP="00DD522A">
      <w:pPr>
        <w:jc w:val="both"/>
        <w:rPr>
          <w:rFonts w:ascii="Times New Roman" w:eastAsia="Times New Roman" w:hAnsi="Times New Roman" w:cs="Times New Roman"/>
          <w:lang w:eastAsia="fr-FR"/>
        </w:rPr>
      </w:pPr>
    </w:p>
    <w:p w14:paraId="1813679F" w14:textId="77777777" w:rsidR="005A32A3" w:rsidRPr="00177321" w:rsidRDefault="005A32A3" w:rsidP="00DD522A">
      <w:pPr>
        <w:jc w:val="both"/>
        <w:rPr>
          <w:rFonts w:ascii="Times New Roman" w:eastAsia="Times New Roman" w:hAnsi="Times New Roman" w:cs="Times New Roman"/>
          <w:lang w:eastAsia="fr-FR"/>
        </w:rPr>
      </w:pPr>
    </w:p>
    <w:p w14:paraId="79B11D0A" w14:textId="77777777" w:rsidR="005A32A3" w:rsidRPr="00177321" w:rsidRDefault="005A32A3" w:rsidP="00DD522A">
      <w:pPr>
        <w:jc w:val="both"/>
        <w:rPr>
          <w:rFonts w:ascii="Times New Roman" w:eastAsia="Times New Roman" w:hAnsi="Times New Roman" w:cs="Times New Roman"/>
          <w:lang w:eastAsia="fr-FR"/>
        </w:rPr>
      </w:pPr>
    </w:p>
    <w:p w14:paraId="084AE57D" w14:textId="77777777" w:rsidR="005A32A3" w:rsidRPr="00177321" w:rsidRDefault="005A32A3" w:rsidP="00DD522A">
      <w:pPr>
        <w:jc w:val="both"/>
        <w:rPr>
          <w:rFonts w:ascii="Times New Roman" w:eastAsia="Times New Roman" w:hAnsi="Times New Roman" w:cs="Times New Roman"/>
          <w:lang w:eastAsia="fr-FR"/>
        </w:rPr>
      </w:pPr>
    </w:p>
    <w:p w14:paraId="4A8A2517" w14:textId="77777777" w:rsidR="005A32A3" w:rsidRPr="00177321" w:rsidRDefault="005A32A3" w:rsidP="00DD522A">
      <w:pPr>
        <w:jc w:val="both"/>
        <w:rPr>
          <w:rFonts w:ascii="Times New Roman" w:eastAsia="Times New Roman" w:hAnsi="Times New Roman" w:cs="Times New Roman"/>
          <w:lang w:eastAsia="fr-FR"/>
        </w:rPr>
      </w:pPr>
    </w:p>
    <w:p w14:paraId="5FE20E3E" w14:textId="77777777" w:rsidR="00DE1892" w:rsidRDefault="00DE1892" w:rsidP="00DD522A">
      <w:pPr>
        <w:jc w:val="both"/>
        <w:rPr>
          <w:rFonts w:ascii="Times New Roman" w:eastAsia="Times New Roman" w:hAnsi="Times New Roman" w:cs="Times New Roman"/>
          <w:lang w:eastAsia="fr-FR"/>
        </w:rPr>
      </w:pPr>
    </w:p>
    <w:p w14:paraId="7FE4254D" w14:textId="77777777" w:rsidR="00502C87" w:rsidRDefault="00502C87" w:rsidP="00DD522A">
      <w:pPr>
        <w:jc w:val="both"/>
        <w:rPr>
          <w:rFonts w:ascii="Times New Roman" w:eastAsia="Times New Roman" w:hAnsi="Times New Roman" w:cs="Times New Roman"/>
          <w:lang w:eastAsia="fr-FR"/>
        </w:rPr>
      </w:pPr>
    </w:p>
    <w:p w14:paraId="75A1C202" w14:textId="4E280D5C" w:rsidR="00502C87" w:rsidRDefault="00502C87" w:rsidP="00502C87">
      <w:pPr>
        <w:pStyle w:val="Titre1"/>
        <w:rPr>
          <w:rFonts w:eastAsia="Times New Roman"/>
          <w:lang w:eastAsia="fr-FR"/>
        </w:rPr>
      </w:pPr>
      <w:bookmarkStart w:id="7" w:name="_Toc162512579"/>
      <w:r>
        <w:rPr>
          <w:rFonts w:eastAsia="Times New Roman"/>
          <w:lang w:eastAsia="fr-FR"/>
        </w:rPr>
        <w:lastRenderedPageBreak/>
        <w:t>A</w:t>
      </w:r>
      <w:r w:rsidR="007A41D0">
        <w:rPr>
          <w:rFonts w:eastAsia="Times New Roman"/>
          <w:lang w:eastAsia="fr-FR"/>
        </w:rPr>
        <w:t>nnexe</w:t>
      </w:r>
      <w:bookmarkEnd w:id="7"/>
    </w:p>
    <w:p w14:paraId="6F13B8C9" w14:textId="48E922C5" w:rsidR="00502C87" w:rsidRPr="00177321" w:rsidRDefault="00502C87" w:rsidP="00502C87">
      <w:pPr>
        <w:pStyle w:val="Titre2"/>
        <w:rPr>
          <w:rFonts w:eastAsia="Times New Roman"/>
          <w:lang w:eastAsia="fr-FR"/>
        </w:rPr>
      </w:pPr>
      <w:bookmarkStart w:id="8" w:name="_Toc162512580"/>
      <w:r w:rsidRPr="00177321">
        <w:rPr>
          <w:rFonts w:eastAsia="Times New Roman"/>
          <w:lang w:eastAsia="fr-FR"/>
        </w:rPr>
        <w:t>Tableau des données utilisées</w:t>
      </w:r>
      <w:bookmarkEnd w:id="8"/>
      <w:r w:rsidRPr="00177321">
        <w:rPr>
          <w:rFonts w:eastAsia="Times New Roman"/>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502C87" w:rsidRPr="00177321" w14:paraId="51E4A4BE" w14:textId="77777777" w:rsidTr="00DE0572">
        <w:tc>
          <w:tcPr>
            <w:tcW w:w="2265" w:type="dxa"/>
          </w:tcPr>
          <w:p w14:paraId="62A4FCC4"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Variable</w:t>
            </w:r>
          </w:p>
        </w:tc>
        <w:tc>
          <w:tcPr>
            <w:tcW w:w="2265" w:type="dxa"/>
          </w:tcPr>
          <w:p w14:paraId="6E81CDE2"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Définition</w:t>
            </w:r>
          </w:p>
        </w:tc>
        <w:tc>
          <w:tcPr>
            <w:tcW w:w="2266" w:type="dxa"/>
          </w:tcPr>
          <w:p w14:paraId="04C43969"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Unité</w:t>
            </w:r>
          </w:p>
        </w:tc>
        <w:tc>
          <w:tcPr>
            <w:tcW w:w="2266" w:type="dxa"/>
          </w:tcPr>
          <w:p w14:paraId="76DB309B"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Source</w:t>
            </w:r>
          </w:p>
        </w:tc>
      </w:tr>
      <w:tr w:rsidR="00502C87" w:rsidRPr="00177321" w14:paraId="09CF933A" w14:textId="77777777" w:rsidTr="00DE0572">
        <w:tc>
          <w:tcPr>
            <w:tcW w:w="2265" w:type="dxa"/>
          </w:tcPr>
          <w:p w14:paraId="4B90DF5F"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Taux de chômage</w:t>
            </w:r>
          </w:p>
        </w:tc>
        <w:tc>
          <w:tcPr>
            <w:tcW w:w="2265" w:type="dxa"/>
          </w:tcPr>
          <w:p w14:paraId="0FD60AE5"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Pourcentage de personnes actives qui sont au chômage</w:t>
            </w:r>
          </w:p>
        </w:tc>
        <w:tc>
          <w:tcPr>
            <w:tcW w:w="2266" w:type="dxa"/>
          </w:tcPr>
          <w:p w14:paraId="216C9C54"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En % des personnes actives</w:t>
            </w:r>
          </w:p>
        </w:tc>
        <w:tc>
          <w:tcPr>
            <w:tcW w:w="2266" w:type="dxa"/>
          </w:tcPr>
          <w:p w14:paraId="5EB611A3"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4F9BD0EF" w14:textId="77777777" w:rsidTr="00DE0572">
        <w:trPr>
          <w:trHeight w:val="1602"/>
        </w:trPr>
        <w:tc>
          <w:tcPr>
            <w:tcW w:w="2265" w:type="dxa"/>
          </w:tcPr>
          <w:p w14:paraId="7B4FD8F4"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PIB par habitant</w:t>
            </w:r>
          </w:p>
        </w:tc>
        <w:tc>
          <w:tcPr>
            <w:tcW w:w="2265" w:type="dxa"/>
          </w:tcPr>
          <w:p w14:paraId="41431462"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Le PIB par habitant est le produit intérieur brut divisé par la population en milieu d'année</w:t>
            </w:r>
          </w:p>
        </w:tc>
        <w:tc>
          <w:tcPr>
            <w:tcW w:w="2266" w:type="dxa"/>
          </w:tcPr>
          <w:p w14:paraId="4571C44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constants 2015</w:t>
            </w:r>
          </w:p>
        </w:tc>
        <w:tc>
          <w:tcPr>
            <w:tcW w:w="2266" w:type="dxa"/>
          </w:tcPr>
          <w:p w14:paraId="38848980"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Banque Mondiale</w:t>
            </w:r>
          </w:p>
        </w:tc>
      </w:tr>
      <w:tr w:rsidR="00502C87" w:rsidRPr="00177321" w14:paraId="1EF7CD28" w14:textId="77777777" w:rsidTr="00DE0572">
        <w:tc>
          <w:tcPr>
            <w:tcW w:w="2265" w:type="dxa"/>
          </w:tcPr>
          <w:p w14:paraId="27AB4E12" w14:textId="38887F8D" w:rsidR="00502C87" w:rsidRPr="00177321" w:rsidRDefault="00CA6B53" w:rsidP="00DE0572">
            <w:pPr>
              <w:rPr>
                <w:rFonts w:ascii="Times New Roman" w:hAnsi="Times New Roman" w:cs="Times New Roman"/>
              </w:rPr>
            </w:pPr>
            <w:r>
              <w:rPr>
                <w:rFonts w:ascii="Times New Roman" w:hAnsi="Times New Roman" w:cs="Times New Roman"/>
              </w:rPr>
              <w:t>Croissance du r</w:t>
            </w:r>
            <w:r w:rsidR="00502C87" w:rsidRPr="00177321">
              <w:rPr>
                <w:rFonts w:ascii="Times New Roman" w:hAnsi="Times New Roman" w:cs="Times New Roman"/>
              </w:rPr>
              <w:t>evenu disponible brut</w:t>
            </w:r>
          </w:p>
        </w:tc>
        <w:tc>
          <w:tcPr>
            <w:tcW w:w="2265" w:type="dxa"/>
          </w:tcPr>
          <w:p w14:paraId="71DEDBEE" w14:textId="77777777" w:rsidR="00502C87" w:rsidRPr="00177321" w:rsidRDefault="00502C87" w:rsidP="00DE0572">
            <w:pPr>
              <w:rPr>
                <w:rFonts w:ascii="Times New Roman" w:hAnsi="Times New Roman" w:cs="Times New Roman"/>
                <w:color w:val="000000" w:themeColor="text1"/>
                <w:shd w:val="clear" w:color="auto" w:fill="FFFFFF"/>
              </w:rPr>
            </w:pPr>
            <w:r w:rsidRPr="00177321">
              <w:rPr>
                <w:rFonts w:ascii="Times New Roman" w:hAnsi="Times New Roman" w:cs="Times New Roman"/>
                <w:color w:val="000000" w:themeColor="text1"/>
                <w:shd w:val="clear" w:color="auto" w:fill="FFFFFF"/>
              </w:rPr>
              <w:t>Le revenu disponible brut est le revenu primaire – cotisations sociales – les impôts sur le revenu et le patrimoine + les prestations sociales + les transferts courants en espèces</w:t>
            </w:r>
          </w:p>
          <w:p w14:paraId="0DA84009" w14:textId="77777777" w:rsidR="00502C87" w:rsidRPr="00177321" w:rsidRDefault="00502C87" w:rsidP="00DE0572">
            <w:pPr>
              <w:rPr>
                <w:rFonts w:ascii="Times New Roman" w:hAnsi="Times New Roman" w:cs="Times New Roman"/>
                <w:color w:val="000000" w:themeColor="text1"/>
              </w:rPr>
            </w:pPr>
          </w:p>
        </w:tc>
        <w:tc>
          <w:tcPr>
            <w:tcW w:w="2266" w:type="dxa"/>
          </w:tcPr>
          <w:p w14:paraId="0AAD5571" w14:textId="6D332AFD"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36B37E0F"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2E7684F9" w14:textId="77777777" w:rsidTr="00DE0572">
        <w:tc>
          <w:tcPr>
            <w:tcW w:w="2265" w:type="dxa"/>
          </w:tcPr>
          <w:p w14:paraId="23864ADB" w14:textId="45510CC7" w:rsidR="00502C87" w:rsidRPr="00177321" w:rsidRDefault="00CA6B53" w:rsidP="00DE0572">
            <w:pPr>
              <w:rPr>
                <w:rFonts w:ascii="Times New Roman" w:hAnsi="Times New Roman" w:cs="Times New Roman"/>
              </w:rPr>
            </w:pPr>
            <w:r>
              <w:rPr>
                <w:rFonts w:ascii="Times New Roman" w:hAnsi="Times New Roman" w:cs="Times New Roman"/>
              </w:rPr>
              <w:t>Croissance de l’i</w:t>
            </w:r>
            <w:r w:rsidR="00502C87" w:rsidRPr="00177321">
              <w:rPr>
                <w:rFonts w:ascii="Times New Roman" w:hAnsi="Times New Roman" w:cs="Times New Roman"/>
              </w:rPr>
              <w:t>ndice du prix de la dépense de consommation finale des ménages</w:t>
            </w:r>
          </w:p>
        </w:tc>
        <w:tc>
          <w:tcPr>
            <w:tcW w:w="2265" w:type="dxa"/>
          </w:tcPr>
          <w:p w14:paraId="71F2666F" w14:textId="77777777" w:rsidR="00502C87" w:rsidRPr="00177321" w:rsidRDefault="00502C87" w:rsidP="00DE0572">
            <w:pPr>
              <w:rPr>
                <w:rFonts w:ascii="Times New Roman" w:hAnsi="Times New Roman" w:cs="Times New Roman"/>
                <w:color w:val="4D5156"/>
                <w:shd w:val="clear" w:color="auto" w:fill="FFFFFF"/>
              </w:rPr>
            </w:pPr>
            <w:r w:rsidRPr="00177321">
              <w:rPr>
                <w:rFonts w:ascii="Times New Roman" w:hAnsi="Times New Roman" w:cs="Times New Roman"/>
                <w:color w:val="000000" w:themeColor="text1"/>
                <w:shd w:val="clear" w:color="auto" w:fill="FFFFFF"/>
              </w:rPr>
              <w:t>Mesure de l’évolution générale des prix des biens et services que nous consommons</w:t>
            </w:r>
          </w:p>
        </w:tc>
        <w:tc>
          <w:tcPr>
            <w:tcW w:w="2266" w:type="dxa"/>
          </w:tcPr>
          <w:p w14:paraId="7B5096F9" w14:textId="51641385"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5DBCC8F7"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0336BDEC" w14:textId="77777777" w:rsidTr="00DE0572">
        <w:tc>
          <w:tcPr>
            <w:tcW w:w="2265" w:type="dxa"/>
          </w:tcPr>
          <w:p w14:paraId="13D804C0" w14:textId="4A06FBD3" w:rsidR="00502C87" w:rsidRPr="00177321" w:rsidRDefault="00CA6B53" w:rsidP="00DE0572">
            <w:pPr>
              <w:rPr>
                <w:rFonts w:ascii="Times New Roman" w:hAnsi="Times New Roman" w:cs="Times New Roman"/>
              </w:rPr>
            </w:pPr>
            <w:r>
              <w:rPr>
                <w:rFonts w:ascii="Times New Roman" w:hAnsi="Times New Roman" w:cs="Times New Roman"/>
              </w:rPr>
              <w:t>Croissance du p</w:t>
            </w:r>
            <w:r w:rsidR="00502C87" w:rsidRPr="00177321">
              <w:rPr>
                <w:rFonts w:ascii="Times New Roman" w:hAnsi="Times New Roman" w:cs="Times New Roman"/>
              </w:rPr>
              <w:t>ouvoir d’achat du revenu disponible brut des ménages</w:t>
            </w:r>
          </w:p>
        </w:tc>
        <w:tc>
          <w:tcPr>
            <w:tcW w:w="2265" w:type="dxa"/>
          </w:tcPr>
          <w:p w14:paraId="613AE76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Evolution calculée au sens de la comptabilité nationale, déflatée à l’aide de l’indice du prix de la dépense de consommation finale des ménages</w:t>
            </w:r>
          </w:p>
        </w:tc>
        <w:tc>
          <w:tcPr>
            <w:tcW w:w="2266" w:type="dxa"/>
          </w:tcPr>
          <w:p w14:paraId="2BCB65D5" w14:textId="08F79B22"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350E5DF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1D8FDE1C" w14:textId="77777777" w:rsidTr="00DE0572">
        <w:tc>
          <w:tcPr>
            <w:tcW w:w="2265" w:type="dxa"/>
          </w:tcPr>
          <w:p w14:paraId="6620B244" w14:textId="3BC978CC" w:rsidR="00502C87" w:rsidRPr="00177321" w:rsidRDefault="00CA6B53" w:rsidP="00DE0572">
            <w:pPr>
              <w:rPr>
                <w:rFonts w:ascii="Times New Roman" w:hAnsi="Times New Roman" w:cs="Times New Roman"/>
              </w:rPr>
            </w:pPr>
            <w:r>
              <w:rPr>
                <w:rFonts w:ascii="Times New Roman" w:hAnsi="Times New Roman" w:cs="Times New Roman"/>
              </w:rPr>
              <w:t>Croissance du t</w:t>
            </w:r>
            <w:r w:rsidR="00502C87" w:rsidRPr="00177321">
              <w:rPr>
                <w:rFonts w:ascii="Times New Roman" w:hAnsi="Times New Roman" w:cs="Times New Roman"/>
              </w:rPr>
              <w:t>aux d’épargne</w:t>
            </w:r>
          </w:p>
        </w:tc>
        <w:tc>
          <w:tcPr>
            <w:tcW w:w="2265" w:type="dxa"/>
          </w:tcPr>
          <w:p w14:paraId="0F63C90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Le taux d’épargne mesure la part du revenu disponible brut qui n’est pas utilisée par les ménages en dépense de consommation finale</w:t>
            </w:r>
          </w:p>
        </w:tc>
        <w:tc>
          <w:tcPr>
            <w:tcW w:w="2266" w:type="dxa"/>
          </w:tcPr>
          <w:p w14:paraId="0222DDDE" w14:textId="3B2BFEA1"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0EA65176"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47276354" w14:textId="77777777" w:rsidTr="00DE0572">
        <w:tc>
          <w:tcPr>
            <w:tcW w:w="2265" w:type="dxa"/>
          </w:tcPr>
          <w:p w14:paraId="3348922B" w14:textId="5F88FBF6" w:rsidR="00502C87" w:rsidRPr="00177321" w:rsidRDefault="007A6065" w:rsidP="00DE0572">
            <w:pPr>
              <w:rPr>
                <w:rFonts w:ascii="Times New Roman" w:hAnsi="Times New Roman" w:cs="Times New Roman"/>
              </w:rPr>
            </w:pPr>
            <w:r>
              <w:rPr>
                <w:rFonts w:ascii="Times New Roman" w:hAnsi="Times New Roman" w:cs="Times New Roman"/>
              </w:rPr>
              <w:t>Croissance de la d</w:t>
            </w:r>
            <w:r w:rsidR="00502C87" w:rsidRPr="00177321">
              <w:rPr>
                <w:rFonts w:ascii="Times New Roman" w:hAnsi="Times New Roman" w:cs="Times New Roman"/>
              </w:rPr>
              <w:t>épense de consommation finale des ménages</w:t>
            </w:r>
          </w:p>
        </w:tc>
        <w:tc>
          <w:tcPr>
            <w:tcW w:w="2265" w:type="dxa"/>
          </w:tcPr>
          <w:p w14:paraId="021C45BB"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Dépense des ménages pour acquérir des biens et des services destinés </w:t>
            </w:r>
            <w:r w:rsidRPr="00177321">
              <w:rPr>
                <w:rFonts w:ascii="Times New Roman" w:hAnsi="Times New Roman" w:cs="Times New Roman"/>
              </w:rPr>
              <w:lastRenderedPageBreak/>
              <w:t>à la satisfaction de leur bien</w:t>
            </w:r>
          </w:p>
        </w:tc>
        <w:tc>
          <w:tcPr>
            <w:tcW w:w="2266" w:type="dxa"/>
          </w:tcPr>
          <w:p w14:paraId="11ABBCB3" w14:textId="2537023B" w:rsidR="00502C87" w:rsidRPr="00177321" w:rsidRDefault="00502C87" w:rsidP="00DE0572">
            <w:pPr>
              <w:rPr>
                <w:rFonts w:ascii="Times New Roman" w:hAnsi="Times New Roman" w:cs="Times New Roman"/>
              </w:rPr>
            </w:pPr>
            <w:r w:rsidRPr="00177321">
              <w:rPr>
                <w:rFonts w:ascii="Times New Roman" w:hAnsi="Times New Roman" w:cs="Times New Roman"/>
              </w:rPr>
              <w:lastRenderedPageBreak/>
              <w:t xml:space="preserve">En % </w:t>
            </w:r>
          </w:p>
        </w:tc>
        <w:tc>
          <w:tcPr>
            <w:tcW w:w="2266" w:type="dxa"/>
          </w:tcPr>
          <w:p w14:paraId="0472E77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006BCE5F" w14:textId="77777777" w:rsidTr="00DE0572">
        <w:tc>
          <w:tcPr>
            <w:tcW w:w="2265" w:type="dxa"/>
          </w:tcPr>
          <w:p w14:paraId="4D1A5AD7"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Croissance population moyenne</w:t>
            </w:r>
          </w:p>
        </w:tc>
        <w:tc>
          <w:tcPr>
            <w:tcW w:w="2265" w:type="dxa"/>
          </w:tcPr>
          <w:p w14:paraId="071BD555"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Augmentation de la population moyenne en France</w:t>
            </w:r>
          </w:p>
        </w:tc>
        <w:tc>
          <w:tcPr>
            <w:tcW w:w="2266" w:type="dxa"/>
          </w:tcPr>
          <w:p w14:paraId="51D3CE95" w14:textId="748F49FC"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45A90684"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3D3CB9FD" w14:textId="77777777" w:rsidTr="00DE0572">
        <w:tc>
          <w:tcPr>
            <w:tcW w:w="2265" w:type="dxa"/>
          </w:tcPr>
          <w:p w14:paraId="42D8D2E0"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Croissance nombre de ménages</w:t>
            </w:r>
          </w:p>
        </w:tc>
        <w:tc>
          <w:tcPr>
            <w:tcW w:w="2265" w:type="dxa"/>
          </w:tcPr>
          <w:p w14:paraId="131EB658"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Augmentation du nombre de ménages en moyenne en France</w:t>
            </w:r>
          </w:p>
        </w:tc>
        <w:tc>
          <w:tcPr>
            <w:tcW w:w="2266" w:type="dxa"/>
          </w:tcPr>
          <w:p w14:paraId="1C45FA2E" w14:textId="381634D2"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439B70A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5032D429" w14:textId="77777777" w:rsidTr="00DE0572">
        <w:tc>
          <w:tcPr>
            <w:tcW w:w="2265" w:type="dxa"/>
          </w:tcPr>
          <w:p w14:paraId="5DB7EF28"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Croissance nombre d’unités de consommation</w:t>
            </w:r>
          </w:p>
        </w:tc>
        <w:tc>
          <w:tcPr>
            <w:tcW w:w="2265" w:type="dxa"/>
          </w:tcPr>
          <w:p w14:paraId="745EBFF9"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L’unité de consommation permet de comparer le niveau de vie des ménages en prenant en compte le nombre de personnes selon son âge</w:t>
            </w:r>
          </w:p>
        </w:tc>
        <w:tc>
          <w:tcPr>
            <w:tcW w:w="2266" w:type="dxa"/>
          </w:tcPr>
          <w:p w14:paraId="71F7A99E" w14:textId="46F521E6"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En % </w:t>
            </w:r>
          </w:p>
        </w:tc>
        <w:tc>
          <w:tcPr>
            <w:tcW w:w="2266" w:type="dxa"/>
          </w:tcPr>
          <w:p w14:paraId="4532FD79"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027F5074" w14:textId="77777777" w:rsidTr="00DE0572">
        <w:tc>
          <w:tcPr>
            <w:tcW w:w="2265" w:type="dxa"/>
          </w:tcPr>
          <w:p w14:paraId="4902147E"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Indice de Gini</w:t>
            </w:r>
          </w:p>
        </w:tc>
        <w:tc>
          <w:tcPr>
            <w:tcW w:w="2265" w:type="dxa"/>
          </w:tcPr>
          <w:p w14:paraId="6FD8F95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L’indice de Gini est un indicateur synthétique permettant de rendre compte du niveau d’inégalité pour une variable et sur une population donnée. 0 correspond à l’égalité parfaite et 1 à l’inégalité extrême</w:t>
            </w:r>
          </w:p>
        </w:tc>
        <w:tc>
          <w:tcPr>
            <w:tcW w:w="2266" w:type="dxa"/>
          </w:tcPr>
          <w:p w14:paraId="71E1869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Pas d’unité</w:t>
            </w:r>
          </w:p>
        </w:tc>
        <w:tc>
          <w:tcPr>
            <w:tcW w:w="2266" w:type="dxa"/>
          </w:tcPr>
          <w:p w14:paraId="73F4697A"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World </w:t>
            </w:r>
            <w:proofErr w:type="spellStart"/>
            <w:r w:rsidRPr="00177321">
              <w:rPr>
                <w:rFonts w:ascii="Times New Roman" w:hAnsi="Times New Roman" w:cs="Times New Roman"/>
              </w:rPr>
              <w:t>Inequality</w:t>
            </w:r>
            <w:proofErr w:type="spellEnd"/>
            <w:r w:rsidRPr="00177321">
              <w:rPr>
                <w:rFonts w:ascii="Times New Roman" w:hAnsi="Times New Roman" w:cs="Times New Roman"/>
              </w:rPr>
              <w:t xml:space="preserve"> </w:t>
            </w:r>
            <w:proofErr w:type="spellStart"/>
            <w:r w:rsidRPr="00177321">
              <w:rPr>
                <w:rFonts w:ascii="Times New Roman" w:hAnsi="Times New Roman" w:cs="Times New Roman"/>
              </w:rPr>
              <w:t>Database</w:t>
            </w:r>
            <w:proofErr w:type="spellEnd"/>
          </w:p>
        </w:tc>
      </w:tr>
      <w:tr w:rsidR="00502C87" w:rsidRPr="00177321" w14:paraId="42EB2E3D" w14:textId="77777777" w:rsidTr="00DE0572">
        <w:tc>
          <w:tcPr>
            <w:tcW w:w="2265" w:type="dxa"/>
          </w:tcPr>
          <w:p w14:paraId="693E319A"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1</w:t>
            </w:r>
            <w:r w:rsidRPr="00177321">
              <w:rPr>
                <w:rFonts w:ascii="Times New Roman" w:hAnsi="Times New Roman" w:cs="Times New Roman"/>
                <w:vertAlign w:val="superscript"/>
              </w:rPr>
              <w:t>er</w:t>
            </w:r>
            <w:r w:rsidRPr="00177321">
              <w:rPr>
                <w:rFonts w:ascii="Times New Roman" w:hAnsi="Times New Roman" w:cs="Times New Roman"/>
              </w:rPr>
              <w:t xml:space="preserve"> décile</w:t>
            </w:r>
          </w:p>
        </w:tc>
        <w:tc>
          <w:tcPr>
            <w:tcW w:w="2265" w:type="dxa"/>
          </w:tcPr>
          <w:p w14:paraId="1201DB62"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Salaire au-dessous duquel se situent 10% des salaires (hors revenus financiers)</w:t>
            </w:r>
          </w:p>
        </w:tc>
        <w:tc>
          <w:tcPr>
            <w:tcW w:w="2266" w:type="dxa"/>
          </w:tcPr>
          <w:p w14:paraId="6C4A016F"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En euros constants 2016</w:t>
            </w:r>
          </w:p>
        </w:tc>
        <w:tc>
          <w:tcPr>
            <w:tcW w:w="2266" w:type="dxa"/>
          </w:tcPr>
          <w:p w14:paraId="6E26006C"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3649C88F" w14:textId="77777777" w:rsidTr="00DE0572">
        <w:tc>
          <w:tcPr>
            <w:tcW w:w="2265" w:type="dxa"/>
          </w:tcPr>
          <w:p w14:paraId="5359AF81"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9</w:t>
            </w:r>
            <w:r w:rsidRPr="00177321">
              <w:rPr>
                <w:rFonts w:ascii="Times New Roman" w:hAnsi="Times New Roman" w:cs="Times New Roman"/>
                <w:vertAlign w:val="superscript"/>
              </w:rPr>
              <w:t>ème</w:t>
            </w:r>
            <w:r w:rsidRPr="00177321">
              <w:rPr>
                <w:rFonts w:ascii="Times New Roman" w:hAnsi="Times New Roman" w:cs="Times New Roman"/>
              </w:rPr>
              <w:t xml:space="preserve"> décile</w:t>
            </w:r>
          </w:p>
        </w:tc>
        <w:tc>
          <w:tcPr>
            <w:tcW w:w="2265" w:type="dxa"/>
          </w:tcPr>
          <w:p w14:paraId="32AEBD6F"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Salaire au-dessous duquel se situent 90% des salaires (hors revenus financiers)</w:t>
            </w:r>
          </w:p>
        </w:tc>
        <w:tc>
          <w:tcPr>
            <w:tcW w:w="2266" w:type="dxa"/>
          </w:tcPr>
          <w:p w14:paraId="74A60F6E"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En euros constants 2016</w:t>
            </w:r>
          </w:p>
        </w:tc>
        <w:tc>
          <w:tcPr>
            <w:tcW w:w="2266" w:type="dxa"/>
          </w:tcPr>
          <w:p w14:paraId="21AAF370"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78474C26" w14:textId="77777777" w:rsidTr="00DE0572">
        <w:tc>
          <w:tcPr>
            <w:tcW w:w="2265" w:type="dxa"/>
          </w:tcPr>
          <w:p w14:paraId="479FEA9E"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Ecart interdécile</w:t>
            </w:r>
          </w:p>
        </w:tc>
        <w:tc>
          <w:tcPr>
            <w:tcW w:w="2265" w:type="dxa"/>
          </w:tcPr>
          <w:p w14:paraId="5CF892FA"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D9 – D1 (hors revenus financiers)</w:t>
            </w:r>
          </w:p>
        </w:tc>
        <w:tc>
          <w:tcPr>
            <w:tcW w:w="2266" w:type="dxa"/>
          </w:tcPr>
          <w:p w14:paraId="472B6A05"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En euros constants 2016</w:t>
            </w:r>
          </w:p>
        </w:tc>
        <w:tc>
          <w:tcPr>
            <w:tcW w:w="2266" w:type="dxa"/>
          </w:tcPr>
          <w:p w14:paraId="678F1C8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Directement recalculé avec les données précédentes</w:t>
            </w:r>
          </w:p>
        </w:tc>
      </w:tr>
      <w:tr w:rsidR="00502C87" w:rsidRPr="00177321" w14:paraId="15D28DB6" w14:textId="77777777" w:rsidTr="00DE0572">
        <w:tc>
          <w:tcPr>
            <w:tcW w:w="2265" w:type="dxa"/>
          </w:tcPr>
          <w:p w14:paraId="62414277"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Rapport interdécile</w:t>
            </w:r>
          </w:p>
        </w:tc>
        <w:tc>
          <w:tcPr>
            <w:tcW w:w="2265" w:type="dxa"/>
          </w:tcPr>
          <w:p w14:paraId="7C9FC863"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D9/D1 (hors revenus financiers)</w:t>
            </w:r>
          </w:p>
        </w:tc>
        <w:tc>
          <w:tcPr>
            <w:tcW w:w="2266" w:type="dxa"/>
          </w:tcPr>
          <w:p w14:paraId="18D77328"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Pas d’unité </w:t>
            </w:r>
          </w:p>
        </w:tc>
        <w:tc>
          <w:tcPr>
            <w:tcW w:w="2266" w:type="dxa"/>
          </w:tcPr>
          <w:p w14:paraId="1C697C4E"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4A230DC9" w14:textId="77777777" w:rsidTr="00DE0572">
        <w:tc>
          <w:tcPr>
            <w:tcW w:w="2265" w:type="dxa"/>
          </w:tcPr>
          <w:p w14:paraId="49933CA2"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Rapport </w:t>
            </w:r>
            <w:proofErr w:type="spellStart"/>
            <w:r w:rsidRPr="00177321">
              <w:rPr>
                <w:rFonts w:ascii="Times New Roman" w:hAnsi="Times New Roman" w:cs="Times New Roman"/>
              </w:rPr>
              <w:t>interquintile</w:t>
            </w:r>
            <w:proofErr w:type="spellEnd"/>
            <w:r w:rsidRPr="00177321">
              <w:rPr>
                <w:rFonts w:ascii="Times New Roman" w:hAnsi="Times New Roman" w:cs="Times New Roman"/>
              </w:rPr>
              <w:t xml:space="preserve"> des masses</w:t>
            </w:r>
          </w:p>
        </w:tc>
        <w:tc>
          <w:tcPr>
            <w:tcW w:w="2265" w:type="dxa"/>
          </w:tcPr>
          <w:p w14:paraId="3089F190"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(100 – S</w:t>
            </w:r>
            <w:proofErr w:type="gramStart"/>
            <w:r w:rsidRPr="00177321">
              <w:rPr>
                <w:rFonts w:ascii="Times New Roman" w:hAnsi="Times New Roman" w:cs="Times New Roman"/>
              </w:rPr>
              <w:t>80)/</w:t>
            </w:r>
            <w:proofErr w:type="gramEnd"/>
            <w:r w:rsidRPr="00177321">
              <w:rPr>
                <w:rFonts w:ascii="Times New Roman" w:hAnsi="Times New Roman" w:cs="Times New Roman"/>
              </w:rPr>
              <w:t>S20 (hors revenus financiers)</w:t>
            </w:r>
          </w:p>
          <w:p w14:paraId="3704EB91" w14:textId="77777777" w:rsidR="00502C87" w:rsidRPr="00177321" w:rsidRDefault="00502C87" w:rsidP="00DE0572">
            <w:pPr>
              <w:rPr>
                <w:rFonts w:ascii="Times New Roman" w:hAnsi="Times New Roman" w:cs="Times New Roman"/>
              </w:rPr>
            </w:pPr>
          </w:p>
          <w:p w14:paraId="52CDF3B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 xml:space="preserve">S80 correspond à la masse des revenus détenus par les 20% </w:t>
            </w:r>
            <w:r w:rsidRPr="00177321">
              <w:rPr>
                <w:rFonts w:ascii="Times New Roman" w:hAnsi="Times New Roman" w:cs="Times New Roman"/>
              </w:rPr>
              <w:lastRenderedPageBreak/>
              <w:t>plus riches et S20 par les 20% plus précaires</w:t>
            </w:r>
          </w:p>
        </w:tc>
        <w:tc>
          <w:tcPr>
            <w:tcW w:w="2266" w:type="dxa"/>
          </w:tcPr>
          <w:p w14:paraId="420C803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lastRenderedPageBreak/>
              <w:t>Pas d’unité</w:t>
            </w:r>
          </w:p>
        </w:tc>
        <w:tc>
          <w:tcPr>
            <w:tcW w:w="2266" w:type="dxa"/>
          </w:tcPr>
          <w:p w14:paraId="74A0712F"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INSEE</w:t>
            </w:r>
          </w:p>
        </w:tc>
      </w:tr>
      <w:tr w:rsidR="00502C87" w:rsidRPr="00177321" w14:paraId="3BA3D334" w14:textId="77777777" w:rsidTr="00DE0572">
        <w:tc>
          <w:tcPr>
            <w:tcW w:w="2265" w:type="dxa"/>
          </w:tcPr>
          <w:p w14:paraId="3DD4BFA5" w14:textId="77777777" w:rsidR="00502C87" w:rsidRPr="00177321" w:rsidRDefault="00502C87" w:rsidP="00DE0572">
            <w:pPr>
              <w:rPr>
                <w:rFonts w:ascii="Times New Roman" w:hAnsi="Times New Roman" w:cs="Times New Roman"/>
                <w:lang w:val="en-GB"/>
              </w:rPr>
            </w:pPr>
            <w:r w:rsidRPr="00177321">
              <w:rPr>
                <w:rFonts w:ascii="Times New Roman" w:hAnsi="Times New Roman" w:cs="Times New Roman"/>
                <w:lang w:val="en-GB"/>
              </w:rPr>
              <w:t>Share of people who say they are satisfied with their life (Eurobarometer 2017)</w:t>
            </w:r>
          </w:p>
        </w:tc>
        <w:tc>
          <w:tcPr>
            <w:tcW w:w="2265" w:type="dxa"/>
          </w:tcPr>
          <w:p w14:paraId="25C8FECD"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Part d’une population d’un pays qui se sent satisfaite de leur vie</w:t>
            </w:r>
          </w:p>
        </w:tc>
        <w:tc>
          <w:tcPr>
            <w:tcW w:w="2266" w:type="dxa"/>
          </w:tcPr>
          <w:p w14:paraId="2AE3BA7E"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En %</w:t>
            </w:r>
          </w:p>
        </w:tc>
        <w:tc>
          <w:tcPr>
            <w:tcW w:w="2266" w:type="dxa"/>
          </w:tcPr>
          <w:p w14:paraId="7D763A34" w14:textId="77777777" w:rsidR="00502C87" w:rsidRPr="00177321" w:rsidRDefault="00502C87" w:rsidP="00DE0572">
            <w:pPr>
              <w:rPr>
                <w:rFonts w:ascii="Times New Roman" w:hAnsi="Times New Roman" w:cs="Times New Roman"/>
              </w:rPr>
            </w:pPr>
            <w:r w:rsidRPr="00177321">
              <w:rPr>
                <w:rFonts w:ascii="Times New Roman" w:hAnsi="Times New Roman" w:cs="Times New Roman"/>
              </w:rPr>
              <w:t>Our World in Data</w:t>
            </w:r>
          </w:p>
        </w:tc>
      </w:tr>
    </w:tbl>
    <w:p w14:paraId="16EA448A" w14:textId="77777777" w:rsidR="00502C87" w:rsidRPr="00177321" w:rsidRDefault="00502C87" w:rsidP="00502C87">
      <w:pPr>
        <w:rPr>
          <w:rFonts w:ascii="Times New Roman" w:hAnsi="Times New Roman" w:cs="Times New Roman"/>
        </w:rPr>
      </w:pPr>
    </w:p>
    <w:p w14:paraId="34542306" w14:textId="77777777" w:rsidR="00502C87" w:rsidRPr="00177321" w:rsidRDefault="00502C87" w:rsidP="00502C87">
      <w:pPr>
        <w:rPr>
          <w:rFonts w:ascii="Times New Roman" w:hAnsi="Times New Roman" w:cs="Times New Roman"/>
        </w:rPr>
      </w:pPr>
    </w:p>
    <w:p w14:paraId="1AD05C32" w14:textId="77777777" w:rsidR="00502C87" w:rsidRDefault="00502C87" w:rsidP="00502C87">
      <w:pPr>
        <w:rPr>
          <w:rFonts w:ascii="Times New Roman" w:hAnsi="Times New Roman" w:cs="Times New Roman"/>
        </w:rPr>
      </w:pPr>
    </w:p>
    <w:p w14:paraId="466DBAC9" w14:textId="77777777" w:rsidR="00502C87" w:rsidRDefault="00502C87" w:rsidP="00502C87">
      <w:pPr>
        <w:rPr>
          <w:rFonts w:ascii="Times New Roman" w:hAnsi="Times New Roman" w:cs="Times New Roman"/>
        </w:rPr>
      </w:pPr>
    </w:p>
    <w:p w14:paraId="152AB3E3" w14:textId="77777777" w:rsidR="009D23A8" w:rsidRDefault="009D23A8" w:rsidP="00502C87">
      <w:pPr>
        <w:rPr>
          <w:rFonts w:ascii="Times New Roman" w:hAnsi="Times New Roman" w:cs="Times New Roman"/>
        </w:rPr>
      </w:pPr>
    </w:p>
    <w:p w14:paraId="28812835" w14:textId="77777777" w:rsidR="009D23A8" w:rsidRDefault="009D23A8" w:rsidP="00502C87">
      <w:pPr>
        <w:rPr>
          <w:rFonts w:ascii="Times New Roman" w:hAnsi="Times New Roman" w:cs="Times New Roman"/>
        </w:rPr>
      </w:pPr>
    </w:p>
    <w:p w14:paraId="04AE340E" w14:textId="77777777" w:rsidR="009D23A8" w:rsidRDefault="009D23A8" w:rsidP="00502C87">
      <w:pPr>
        <w:rPr>
          <w:rFonts w:ascii="Times New Roman" w:hAnsi="Times New Roman" w:cs="Times New Roman"/>
        </w:rPr>
      </w:pPr>
    </w:p>
    <w:p w14:paraId="35B36478" w14:textId="77777777" w:rsidR="009D23A8" w:rsidRDefault="009D23A8" w:rsidP="00502C87">
      <w:pPr>
        <w:rPr>
          <w:rFonts w:ascii="Times New Roman" w:hAnsi="Times New Roman" w:cs="Times New Roman"/>
        </w:rPr>
      </w:pPr>
    </w:p>
    <w:p w14:paraId="3FB917B4" w14:textId="77777777" w:rsidR="009D23A8" w:rsidRDefault="009D23A8" w:rsidP="00502C87">
      <w:pPr>
        <w:rPr>
          <w:rFonts w:ascii="Times New Roman" w:hAnsi="Times New Roman" w:cs="Times New Roman"/>
        </w:rPr>
      </w:pPr>
    </w:p>
    <w:p w14:paraId="38AEE4CC" w14:textId="77777777" w:rsidR="009D23A8" w:rsidRDefault="009D23A8" w:rsidP="00502C87">
      <w:pPr>
        <w:rPr>
          <w:rFonts w:ascii="Times New Roman" w:hAnsi="Times New Roman" w:cs="Times New Roman"/>
        </w:rPr>
      </w:pPr>
    </w:p>
    <w:p w14:paraId="25DA71D5" w14:textId="77777777" w:rsidR="009D23A8" w:rsidRDefault="009D23A8" w:rsidP="00502C87">
      <w:pPr>
        <w:rPr>
          <w:rFonts w:ascii="Times New Roman" w:hAnsi="Times New Roman" w:cs="Times New Roman"/>
        </w:rPr>
      </w:pPr>
    </w:p>
    <w:p w14:paraId="6AA395BD" w14:textId="77777777" w:rsidR="009D23A8" w:rsidRDefault="009D23A8" w:rsidP="00502C87">
      <w:pPr>
        <w:rPr>
          <w:rFonts w:ascii="Times New Roman" w:hAnsi="Times New Roman" w:cs="Times New Roman"/>
        </w:rPr>
      </w:pPr>
    </w:p>
    <w:p w14:paraId="460174A1" w14:textId="77777777" w:rsidR="009D23A8" w:rsidRDefault="009D23A8" w:rsidP="00502C87">
      <w:pPr>
        <w:rPr>
          <w:rFonts w:ascii="Times New Roman" w:hAnsi="Times New Roman" w:cs="Times New Roman"/>
        </w:rPr>
      </w:pPr>
    </w:p>
    <w:p w14:paraId="0ABCCA92" w14:textId="77777777" w:rsidR="009D23A8" w:rsidRDefault="009D23A8" w:rsidP="00502C87">
      <w:pPr>
        <w:rPr>
          <w:rFonts w:ascii="Times New Roman" w:hAnsi="Times New Roman" w:cs="Times New Roman"/>
        </w:rPr>
      </w:pPr>
    </w:p>
    <w:p w14:paraId="1DE838EC" w14:textId="77777777" w:rsidR="009D23A8" w:rsidRDefault="009D23A8" w:rsidP="00502C87">
      <w:pPr>
        <w:rPr>
          <w:rFonts w:ascii="Times New Roman" w:hAnsi="Times New Roman" w:cs="Times New Roman"/>
        </w:rPr>
      </w:pPr>
    </w:p>
    <w:p w14:paraId="53190A26" w14:textId="77777777" w:rsidR="009D23A8" w:rsidRDefault="009D23A8" w:rsidP="00502C87">
      <w:pPr>
        <w:rPr>
          <w:rFonts w:ascii="Times New Roman" w:hAnsi="Times New Roman" w:cs="Times New Roman"/>
        </w:rPr>
      </w:pPr>
    </w:p>
    <w:p w14:paraId="65BF3FE2" w14:textId="77777777" w:rsidR="009D23A8" w:rsidRDefault="009D23A8" w:rsidP="00502C87">
      <w:pPr>
        <w:rPr>
          <w:rFonts w:ascii="Times New Roman" w:hAnsi="Times New Roman" w:cs="Times New Roman"/>
        </w:rPr>
      </w:pPr>
    </w:p>
    <w:p w14:paraId="02C2186A" w14:textId="77777777" w:rsidR="009D23A8" w:rsidRDefault="009D23A8" w:rsidP="00502C87">
      <w:pPr>
        <w:rPr>
          <w:rFonts w:ascii="Times New Roman" w:hAnsi="Times New Roman" w:cs="Times New Roman"/>
        </w:rPr>
      </w:pPr>
    </w:p>
    <w:p w14:paraId="12B2787F" w14:textId="77777777" w:rsidR="009D23A8" w:rsidRDefault="009D23A8" w:rsidP="00502C87">
      <w:pPr>
        <w:rPr>
          <w:rFonts w:ascii="Times New Roman" w:hAnsi="Times New Roman" w:cs="Times New Roman"/>
        </w:rPr>
      </w:pPr>
    </w:p>
    <w:p w14:paraId="27449BC2" w14:textId="77777777" w:rsidR="009D23A8" w:rsidRDefault="009D23A8" w:rsidP="00502C87">
      <w:pPr>
        <w:rPr>
          <w:rFonts w:ascii="Times New Roman" w:hAnsi="Times New Roman" w:cs="Times New Roman"/>
        </w:rPr>
      </w:pPr>
    </w:p>
    <w:p w14:paraId="38996064" w14:textId="77777777" w:rsidR="00502C87" w:rsidRDefault="00502C87" w:rsidP="00407193">
      <w:pPr>
        <w:pStyle w:val="Titre1"/>
        <w:rPr>
          <w:rFonts w:eastAsia="Times New Roman"/>
          <w:lang w:eastAsia="fr-FR"/>
        </w:rPr>
      </w:pPr>
    </w:p>
    <w:p w14:paraId="16208744" w14:textId="77777777" w:rsidR="009D23A8" w:rsidRPr="009D23A8" w:rsidRDefault="009D23A8" w:rsidP="009D23A8">
      <w:pPr>
        <w:rPr>
          <w:lang w:eastAsia="fr-FR"/>
        </w:rPr>
      </w:pPr>
    </w:p>
    <w:p w14:paraId="01FAFA81" w14:textId="0F21E258" w:rsidR="005A32A3" w:rsidRDefault="005A32A3" w:rsidP="00407193">
      <w:pPr>
        <w:pStyle w:val="Titre1"/>
        <w:rPr>
          <w:rFonts w:eastAsia="Times New Roman"/>
          <w:lang w:eastAsia="fr-FR"/>
        </w:rPr>
      </w:pPr>
      <w:bookmarkStart w:id="9" w:name="_Toc162512581"/>
      <w:r w:rsidRPr="00177321">
        <w:rPr>
          <w:rFonts w:eastAsia="Times New Roman"/>
          <w:lang w:eastAsia="fr-FR"/>
        </w:rPr>
        <w:lastRenderedPageBreak/>
        <w:t>Bibliographie</w:t>
      </w:r>
      <w:bookmarkEnd w:id="9"/>
      <w:r w:rsidRPr="00177321">
        <w:rPr>
          <w:rFonts w:eastAsia="Times New Roman"/>
          <w:lang w:eastAsia="fr-FR"/>
        </w:rPr>
        <w:t> </w:t>
      </w:r>
    </w:p>
    <w:p w14:paraId="06AF4DF1" w14:textId="5B296ABF" w:rsidR="00C56115" w:rsidRPr="00C56115" w:rsidRDefault="00C56115" w:rsidP="00C56115">
      <w:pPr>
        <w:rPr>
          <w:lang w:eastAsia="fr-FR"/>
        </w:rPr>
      </w:pPr>
      <w:r w:rsidRPr="00177321">
        <w:rPr>
          <w:rFonts w:ascii="Times New Roman" w:eastAsia="Times New Roman" w:hAnsi="Times New Roman" w:cs="Times New Roman"/>
          <w:lang w:eastAsia="fr-FR"/>
        </w:rPr>
        <w:t>https://www.lemonde.fr/archives/article/1985/04/27/le-pouvoir-d-achat-a-encore-baisse-en-1984_2747741_1819218.html</w:t>
      </w:r>
    </w:p>
    <w:p w14:paraId="3013C0E9" w14:textId="57F9F473" w:rsidR="005A32A3" w:rsidRDefault="00000000" w:rsidP="00DD522A">
      <w:pPr>
        <w:jc w:val="both"/>
        <w:rPr>
          <w:rFonts w:ascii="Times New Roman" w:eastAsia="Times New Roman" w:hAnsi="Times New Roman" w:cs="Times New Roman"/>
          <w:b/>
          <w:bCs/>
          <w:u w:val="single"/>
          <w:lang w:eastAsia="fr-FR"/>
        </w:rPr>
      </w:pPr>
      <w:hyperlink r:id="rId16" w:history="1">
        <w:r w:rsidR="00E11FCC" w:rsidRPr="00470B19">
          <w:rPr>
            <w:rStyle w:val="Lienhypertexte"/>
            <w:rFonts w:ascii="Times New Roman" w:eastAsia="Times New Roman" w:hAnsi="Times New Roman" w:cs="Times New Roman"/>
            <w:b/>
            <w:bCs/>
            <w:lang w:eastAsia="fr-FR"/>
          </w:rPr>
          <w:t>https://www.cairn.info/revue-de-l-ofce-2006-1-page-11.htm</w:t>
        </w:r>
      </w:hyperlink>
    </w:p>
    <w:p w14:paraId="4B035688" w14:textId="44E4C433" w:rsidR="00E11FCC" w:rsidRPr="00177321" w:rsidRDefault="00E11FCC" w:rsidP="00DD522A">
      <w:pPr>
        <w:jc w:val="both"/>
        <w:rPr>
          <w:rFonts w:ascii="Times New Roman" w:eastAsia="Times New Roman" w:hAnsi="Times New Roman" w:cs="Times New Roman"/>
          <w:b/>
          <w:bCs/>
          <w:u w:val="single"/>
          <w:lang w:eastAsia="fr-FR"/>
        </w:rPr>
      </w:pPr>
      <w:r w:rsidRPr="00E11FCC">
        <w:rPr>
          <w:rFonts w:ascii="Times New Roman" w:eastAsia="Times New Roman" w:hAnsi="Times New Roman" w:cs="Times New Roman"/>
          <w:b/>
          <w:bCs/>
          <w:u w:val="single"/>
          <w:lang w:eastAsia="fr-FR"/>
        </w:rPr>
        <w:t>https://www.insee.fr/fr/statistiques/4253025?sommaire=4253159</w:t>
      </w:r>
    </w:p>
    <w:p w14:paraId="2E082ABD" w14:textId="77777777" w:rsidR="003B2358" w:rsidRPr="00177321" w:rsidRDefault="003B2358">
      <w:pPr>
        <w:rPr>
          <w:rFonts w:ascii="Times New Roman" w:hAnsi="Times New Roman" w:cs="Times New Roman"/>
        </w:rPr>
      </w:pPr>
    </w:p>
    <w:sectPr w:rsidR="003B2358" w:rsidRPr="00177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f1">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7D6"/>
    <w:multiLevelType w:val="hybridMultilevel"/>
    <w:tmpl w:val="88E8C154"/>
    <w:lvl w:ilvl="0" w:tplc="7A020F40">
      <w:start w:val="1"/>
      <w:numFmt w:val="decimal"/>
      <w:lvlText w:val="%1-"/>
      <w:lvlJc w:val="left"/>
      <w:pPr>
        <w:ind w:left="720" w:hanging="360"/>
      </w:pPr>
      <w:rPr>
        <w:rFonts w:ascii="ff1" w:hAnsi="ff1"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7750E"/>
    <w:multiLevelType w:val="hybridMultilevel"/>
    <w:tmpl w:val="B27CE3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5755CA"/>
    <w:multiLevelType w:val="hybridMultilevel"/>
    <w:tmpl w:val="294A6B50"/>
    <w:lvl w:ilvl="0" w:tplc="9B36EE2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51658606">
    <w:abstractNumId w:val="0"/>
  </w:num>
  <w:num w:numId="2" w16cid:durableId="1748070983">
    <w:abstractNumId w:val="2"/>
  </w:num>
  <w:num w:numId="3" w16cid:durableId="38472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2"/>
    <w:rsid w:val="00010FE9"/>
    <w:rsid w:val="00017C94"/>
    <w:rsid w:val="000440DC"/>
    <w:rsid w:val="00082910"/>
    <w:rsid w:val="000A16AE"/>
    <w:rsid w:val="000A5BAF"/>
    <w:rsid w:val="000E6BE3"/>
    <w:rsid w:val="00121A61"/>
    <w:rsid w:val="00136C79"/>
    <w:rsid w:val="00142345"/>
    <w:rsid w:val="00154BC9"/>
    <w:rsid w:val="00155EF0"/>
    <w:rsid w:val="00172C06"/>
    <w:rsid w:val="00177321"/>
    <w:rsid w:val="00196CB1"/>
    <w:rsid w:val="001B1265"/>
    <w:rsid w:val="001D108A"/>
    <w:rsid w:val="001E7FAB"/>
    <w:rsid w:val="001F755F"/>
    <w:rsid w:val="0020179D"/>
    <w:rsid w:val="00203FC0"/>
    <w:rsid w:val="002479DE"/>
    <w:rsid w:val="00253687"/>
    <w:rsid w:val="002626B3"/>
    <w:rsid w:val="0026491E"/>
    <w:rsid w:val="002721D1"/>
    <w:rsid w:val="00274A9C"/>
    <w:rsid w:val="00274DE3"/>
    <w:rsid w:val="0027776F"/>
    <w:rsid w:val="00287961"/>
    <w:rsid w:val="00293A20"/>
    <w:rsid w:val="00294BB8"/>
    <w:rsid w:val="002C5228"/>
    <w:rsid w:val="002D630A"/>
    <w:rsid w:val="002E2386"/>
    <w:rsid w:val="002F0F7D"/>
    <w:rsid w:val="00303AA9"/>
    <w:rsid w:val="00307B63"/>
    <w:rsid w:val="00310CD9"/>
    <w:rsid w:val="003179CA"/>
    <w:rsid w:val="00334B88"/>
    <w:rsid w:val="00346DBC"/>
    <w:rsid w:val="003566C6"/>
    <w:rsid w:val="00357E57"/>
    <w:rsid w:val="003713A6"/>
    <w:rsid w:val="003816CF"/>
    <w:rsid w:val="00383319"/>
    <w:rsid w:val="003A0CA3"/>
    <w:rsid w:val="003B2358"/>
    <w:rsid w:val="003D2B16"/>
    <w:rsid w:val="003E44C6"/>
    <w:rsid w:val="003E7DF9"/>
    <w:rsid w:val="0040526D"/>
    <w:rsid w:val="00407193"/>
    <w:rsid w:val="004205BE"/>
    <w:rsid w:val="00420DBF"/>
    <w:rsid w:val="004220CD"/>
    <w:rsid w:val="004220EF"/>
    <w:rsid w:val="00433105"/>
    <w:rsid w:val="00437342"/>
    <w:rsid w:val="0044288B"/>
    <w:rsid w:val="00473700"/>
    <w:rsid w:val="00476BD3"/>
    <w:rsid w:val="004835C8"/>
    <w:rsid w:val="00494638"/>
    <w:rsid w:val="00496D68"/>
    <w:rsid w:val="004B5C86"/>
    <w:rsid w:val="004D5891"/>
    <w:rsid w:val="004F7749"/>
    <w:rsid w:val="00502C87"/>
    <w:rsid w:val="005671A9"/>
    <w:rsid w:val="005A32A3"/>
    <w:rsid w:val="005A6D97"/>
    <w:rsid w:val="005B27CD"/>
    <w:rsid w:val="005B69F0"/>
    <w:rsid w:val="005C3333"/>
    <w:rsid w:val="005C71B0"/>
    <w:rsid w:val="006124E3"/>
    <w:rsid w:val="006135A3"/>
    <w:rsid w:val="006212EE"/>
    <w:rsid w:val="00626C5D"/>
    <w:rsid w:val="00627FB8"/>
    <w:rsid w:val="006323FF"/>
    <w:rsid w:val="00636072"/>
    <w:rsid w:val="00640694"/>
    <w:rsid w:val="00641FC0"/>
    <w:rsid w:val="00645590"/>
    <w:rsid w:val="00650EAF"/>
    <w:rsid w:val="00656A28"/>
    <w:rsid w:val="00660B44"/>
    <w:rsid w:val="00661212"/>
    <w:rsid w:val="00680841"/>
    <w:rsid w:val="00697CA4"/>
    <w:rsid w:val="006A6086"/>
    <w:rsid w:val="006B7DA9"/>
    <w:rsid w:val="006C23A4"/>
    <w:rsid w:val="006D2A65"/>
    <w:rsid w:val="00713DEF"/>
    <w:rsid w:val="00723240"/>
    <w:rsid w:val="00761801"/>
    <w:rsid w:val="007A41D0"/>
    <w:rsid w:val="007A6065"/>
    <w:rsid w:val="007B6628"/>
    <w:rsid w:val="007D2C78"/>
    <w:rsid w:val="007D44E9"/>
    <w:rsid w:val="007E6A57"/>
    <w:rsid w:val="00803B2A"/>
    <w:rsid w:val="008216F5"/>
    <w:rsid w:val="008605D5"/>
    <w:rsid w:val="00867491"/>
    <w:rsid w:val="00871AAF"/>
    <w:rsid w:val="008924AD"/>
    <w:rsid w:val="00897C52"/>
    <w:rsid w:val="008A37DD"/>
    <w:rsid w:val="008C130D"/>
    <w:rsid w:val="008C21D3"/>
    <w:rsid w:val="008C7D6A"/>
    <w:rsid w:val="008D4585"/>
    <w:rsid w:val="008E36C7"/>
    <w:rsid w:val="008E5C6C"/>
    <w:rsid w:val="008F08EB"/>
    <w:rsid w:val="00903AD0"/>
    <w:rsid w:val="00904711"/>
    <w:rsid w:val="00912DC9"/>
    <w:rsid w:val="0091643A"/>
    <w:rsid w:val="00946DE2"/>
    <w:rsid w:val="00967743"/>
    <w:rsid w:val="0098353B"/>
    <w:rsid w:val="00987CE5"/>
    <w:rsid w:val="009A1B2F"/>
    <w:rsid w:val="009B1806"/>
    <w:rsid w:val="009B649D"/>
    <w:rsid w:val="009D23A8"/>
    <w:rsid w:val="009E11A2"/>
    <w:rsid w:val="009E3FC3"/>
    <w:rsid w:val="009F18F6"/>
    <w:rsid w:val="009F225F"/>
    <w:rsid w:val="009F3931"/>
    <w:rsid w:val="009F4B42"/>
    <w:rsid w:val="00A26D6C"/>
    <w:rsid w:val="00A3115E"/>
    <w:rsid w:val="00A62D0B"/>
    <w:rsid w:val="00A67B75"/>
    <w:rsid w:val="00A96883"/>
    <w:rsid w:val="00AA6F12"/>
    <w:rsid w:val="00AB762F"/>
    <w:rsid w:val="00AC4CDB"/>
    <w:rsid w:val="00AD2B59"/>
    <w:rsid w:val="00AF157B"/>
    <w:rsid w:val="00AF322A"/>
    <w:rsid w:val="00AF5941"/>
    <w:rsid w:val="00B0477F"/>
    <w:rsid w:val="00B46EFB"/>
    <w:rsid w:val="00B54896"/>
    <w:rsid w:val="00B64FDC"/>
    <w:rsid w:val="00B66477"/>
    <w:rsid w:val="00B85515"/>
    <w:rsid w:val="00B935E9"/>
    <w:rsid w:val="00BC3CB1"/>
    <w:rsid w:val="00BD54D9"/>
    <w:rsid w:val="00BF438E"/>
    <w:rsid w:val="00C125AC"/>
    <w:rsid w:val="00C163CC"/>
    <w:rsid w:val="00C166EC"/>
    <w:rsid w:val="00C204F9"/>
    <w:rsid w:val="00C2514B"/>
    <w:rsid w:val="00C255E9"/>
    <w:rsid w:val="00C306C4"/>
    <w:rsid w:val="00C37559"/>
    <w:rsid w:val="00C55C04"/>
    <w:rsid w:val="00C56115"/>
    <w:rsid w:val="00C60FF6"/>
    <w:rsid w:val="00C70A64"/>
    <w:rsid w:val="00C86F48"/>
    <w:rsid w:val="00C92C22"/>
    <w:rsid w:val="00C93DC0"/>
    <w:rsid w:val="00CA6B53"/>
    <w:rsid w:val="00CB3623"/>
    <w:rsid w:val="00CB4D09"/>
    <w:rsid w:val="00CC28DE"/>
    <w:rsid w:val="00CC3258"/>
    <w:rsid w:val="00D02D80"/>
    <w:rsid w:val="00D071B7"/>
    <w:rsid w:val="00D155F2"/>
    <w:rsid w:val="00D32792"/>
    <w:rsid w:val="00D64AEC"/>
    <w:rsid w:val="00D66489"/>
    <w:rsid w:val="00D71986"/>
    <w:rsid w:val="00D74C3F"/>
    <w:rsid w:val="00D868AB"/>
    <w:rsid w:val="00DA0745"/>
    <w:rsid w:val="00DB60B2"/>
    <w:rsid w:val="00DC1A6F"/>
    <w:rsid w:val="00DC36EC"/>
    <w:rsid w:val="00DD522A"/>
    <w:rsid w:val="00DE1892"/>
    <w:rsid w:val="00DF21D6"/>
    <w:rsid w:val="00E11FCC"/>
    <w:rsid w:val="00E263FB"/>
    <w:rsid w:val="00E347CD"/>
    <w:rsid w:val="00E51290"/>
    <w:rsid w:val="00E53903"/>
    <w:rsid w:val="00E62842"/>
    <w:rsid w:val="00E66FF6"/>
    <w:rsid w:val="00E6789F"/>
    <w:rsid w:val="00E9252C"/>
    <w:rsid w:val="00E93D05"/>
    <w:rsid w:val="00EA13A3"/>
    <w:rsid w:val="00EB0C62"/>
    <w:rsid w:val="00ED5CFE"/>
    <w:rsid w:val="00EE0674"/>
    <w:rsid w:val="00EE5577"/>
    <w:rsid w:val="00F10EF3"/>
    <w:rsid w:val="00F123B5"/>
    <w:rsid w:val="00F17B4E"/>
    <w:rsid w:val="00F24FE2"/>
    <w:rsid w:val="00F45A1B"/>
    <w:rsid w:val="00F45EE5"/>
    <w:rsid w:val="00F50F0C"/>
    <w:rsid w:val="00F65E66"/>
    <w:rsid w:val="00F72581"/>
    <w:rsid w:val="00F777E0"/>
    <w:rsid w:val="00FB44A6"/>
    <w:rsid w:val="00FC1968"/>
    <w:rsid w:val="00FC64F5"/>
    <w:rsid w:val="00FD0CEA"/>
    <w:rsid w:val="00FD6C83"/>
    <w:rsid w:val="00FD7428"/>
    <w:rsid w:val="00FE132E"/>
    <w:rsid w:val="00FE2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DFA2"/>
  <w15:chartTrackingRefBased/>
  <w15:docId w15:val="{330B5D6D-CA99-4664-89C1-6DAC8A03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0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0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0C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0C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0C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0C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0C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0C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0C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0C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0C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0C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0C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0C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0C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0C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0C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0C62"/>
    <w:rPr>
      <w:rFonts w:eastAsiaTheme="majorEastAsia" w:cstheme="majorBidi"/>
      <w:color w:val="272727" w:themeColor="text1" w:themeTint="D8"/>
    </w:rPr>
  </w:style>
  <w:style w:type="paragraph" w:styleId="Titre">
    <w:name w:val="Title"/>
    <w:basedOn w:val="Normal"/>
    <w:next w:val="Normal"/>
    <w:link w:val="TitreCar"/>
    <w:uiPriority w:val="10"/>
    <w:qFormat/>
    <w:rsid w:val="00EB0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0C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0C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0C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0C62"/>
    <w:pPr>
      <w:spacing w:before="160"/>
      <w:jc w:val="center"/>
    </w:pPr>
    <w:rPr>
      <w:i/>
      <w:iCs/>
      <w:color w:val="404040" w:themeColor="text1" w:themeTint="BF"/>
    </w:rPr>
  </w:style>
  <w:style w:type="character" w:customStyle="1" w:styleId="CitationCar">
    <w:name w:val="Citation Car"/>
    <w:basedOn w:val="Policepardfaut"/>
    <w:link w:val="Citation"/>
    <w:uiPriority w:val="29"/>
    <w:rsid w:val="00EB0C62"/>
    <w:rPr>
      <w:i/>
      <w:iCs/>
      <w:color w:val="404040" w:themeColor="text1" w:themeTint="BF"/>
    </w:rPr>
  </w:style>
  <w:style w:type="paragraph" w:styleId="Paragraphedeliste">
    <w:name w:val="List Paragraph"/>
    <w:basedOn w:val="Normal"/>
    <w:uiPriority w:val="34"/>
    <w:qFormat/>
    <w:rsid w:val="00EB0C62"/>
    <w:pPr>
      <w:ind w:left="720"/>
      <w:contextualSpacing/>
    </w:pPr>
  </w:style>
  <w:style w:type="character" w:styleId="Accentuationintense">
    <w:name w:val="Intense Emphasis"/>
    <w:basedOn w:val="Policepardfaut"/>
    <w:uiPriority w:val="21"/>
    <w:qFormat/>
    <w:rsid w:val="00EB0C62"/>
    <w:rPr>
      <w:i/>
      <w:iCs/>
      <w:color w:val="0F4761" w:themeColor="accent1" w:themeShade="BF"/>
    </w:rPr>
  </w:style>
  <w:style w:type="paragraph" w:styleId="Citationintense">
    <w:name w:val="Intense Quote"/>
    <w:basedOn w:val="Normal"/>
    <w:next w:val="Normal"/>
    <w:link w:val="CitationintenseCar"/>
    <w:uiPriority w:val="30"/>
    <w:qFormat/>
    <w:rsid w:val="00EB0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0C62"/>
    <w:rPr>
      <w:i/>
      <w:iCs/>
      <w:color w:val="0F4761" w:themeColor="accent1" w:themeShade="BF"/>
    </w:rPr>
  </w:style>
  <w:style w:type="character" w:styleId="Rfrenceintense">
    <w:name w:val="Intense Reference"/>
    <w:basedOn w:val="Policepardfaut"/>
    <w:uiPriority w:val="32"/>
    <w:qFormat/>
    <w:rsid w:val="00EB0C62"/>
    <w:rPr>
      <w:b/>
      <w:bCs/>
      <w:smallCaps/>
      <w:color w:val="0F4761" w:themeColor="accent1" w:themeShade="BF"/>
      <w:spacing w:val="5"/>
    </w:rPr>
  </w:style>
  <w:style w:type="table" w:styleId="Grilledutableau">
    <w:name w:val="Table Grid"/>
    <w:basedOn w:val="TableauNormal"/>
    <w:uiPriority w:val="39"/>
    <w:rsid w:val="0027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8A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A37D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8A37DD"/>
    <w:rPr>
      <w:rFonts w:ascii="Courier New" w:eastAsia="Times New Roman" w:hAnsi="Courier New" w:cs="Courier New"/>
      <w:sz w:val="20"/>
      <w:szCs w:val="20"/>
    </w:rPr>
  </w:style>
  <w:style w:type="table" w:customStyle="1" w:styleId="TableGrid">
    <w:name w:val="TableGrid"/>
    <w:rsid w:val="00723240"/>
    <w:pPr>
      <w:spacing w:after="0" w:line="240" w:lineRule="auto"/>
    </w:pPr>
    <w:rPr>
      <w:rFonts w:eastAsiaTheme="minorEastAsia"/>
      <w:sz w:val="22"/>
      <w:szCs w:val="22"/>
      <w:lang w:eastAsia="fr-FR"/>
    </w:r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EE0674"/>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E6789F"/>
    <w:pPr>
      <w:spacing w:after="100"/>
    </w:pPr>
  </w:style>
  <w:style w:type="paragraph" w:styleId="TM2">
    <w:name w:val="toc 2"/>
    <w:basedOn w:val="Normal"/>
    <w:next w:val="Normal"/>
    <w:autoRedefine/>
    <w:uiPriority w:val="39"/>
    <w:unhideWhenUsed/>
    <w:rsid w:val="00E6789F"/>
    <w:pPr>
      <w:spacing w:after="100"/>
      <w:ind w:left="240"/>
    </w:pPr>
  </w:style>
  <w:style w:type="character" w:styleId="Lienhypertexte">
    <w:name w:val="Hyperlink"/>
    <w:basedOn w:val="Policepardfaut"/>
    <w:uiPriority w:val="99"/>
    <w:unhideWhenUsed/>
    <w:rsid w:val="00E6789F"/>
    <w:rPr>
      <w:color w:val="467886" w:themeColor="hyperlink"/>
      <w:u w:val="single"/>
    </w:rPr>
  </w:style>
  <w:style w:type="character" w:styleId="Mentionnonrsolue">
    <w:name w:val="Unresolved Mention"/>
    <w:basedOn w:val="Policepardfaut"/>
    <w:uiPriority w:val="99"/>
    <w:semiHidden/>
    <w:unhideWhenUsed/>
    <w:rsid w:val="00E11FCC"/>
    <w:rPr>
      <w:color w:val="605E5C"/>
      <w:shd w:val="clear" w:color="auto" w:fill="E1DFDD"/>
    </w:rPr>
  </w:style>
  <w:style w:type="character" w:styleId="Textedelespacerserv">
    <w:name w:val="Placeholder Text"/>
    <w:basedOn w:val="Policepardfaut"/>
    <w:uiPriority w:val="99"/>
    <w:semiHidden/>
    <w:rsid w:val="000829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irn.info/revue-de-l-ofce-2006-1-page-11.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2AEF-21EB-4A89-BB80-0BA98BBA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16</Pages>
  <Words>2410</Words>
  <Characters>13259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Rault Maisonneuve</dc:creator>
  <cp:keywords/>
  <dc:description/>
  <cp:lastModifiedBy>Elliot RM</cp:lastModifiedBy>
  <cp:revision>237</cp:revision>
  <dcterms:created xsi:type="dcterms:W3CDTF">2024-02-21T08:50:00Z</dcterms:created>
  <dcterms:modified xsi:type="dcterms:W3CDTF">2024-04-22T20:07:00Z</dcterms:modified>
</cp:coreProperties>
</file>