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Cybersecurity</w:t>
      </w:r>
      <w:r>
        <w:t xml:space="preserve"> </w:t>
      </w:r>
      <w:r>
        <w:t xml:space="preserve">Analyst</w:t>
      </w:r>
    </w:p>
    <w:p>
      <w:pPr>
        <w:pStyle w:val="Author"/>
      </w:pPr>
      <w:r>
        <w:t xml:space="preserve">Omar</w:t>
      </w:r>
      <w:r>
        <w:t xml:space="preserve"> </w:t>
      </w:r>
      <w:r>
        <w:t xml:space="preserve">Elliottgreen</w:t>
      </w:r>
    </w:p>
    <w:p>
      <w:pPr>
        <w:pStyle w:val="Date"/>
      </w:pPr>
      <w:r>
        <w:t xml:space="preserve">2021-08-02</w:t>
      </w:r>
    </w:p>
    <w:bookmarkStart w:id="21" w:name="Xf9fe0af57dd0c725757287314910fd71caa4b4c"/>
    <w:p>
      <w:pPr>
        <w:pStyle w:val="Heading1"/>
      </w:pPr>
      <w:r>
        <w:t xml:space="preserve">Three Steps to Achieving an Enterprise Certification</w:t>
      </w:r>
    </w:p>
    <w:p>
      <w:pPr>
        <w:pStyle w:val="FirstParagraph"/>
      </w:pPr>
      <w:r>
        <w:t xml:space="preserve">Certification/Authorization is one of the primary ways that an entity can</w:t>
      </w:r>
      <w:r>
        <w:t xml:space="preserve"> </w:t>
      </w:r>
      <w:r>
        <w:t xml:space="preserve">demonstrate mastery of a subject. It allows two parties to objectively ensure</w:t>
      </w:r>
      <w:r>
        <w:t xml:space="preserve"> </w:t>
      </w:r>
      <w:r>
        <w:t xml:space="preserve">that an agreed upon minimum standard has been met. Certification also allows a standardized method for testing of said mastery.</w:t>
      </w:r>
      <w:r>
        <w:t xml:space="preserve"> </w:t>
      </w:r>
      <w:r>
        <w:t xml:space="preserve">A certification can also foster a continued relationship between entities.</w:t>
      </w:r>
      <w:r>
        <w:t xml:space="preserve"> </w:t>
      </w:r>
      <w:r>
        <w:t xml:space="preserve">Given that most certifications are an inherently public endeavour, the</w:t>
      </w:r>
      <w:r>
        <w:t xml:space="preserve"> </w:t>
      </w:r>
      <w:r>
        <w:t xml:space="preserve">success of the relationship can raise the perceived value of both parties.</w:t>
      </w:r>
    </w:p>
    <w:bookmarkStart w:id="20" w:name="step-outline"/>
    <w:p>
      <w:pPr>
        <w:pStyle w:val="Heading2"/>
      </w:pPr>
      <w:r>
        <w:t xml:space="preserve">Step Outline</w:t>
      </w:r>
    </w:p>
    <w:p>
      <w:pPr>
        <w:pStyle w:val="FirstParagraph"/>
      </w:pPr>
      <w:r>
        <w:rPr>
          <w:bCs/>
          <w:b/>
        </w:rPr>
        <w:t xml:space="preserve">The three steps to ensure that an entity is ready to attempt a</w:t>
      </w:r>
      <w:r>
        <w:rPr>
          <w:bCs/>
          <w:b/>
        </w:rPr>
        <w:t xml:space="preserve"> </w:t>
      </w:r>
      <w:r>
        <w:rPr>
          <w:bCs/>
          <w:b/>
        </w:rPr>
        <w:t xml:space="preserve">certification:</w:t>
      </w:r>
    </w:p>
    <w:p>
      <w:pPr>
        <w:numPr>
          <w:ilvl w:val="0"/>
          <w:numId w:val="1001"/>
        </w:numPr>
        <w:pStyle w:val="Compact"/>
      </w:pPr>
      <w:r>
        <w:t xml:space="preserve">Identify and Understand the Objective</w:t>
      </w:r>
    </w:p>
    <w:p>
      <w:pPr>
        <w:numPr>
          <w:ilvl w:val="0"/>
          <w:numId w:val="1001"/>
        </w:numPr>
        <w:pStyle w:val="Compact"/>
      </w:pPr>
      <w:r>
        <w:t xml:space="preserve">Inventory and Map</w:t>
      </w:r>
    </w:p>
    <w:p>
      <w:pPr>
        <w:numPr>
          <w:ilvl w:val="0"/>
          <w:numId w:val="1001"/>
        </w:numPr>
        <w:pStyle w:val="Compact"/>
      </w:pPr>
      <w:r>
        <w:t xml:space="preserve">Document and Verify</w:t>
      </w:r>
    </w:p>
    <w:bookmarkEnd w:id="20"/>
    <w:bookmarkEnd w:id="21"/>
    <w:bookmarkStart w:id="25" w:name="understand-the-objective"/>
    <w:p>
      <w:pPr>
        <w:pStyle w:val="Heading1"/>
      </w:pPr>
      <w:r>
        <w:t xml:space="preserve">Understand the Objective</w:t>
      </w:r>
    </w:p>
    <w:p>
      <w:pPr>
        <w:pStyle w:val="FirstParagraph"/>
      </w:pPr>
      <w:r>
        <w:t xml:space="preserve">The first step in an effort to achieve any certification is to identify and</w:t>
      </w:r>
      <w:r>
        <w:t xml:space="preserve"> </w:t>
      </w:r>
      <w:r>
        <w:t xml:space="preserve">understand the standards set forth by the certifying body. That is to say, the</w:t>
      </w:r>
      <w:r>
        <w:t xml:space="preserve"> </w:t>
      </w:r>
      <w:r>
        <w:t xml:space="preserve">certification itself is a result of achieving the standards. That achievement is</w:t>
      </w:r>
      <w:r>
        <w:t xml:space="preserve"> </w:t>
      </w:r>
      <w:r>
        <w:t xml:space="preserve">verified by a neutral third party with testing and review. Thus, in order to be</w:t>
      </w:r>
      <w:r>
        <w:t xml:space="preserve"> </w:t>
      </w:r>
      <w:r>
        <w:t xml:space="preserve">successful, it is paramount to understand what is required and how it will be</w:t>
      </w:r>
      <w:r>
        <w:t xml:space="preserve"> </w:t>
      </w:r>
      <w:r>
        <w:t xml:space="preserve">verified.</w:t>
      </w:r>
    </w:p>
    <w:p>
      <w:pPr>
        <w:pStyle w:val="BodyText"/>
      </w:pPr>
      <w:r>
        <w:t xml:space="preserve">To illustrate the implementation of this approach, we can look at the Federal Risk and Authorization Management Program (FedRAMP).</w:t>
      </w:r>
    </w:p>
    <w:p>
      <w:pPr>
        <w:pStyle w:val="BodyText"/>
      </w:pPr>
      <w:hyperlink r:id="rId22">
        <w:r>
          <w:rPr>
            <w:rStyle w:val="Hyperlink"/>
          </w:rPr>
          <w:t xml:space="preserve">FedRAMP</w:t>
        </w:r>
      </w:hyperlink>
      <w:r>
        <w:t xml:space="preserve"> </w:t>
      </w:r>
      <w:r>
        <w:t xml:space="preserve">is the Federal approach to SaaS evaluation and</w:t>
      </w:r>
      <w:r>
        <w:t xml:space="preserve"> </w:t>
      </w:r>
      <w:r>
        <w:t xml:space="preserve">authorization. In this case, identifying and understanding the standards is</w:t>
      </w:r>
      <w:r>
        <w:t xml:space="preserve"> </w:t>
      </w:r>
      <w:r>
        <w:t xml:space="preserve">easily achieved by examination of the document used for final evaluation. There</w:t>
      </w:r>
      <w:r>
        <w:t xml:space="preserve"> </w:t>
      </w:r>
      <w:r>
        <w:t xml:space="preserve">is little room for interpretation or deviation, thus providing a clear standard</w:t>
      </w:r>
      <w:r>
        <w:t xml:space="preserve"> </w:t>
      </w:r>
      <w:r>
        <w:t xml:space="preserve">which must be reached, attested to, and evaluated in order to achieve</w:t>
      </w:r>
      <w:r>
        <w:t xml:space="preserve"> </w:t>
      </w:r>
      <w:r>
        <w:t xml:space="preserve">certification.</w:t>
      </w:r>
    </w:p>
    <w:p>
      <w:pPr>
        <w:pStyle w:val="BodyText"/>
      </w:pPr>
      <w:r>
        <w:t xml:space="preserve">The standards that are attested to, then evaluated for FedRAMP certification, are those set forth by the</w:t>
      </w:r>
      <w:r>
        <w:t xml:space="preserve"> </w:t>
      </w:r>
      <w:r>
        <w:t xml:space="preserve">National Institute of Standards and Technology</w:t>
      </w:r>
      <w:r>
        <w:t xml:space="preserve"> </w:t>
      </w:r>
      <w:hyperlink r:id="rId23">
        <w:r>
          <w:rPr>
            <w:rStyle w:val="Hyperlink"/>
          </w:rPr>
          <w:t xml:space="preserve">NIST</w:t>
        </w:r>
      </w:hyperlink>
      <w:r>
        <w:t xml:space="preserve">.</w:t>
      </w:r>
      <w:r>
        <w:t xml:space="preserve"> </w:t>
      </w:r>
      <w:r>
        <w:t xml:space="preserve">By using the publicly available and clearly defined standards of NIST, the path</w:t>
      </w:r>
      <w:r>
        <w:t xml:space="preserve"> </w:t>
      </w:r>
      <w:r>
        <w:t xml:space="preserve">to achieving FedRAMP is clear.</w:t>
      </w:r>
    </w:p>
    <w:p>
      <w:pPr>
        <w:pStyle w:val="BodyText"/>
      </w:pPr>
      <w:r>
        <w:t xml:space="preserve">While there are myriad NIST standards that must be adhered to and evaluated,</w:t>
      </w:r>
      <w:r>
        <w:t xml:space="preserve"> </w:t>
      </w:r>
      <w:r>
        <w:t xml:space="preserve">the central defining standard for a SaaS IS is the Special Publication</w:t>
      </w:r>
      <w:r>
        <w:t xml:space="preserve"> </w:t>
      </w:r>
      <w:hyperlink r:id="rId24">
        <w:r>
          <w:rPr>
            <w:rStyle w:val="Hyperlink"/>
          </w:rPr>
          <w:t xml:space="preserve">800-53</w:t>
        </w:r>
      </w:hyperlink>
      <w:r>
        <w:t xml:space="preserve"> </w:t>
      </w:r>
      <w:r>
        <w:t xml:space="preserve">Working from that definitive document, anyone attempting to achieve FedRAMP</w:t>
      </w:r>
      <w:r>
        <w:t xml:space="preserve"> </w:t>
      </w:r>
      <w:r>
        <w:t xml:space="preserve">certification can identify exactly what is required regarding their IS.</w:t>
      </w:r>
    </w:p>
    <w:bookmarkEnd w:id="25"/>
    <w:bookmarkStart w:id="26" w:name="atomic-mapping"/>
    <w:p>
      <w:pPr>
        <w:pStyle w:val="Heading1"/>
      </w:pPr>
      <w:r>
        <w:t xml:space="preserve">Atomic Mapping</w:t>
      </w:r>
    </w:p>
    <w:p>
      <w:pPr>
        <w:pStyle w:val="FirstParagraph"/>
      </w:pPr>
      <w:r>
        <w:t xml:space="preserve">Once the requisite standards set by the certifying body are understood, the</w:t>
      </w:r>
      <w:r>
        <w:t xml:space="preserve"> </w:t>
      </w:r>
      <w:r>
        <w:t xml:space="preserve">next step is to ensure maximum situational awareness of the entity seeking</w:t>
      </w:r>
      <w:r>
        <w:t xml:space="preserve"> </w:t>
      </w:r>
      <w:r>
        <w:t xml:space="preserve">certification.</w:t>
      </w:r>
    </w:p>
    <w:p>
      <w:pPr>
        <w:pStyle w:val="BodyText"/>
      </w:pPr>
      <w:r>
        <w:t xml:space="preserve">In the case of FedRAMP, the provider of a SaaS Information System (IS) must be</w:t>
      </w:r>
      <w:r>
        <w:t xml:space="preserve"> </w:t>
      </w:r>
      <w:r>
        <w:t xml:space="preserve">fully aware and able to describe</w:t>
      </w:r>
      <w:r>
        <w:t xml:space="preserve"> </w:t>
      </w:r>
      <w:r>
        <w:rPr>
          <w:bCs/>
          <w:b/>
        </w:rPr>
        <w:t xml:space="preserve">every</w:t>
      </w:r>
      <w:r>
        <w:t xml:space="preserve"> </w:t>
      </w:r>
      <w:r>
        <w:t xml:space="preserve">attribute of that IS. Some such</w:t>
      </w:r>
      <w:r>
        <w:t xml:space="preserve"> </w:t>
      </w:r>
      <w:r>
        <w:t xml:space="preserve">attributes which must be attested to in documentation are:</w:t>
      </w:r>
    </w:p>
    <w:p>
      <w:pPr>
        <w:numPr>
          <w:ilvl w:val="0"/>
          <w:numId w:val="1002"/>
        </w:numPr>
        <w:pStyle w:val="Compact"/>
      </w:pPr>
      <w:r>
        <w:t xml:space="preserve">Security Technologies in use</w:t>
      </w:r>
    </w:p>
    <w:p>
      <w:pPr>
        <w:numPr>
          <w:ilvl w:val="1"/>
          <w:numId w:val="1003"/>
        </w:numPr>
        <w:pStyle w:val="Compact"/>
      </w:pPr>
      <w:r>
        <w:t xml:space="preserve">Transport Layer Security</w:t>
      </w:r>
    </w:p>
    <w:p>
      <w:pPr>
        <w:numPr>
          <w:ilvl w:val="1"/>
          <w:numId w:val="1003"/>
        </w:numPr>
        <w:pStyle w:val="Compact"/>
      </w:pPr>
      <w:r>
        <w:t xml:space="preserve">Secure Sockets Layer</w:t>
      </w:r>
    </w:p>
    <w:p>
      <w:pPr>
        <w:numPr>
          <w:ilvl w:val="0"/>
          <w:numId w:val="1002"/>
        </w:numPr>
        <w:pStyle w:val="Compact"/>
      </w:pPr>
      <w:r>
        <w:t xml:space="preserve">Encryption Methods</w:t>
      </w:r>
    </w:p>
    <w:p>
      <w:pPr>
        <w:numPr>
          <w:ilvl w:val="1"/>
          <w:numId w:val="1004"/>
        </w:numPr>
        <w:pStyle w:val="Compact"/>
      </w:pPr>
      <w:r>
        <w:t xml:space="preserve">Full Disk Encryption</w:t>
      </w:r>
    </w:p>
    <w:p>
      <w:pPr>
        <w:numPr>
          <w:ilvl w:val="1"/>
          <w:numId w:val="1004"/>
        </w:numPr>
        <w:pStyle w:val="Compact"/>
      </w:pPr>
      <w:r>
        <w:t xml:space="preserve">Tunneling Protocols</w:t>
      </w:r>
    </w:p>
    <w:p>
      <w:pPr>
        <w:numPr>
          <w:ilvl w:val="1"/>
          <w:numId w:val="1004"/>
        </w:numPr>
        <w:pStyle w:val="Compact"/>
      </w:pPr>
      <w:r>
        <w:t xml:space="preserve">Virtual Private Networks</w:t>
      </w:r>
    </w:p>
    <w:p>
      <w:pPr>
        <w:numPr>
          <w:ilvl w:val="0"/>
          <w:numId w:val="1002"/>
        </w:numPr>
        <w:pStyle w:val="Compact"/>
      </w:pPr>
      <w:r>
        <w:t xml:space="preserve">System Interconnections</w:t>
      </w:r>
    </w:p>
    <w:p>
      <w:pPr>
        <w:numPr>
          <w:ilvl w:val="1"/>
          <w:numId w:val="1005"/>
        </w:numPr>
        <w:pStyle w:val="Compact"/>
      </w:pPr>
      <w:r>
        <w:t xml:space="preserve">Platform as a Service (PaaS)</w:t>
      </w:r>
    </w:p>
    <w:p>
      <w:pPr>
        <w:numPr>
          <w:ilvl w:val="1"/>
          <w:numId w:val="1005"/>
        </w:numPr>
        <w:pStyle w:val="Compact"/>
      </w:pPr>
      <w:r>
        <w:t xml:space="preserve">Security information and event management (SIEM)</w:t>
      </w:r>
    </w:p>
    <w:p>
      <w:pPr>
        <w:pStyle w:val="FirstParagraph"/>
      </w:pPr>
      <w:r>
        <w:t xml:space="preserve">While this is not an exhaustive list, the depth and breadth of the knowledge</w:t>
      </w:r>
      <w:r>
        <w:t xml:space="preserve"> </w:t>
      </w:r>
      <w:r>
        <w:t xml:space="preserve">required to attest to those few lines is extensive.</w:t>
      </w:r>
    </w:p>
    <w:bookmarkEnd w:id="26"/>
    <w:bookmarkStart w:id="29" w:name="document-and-verify"/>
    <w:p>
      <w:pPr>
        <w:pStyle w:val="Heading1"/>
      </w:pPr>
      <w:r>
        <w:t xml:space="preserve">Document and Verify</w:t>
      </w:r>
    </w:p>
    <w:p>
      <w:pPr>
        <w:pStyle w:val="FirstParagraph"/>
      </w:pPr>
      <w:r>
        <w:t xml:space="preserve">Once the requirements of the certification are identified, and the IS is mapped,</w:t>
      </w:r>
      <w:r>
        <w:t xml:space="preserve"> </w:t>
      </w:r>
      <w:r>
        <w:t xml:space="preserve">then, the next and most important step is to document the status of the IS.</w:t>
      </w:r>
    </w:p>
    <w:bookmarkStart w:id="27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r>
        <w:t xml:space="preserve">The most prominant form of attestation regarding the technologies used and their</w:t>
      </w:r>
      <w:r>
        <w:t xml:space="preserve"> </w:t>
      </w:r>
      <w:r>
        <w:t xml:space="preserve">implementation is a definitive document. Typically called the System Security</w:t>
      </w:r>
      <w:r>
        <w:t xml:space="preserve"> </w:t>
      </w:r>
      <w:r>
        <w:t xml:space="preserve">Play (SSP), the documentation of an IS must detail every aspect within the scope</w:t>
      </w:r>
      <w:r>
        <w:t xml:space="preserve"> </w:t>
      </w:r>
      <w:r>
        <w:t xml:space="preserve">of the certification. One concept used to limit the scope of documentation when attempting</w:t>
      </w:r>
      <w:r>
        <w:t xml:space="preserve"> </w:t>
      </w:r>
      <w:r>
        <w:t xml:space="preserve">the FedRAMP certification is the Authorization Boundary.</w:t>
      </w:r>
    </w:p>
    <w:p>
      <w:pPr>
        <w:pStyle w:val="BodyText"/>
      </w:pPr>
      <w:r>
        <w:t xml:space="preserve">By articulating an Authorization Boundary, the scope of the required documentation becomes</w:t>
      </w:r>
      <w:r>
        <w:t xml:space="preserve"> </w:t>
      </w:r>
      <w:r>
        <w:t xml:space="preserve">finite and specific. This is particularly important when documenting a SaaS that</w:t>
      </w:r>
      <w:r>
        <w:t xml:space="preserve"> </w:t>
      </w:r>
      <w:r>
        <w:t xml:space="preserve">utilizes either an enterprise or commercial Platform as a Service (PaaS). PaaS</w:t>
      </w:r>
      <w:r>
        <w:t xml:space="preserve"> </w:t>
      </w:r>
      <w:r>
        <w:t xml:space="preserve">providers such as Amazon Web Services (AWS) or Microsoft Azure are common but by</w:t>
      </w:r>
      <w:r>
        <w:t xml:space="preserve"> </w:t>
      </w:r>
      <w:r>
        <w:t xml:space="preserve">no means make up the entire field of PaaS offerings. However, they offer</w:t>
      </w:r>
      <w:r>
        <w:t xml:space="preserve"> </w:t>
      </w:r>
      <w:r>
        <w:t xml:space="preserve">tremendously helpful, readily available documentation regarding what NIST 800-53</w:t>
      </w:r>
      <w:r>
        <w:t xml:space="preserve"> </w:t>
      </w:r>
      <w:r>
        <w:t xml:space="preserve">based security products, policies, and procedures they provide for their</w:t>
      </w:r>
      <w:r>
        <w:t xml:space="preserve"> </w:t>
      </w:r>
      <w:r>
        <w:t xml:space="preserve">customers.</w:t>
      </w:r>
    </w:p>
    <w:p>
      <w:pPr>
        <w:pStyle w:val="BodyText"/>
      </w:pPr>
      <w:r>
        <w:t xml:space="preserve">Once the boundary is identified, all IS attributes that exist inside that</w:t>
      </w:r>
      <w:r>
        <w:t xml:space="preserve"> </w:t>
      </w:r>
      <w:r>
        <w:t xml:space="preserve">boundary must be documented. For example, the FedRAMP SSP is broken down into 13</w:t>
      </w:r>
      <w:r>
        <w:t xml:space="preserve"> </w:t>
      </w:r>
      <w:r>
        <w:t xml:space="preserve">documents that cover the majority of system attributes within a boundary.</w:t>
      </w:r>
    </w:p>
    <w:p>
      <w:pPr>
        <w:numPr>
          <w:ilvl w:val="0"/>
          <w:numId w:val="1006"/>
        </w:numPr>
        <w:pStyle w:val="Compact"/>
      </w:pPr>
      <w:r>
        <w:t xml:space="preserve">System Security Plan (SSP)</w:t>
      </w:r>
    </w:p>
    <w:p>
      <w:pPr>
        <w:numPr>
          <w:ilvl w:val="0"/>
          <w:numId w:val="1006"/>
        </w:numPr>
        <w:pStyle w:val="Compact"/>
      </w:pPr>
      <w:r>
        <w:t xml:space="preserve">SSP ATTACHMENT 2 - User Guide</w:t>
      </w:r>
    </w:p>
    <w:p>
      <w:pPr>
        <w:numPr>
          <w:ilvl w:val="0"/>
          <w:numId w:val="1006"/>
        </w:numPr>
        <w:pStyle w:val="Compact"/>
      </w:pPr>
      <w:r>
        <w:t xml:space="preserve">SSP ATTACHMENT 3 - Digital Identity Worksheet</w:t>
      </w:r>
    </w:p>
    <w:p>
      <w:pPr>
        <w:numPr>
          <w:ilvl w:val="0"/>
          <w:numId w:val="1006"/>
        </w:numPr>
        <w:pStyle w:val="Compact"/>
      </w:pPr>
      <w:r>
        <w:t xml:space="preserve">SSP ATTACHMENT 4 - Privacy Threshold Analysis (PTA)</w:t>
      </w:r>
    </w:p>
    <w:p>
      <w:pPr>
        <w:numPr>
          <w:ilvl w:val="0"/>
          <w:numId w:val="1006"/>
        </w:numPr>
        <w:pStyle w:val="Compact"/>
      </w:pPr>
      <w:r>
        <w:t xml:space="preserve">SSP ATTACHMENT 4 - Privacy Impact Assessment (PIA)</w:t>
      </w:r>
    </w:p>
    <w:p>
      <w:pPr>
        <w:numPr>
          <w:ilvl w:val="0"/>
          <w:numId w:val="1006"/>
        </w:numPr>
        <w:pStyle w:val="Compact"/>
      </w:pPr>
      <w:r>
        <w:t xml:space="preserve">SSP ATTACHMENT 5 - Rules of Behavior (RoB)</w:t>
      </w:r>
    </w:p>
    <w:p>
      <w:pPr>
        <w:numPr>
          <w:ilvl w:val="0"/>
          <w:numId w:val="1006"/>
        </w:numPr>
        <w:pStyle w:val="Compact"/>
      </w:pPr>
      <w:r>
        <w:t xml:space="preserve">SSP ATTACHMENT 6 - Information System Contingency Plan (ISCP)</w:t>
      </w:r>
    </w:p>
    <w:p>
      <w:pPr>
        <w:numPr>
          <w:ilvl w:val="0"/>
          <w:numId w:val="1006"/>
        </w:numPr>
        <w:pStyle w:val="Compact"/>
      </w:pPr>
      <w:r>
        <w:t xml:space="preserve">SSP ATTACHMENT 7 - Configuration Management Plan (CMP)</w:t>
      </w:r>
    </w:p>
    <w:p>
      <w:pPr>
        <w:numPr>
          <w:ilvl w:val="0"/>
          <w:numId w:val="1006"/>
        </w:numPr>
        <w:pStyle w:val="Compact"/>
      </w:pPr>
      <w:r>
        <w:t xml:space="preserve">SSP ATTACHMENT 8 - Incident Response Plan (IRP)</w:t>
      </w:r>
    </w:p>
    <w:p>
      <w:pPr>
        <w:numPr>
          <w:ilvl w:val="0"/>
          <w:numId w:val="1006"/>
        </w:numPr>
        <w:pStyle w:val="Compact"/>
      </w:pPr>
      <w:r>
        <w:t xml:space="preserve">SSP ATTACHMENT 9 - Control Implementation Summary (CIS) Workbook</w:t>
      </w:r>
    </w:p>
    <w:p>
      <w:pPr>
        <w:numPr>
          <w:ilvl w:val="0"/>
          <w:numId w:val="1006"/>
        </w:numPr>
        <w:pStyle w:val="Compact"/>
      </w:pPr>
      <w:r>
        <w:t xml:space="preserve">SSP ATTACHMENT 10 - Federal Information Processing Standard (FIPS) 199</w:t>
      </w:r>
    </w:p>
    <w:p>
      <w:pPr>
        <w:numPr>
          <w:ilvl w:val="0"/>
          <w:numId w:val="1006"/>
        </w:numPr>
        <w:pStyle w:val="Compact"/>
      </w:pPr>
      <w:r>
        <w:t xml:space="preserve">SSP ATTACHMENT 11 - Separation of Duties Matrix</w:t>
      </w:r>
    </w:p>
    <w:p>
      <w:pPr>
        <w:numPr>
          <w:ilvl w:val="0"/>
          <w:numId w:val="1006"/>
        </w:numPr>
        <w:pStyle w:val="Compact"/>
      </w:pPr>
      <w:r>
        <w:t xml:space="preserve">SSP ATTACHMENT 12 - Laws and Regulations</w:t>
      </w:r>
    </w:p>
    <w:p>
      <w:pPr>
        <w:numPr>
          <w:ilvl w:val="0"/>
          <w:numId w:val="1006"/>
        </w:numPr>
        <w:pStyle w:val="Compact"/>
      </w:pPr>
      <w:r>
        <w:t xml:space="preserve">SSP ATTACHMENT 13 - Integrated Inventory Workbook</w:t>
      </w:r>
    </w:p>
    <w:p>
      <w:pPr>
        <w:pStyle w:val="FirstParagraph"/>
      </w:pPr>
      <w:r>
        <w:t xml:space="preserve">By using this model of separate specific documents that pertain to an area of the</w:t>
      </w:r>
      <w:r>
        <w:t xml:space="preserve"> </w:t>
      </w:r>
      <w:r>
        <w:t xml:space="preserve">IS, FedRAMP has provided a manageable framework. Specifically each area of the IS</w:t>
      </w:r>
      <w:r>
        <w:t xml:space="preserve"> </w:t>
      </w:r>
      <w:r>
        <w:t xml:space="preserve">and the pertinent documentation can be updated and revised commensurate with the</w:t>
      </w:r>
      <w:r>
        <w:t xml:space="preserve"> </w:t>
      </w:r>
      <w:r>
        <w:t xml:space="preserve">need of the component itself. Thus, when the company reorganizes, the IRP can be</w:t>
      </w:r>
      <w:r>
        <w:t xml:space="preserve"> </w:t>
      </w:r>
      <w:r>
        <w:t xml:space="preserve">updated without changing the Rules of Behavior. Thusly, when new legislation is</w:t>
      </w:r>
      <w:r>
        <w:t xml:space="preserve"> </w:t>
      </w:r>
      <w:r>
        <w:t xml:space="preserve">introduced requiring adherence, the Laws and Regulations document can guide the</w:t>
      </w:r>
      <w:r>
        <w:t xml:space="preserve"> </w:t>
      </w:r>
      <w:r>
        <w:t xml:space="preserve">requisite changes in the SSP.</w:t>
      </w:r>
    </w:p>
    <w:bookmarkEnd w:id="27"/>
    <w:bookmarkStart w:id="28" w:name="verify"/>
    <w:p>
      <w:pPr>
        <w:pStyle w:val="Heading2"/>
      </w:pPr>
      <w:r>
        <w:t xml:space="preserve">Verify</w:t>
      </w:r>
    </w:p>
    <w:p>
      <w:pPr>
        <w:pStyle w:val="FirstParagraph"/>
      </w:pPr>
      <w:r>
        <w:t xml:space="preserve">By endeavouring to document an IS with %100 coverage, it becomes pivotal that the</w:t>
      </w:r>
      <w:r>
        <w:t xml:space="preserve"> </w:t>
      </w:r>
      <w:r>
        <w:t xml:space="preserve">documentation be reviewed and verified by more than one party. Thus, one method</w:t>
      </w:r>
      <w:r>
        <w:t xml:space="preserve"> </w:t>
      </w:r>
      <w:r>
        <w:t xml:space="preserve">utilized by successful entities is to create and maintain an internal team who’s</w:t>
      </w:r>
      <w:r>
        <w:t xml:space="preserve"> </w:t>
      </w:r>
      <w:r>
        <w:t xml:space="preserve">mandate is to verify the veracity of any documentation used as part of the SSP.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src.nist.gov/publications/detail/sp/800-53/rev-5/final" TargetMode="External" /><Relationship Type="http://schemas.openxmlformats.org/officeDocument/2006/relationships/hyperlink" Id="rId22" Target="https://www.fedramp.gov/" TargetMode="External" /><Relationship Type="http://schemas.openxmlformats.org/officeDocument/2006/relationships/hyperlink" Id="rId23" Target="https://www.nist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src.nist.gov/publications/detail/sp/800-53/rev-5/final" TargetMode="External" /><Relationship Type="http://schemas.openxmlformats.org/officeDocument/2006/relationships/hyperlink" Id="rId22" Target="https://www.fedramp.gov/" TargetMode="External" /><Relationship Type="http://schemas.openxmlformats.org/officeDocument/2006/relationships/hyperlink" Id="rId23" Target="https://www.nist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Analyst</dc:title>
  <dc:creator>Omar Elliottgreen</dc:creator>
  <cp:keywords/>
  <dcterms:created xsi:type="dcterms:W3CDTF">2021-08-02T16:51:57Z</dcterms:created>
  <dcterms:modified xsi:type="dcterms:W3CDTF">2021-08-02T16:51:57Z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2021-08-02</vt:lpwstr>
  </property>
  <property fmtid="{D5CDD505-2E9C-101B-9397-08002B2CF9AE}" pid="3" name="site">
    <vt:lpwstr>bookdown::bookdown_site</vt:lpwstr>
  </property>
</Properties>
</file>