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72"/>
          <w:szCs w:val="72"/>
        </w:rPr>
        <w:t xml:space="preserve">PROJECT NYRA</w:t>
      </w:r>
    </w:p>
    <w:p>
      <w:pPr>
        <w:spacing w:before="200"/>
        <w:jc w:val="center"/>
      </w:pPr>
      <w:r>
        <w:rPr>
          <w:rFonts w:ascii="Arial" w:cs="Arial" w:eastAsia="Arial" w:hAnsi="Arial"/>
          <w:color w:val="2E5984"/>
          <w:sz w:val="48"/>
          <w:szCs w:val="48"/>
        </w:rPr>
        <w:t xml:space="preserve">TwentyCRM Integration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Master Architecture Document</w:t>
      </w:r>
    </w:p>
    <w:p>
      <w:pPr>
        <w:spacing w:before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Version 2.0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January 19,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consolidates architectural decisions for Project Nyra's TwentyCRM integration, covering repository selection, integration patterns, database strategy, and implementation roadmap.</w:t>
      </w:r>
    </w:p>
    <w:p>
      <w:pPr>
        <w:pStyle w:val="Heading2"/>
      </w:pPr>
      <w:r>
        <w:t xml:space="preserve">Key Decisions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Area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Selected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CRM 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TwentyCRM (twentyhq/twenty) - Self-hosted Docker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 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n8n-nodes-twenty-dynamic - Dynamic schema discovery, bulk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MCP 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jezweb/twenty-mcp - 29 MCP tools, OAuth 2.1,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Postgres cluster, dual databases (twenty + nyra_ai)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Vector Store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RuVector extension in nyra_ai database (384-dim embeddings)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Memory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Graphiti + Letta + Claude-Flow memory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TwentyCRM Repository Analysis</w:t>
      </w:r>
    </w:p>
    <w:p>
      <w:pPr>
        <w:pStyle w:val="Heading2"/>
      </w:pPr>
      <w:r>
        <w:t xml:space="preserve">2.1 Main Repository (twentyhq/twenty)</w:t>
      </w:r>
    </w:p>
    <w:p>
      <w:pPr>
        <w:spacing w:after="200"/>
      </w:pPr>
      <w:r>
        <w:t xml:space="preserve">The official TwentyCRM repository provides a complete, feature-rich CRM platform with 38.9k GitHub stars. Key capabilities include:</w:t>
      </w:r>
    </w:p>
    <w:p>
      <w:pPr>
        <w:spacing w:after="80"/>
      </w:pPr>
      <w:r>
        <w:rPr>
          <w:b/>
          <w:bCs/>
        </w:rPr>
        <w:t xml:space="preserve">Architecture: </w:t>
      </w:r>
      <w:r>
        <w:t xml:space="preserve">NestJS backend, React frontend, GraphQL/REST APIs</w:t>
      </w:r>
    </w:p>
    <w:p>
      <w:pPr>
        <w:spacing w:after="80"/>
      </w:pPr>
      <w:r>
        <w:rPr>
          <w:b/>
          <w:bCs/>
        </w:rPr>
        <w:t xml:space="preserve">Data Model: </w:t>
      </w:r>
      <w:r>
        <w:t xml:space="preserve">Custom objects, custom fields, workflow automation built-in</w:t>
      </w:r>
    </w:p>
    <w:p>
      <w:pPr>
        <w:spacing w:after="80"/>
      </w:pPr>
      <w:r>
        <w:rPr>
          <w:b/>
          <w:bCs/>
        </w:rPr>
        <w:t xml:space="preserve">Deployment: </w:t>
      </w:r>
      <w:r>
        <w:t xml:space="preserve">Docker-ready with official compose templates</w:t>
      </w:r>
    </w:p>
    <w:p>
      <w:pPr>
        <w:spacing w:after="200"/>
      </w:pPr>
      <w:r>
        <w:rPr>
          <w:b/>
          <w:bCs/>
        </w:rPr>
        <w:t xml:space="preserve">Extension: </w:t>
      </w:r>
      <w:r>
        <w:t xml:space="preserve">packages/twenty-apps/ framework for community integrations</w:t>
      </w:r>
    </w:p>
    <w:p>
      <w:pPr>
        <w:pStyle w:val="Heading2"/>
      </w:pPr>
      <w:r>
        <w:t xml:space="preserve">2.2 Decision: Use Standard TwentyCRM (Not Forked)</w:t>
      </w:r>
    </w:p>
    <w:p>
      <w:pPr>
        <w:spacing w:after="200"/>
      </w:pPr>
      <w:r>
        <w:t xml:space="preserve">Deploy standard TwentyCRM self-hosted via Docker. Create custom objects (MortgageLead, LoanApplication, Quote) using Twenty's native custom object system rather than forking the codebase. This ensures upstream compatibility and reduces maintenance burden.</w:t>
      </w:r>
    </w:p>
    <w:p>
      <w:r>
        <w:br w:type="page"/>
      </w:r>
    </w:p>
    <w:p>
      <w:pPr>
        <w:pStyle w:val="Heading1"/>
      </w:pPr>
      <w:r>
        <w:t xml:space="preserve">3. n8n Integration Options</w:t>
      </w:r>
    </w:p>
    <w:p>
      <w:pPr>
        <w:pStyle w:val="Heading2"/>
      </w:pPr>
      <w:r>
        <w:t xml:space="preserve">3.1 Comparison of n8n Nodes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n8n-nodes-twenty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n8n-nodes-twenty-dynamic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Schema Discovery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- requires updates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 - auto-adapts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 Objects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support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Bulk Operations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- 10-20x faster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 Objects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(attachments, messages)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Complex Fields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FullName, Currency, Links,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Maintenance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Requires updates for schema changes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Self-adapting</w:t>
            </w:r>
          </w:p>
        </w:tc>
      </w:tr>
    </w:tbl>
    <w:p>
      <w:pPr>
        <w:pStyle w:val="Heading2"/>
        <w:spacing w:before="300"/>
      </w:pPr>
      <w:r>
        <w:t xml:space="preserve">3.2 Decision: Use n8n-nodes-twenty-dynamic</w:t>
      </w:r>
    </w:p>
    <w:p>
      <w:pPr>
        <w:spacing w:after="120"/>
      </w:pPr>
      <w:r>
        <w:t xml:space="preserve">Installation: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npm install n8n-nodes-twenty-dynamic</w:t>
      </w:r>
    </w:p>
    <w:p>
      <w:pPr>
        <w:spacing w:after="200"/>
      </w:pPr>
      <w:r>
        <w:t xml:space="preserve">Or install via n8n UI: Settings → Community Nodes → Install → n8n-nodes-twenty-dynamic</w:t>
      </w:r>
    </w:p>
    <w:p>
      <w:r>
        <w:br w:type="page"/>
      </w:r>
    </w:p>
    <w:p>
      <w:pPr>
        <w:pStyle w:val="Heading1"/>
      </w:pPr>
      <w:r>
        <w:t xml:space="preserve">4. MCP Server Analysis</w:t>
      </w:r>
    </w:p>
    <w:p>
      <w:pPr>
        <w:pStyle w:val="Heading2"/>
      </w:pPr>
      <w:r>
        <w:t xml:space="preserve">4.1 Available MCP Servers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jezweb/twenty-mcp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2.1, TypeScript, full CRUD, opportunities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mhenry3164/twenty-crm-mcp-server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setup, dynamic schema, 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IgorWarzocha/twenty-mcp-server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GraphQL + REST, workflow automation</w:t>
            </w:r>
          </w:p>
        </w:tc>
      </w:tr>
    </w:tbl>
    <w:p>
      <w:pPr>
        <w:pStyle w:val="Heading2"/>
        <w:spacing w:before="300"/>
      </w:pPr>
      <w:r>
        <w:t xml:space="preserve">4.2 Decision: Fork and Extend jezweb/twenty-mcp</w:t>
      </w:r>
    </w:p>
    <w:p>
      <w:pPr>
        <w:spacing w:after="200"/>
      </w:pPr>
      <w:r>
        <w:t xml:space="preserve">The jezweb/twenty-mcp server provides the most comprehensive feature set with 29 MCP tools, OAuth 2.1 authentication with AES-256-GCM encryption, and full TypeScript support. Fork this repository to add Nyra-specific tools (quote generation, pattern retrieval, mortgage-specific operations).</w:t>
      </w:r>
    </w:p>
    <w:p>
      <w:pPr>
        <w:pStyle w:val="Heading3"/>
      </w:pPr>
      <w:r>
        <w:t xml:space="preserve">Configuration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"mcpServers": {
    "twenty-crm": {
      "command": "node",
      "args": ["/path/to/twenty-mcp/dist/index.js"],
      "env": {
        "TWENTY_API_KEY": "your-api-key",
        "TWENTY_BASE_URL": "https://crm.ratehunter.net"
      }
    }
  }
}</w:t>
      </w:r>
    </w:p>
    <w:p>
      <w:r>
        <w:br w:type="page"/>
      </w:r>
    </w:p>
    <w:p>
      <w:pPr>
        <w:pStyle w:val="Heading1"/>
      </w:pPr>
      <w:r>
        <w:t xml:space="preserve">5. Database Architecture</w:t>
      </w:r>
    </w:p>
    <w:p>
      <w:pPr>
        <w:pStyle w:val="Heading2"/>
      </w:pPr>
      <w:r>
        <w:t xml:space="preserve">5.1 Dual Database Strategy</w:t>
      </w:r>
    </w:p>
    <w:p>
      <w:pPr>
        <w:spacing w:after="200"/>
      </w:pPr>
      <w:r>
        <w:t xml:space="preserve">Run one RuVector-Postgres cluster with two separate databases to maintain isolation between TwentyCRM's schema and Nyra's AI memory layer.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twenty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TwentyCRM system of record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Contacts, companies, opportunities, custom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nyra_ai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memory and embeddings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embeddings, pattern memory, AI suggestions</w:t>
            </w:r>
          </w:p>
        </w:tc>
      </w:tr>
    </w:tbl>
    <w:p>
      <w:pPr>
        <w:pStyle w:val="Heading2"/>
        <w:spacing w:before="300"/>
      </w:pPr>
      <w:r>
        <w:t xml:space="preserve">5.2 RuVector Schema (nyra_ai)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CREATE EXTENSION IF NOT EXISTS ruvector;
CREATE SCHEMA IF NOT EXISTS nyra;
CREATE TABLE nyra.lead_chunks (
  id BIGSERIAL PRIMARY KEY,
  source_type TEXT NOT NULL,  -- email|api|leadmailbox|form|crm
  source_id TEXT NOT NULL,
  lead_id TEXT NULL,          -- Twenty CRM ID
  chunk_text TEXT NOT NULL,
  embedding ruvector(384),    -- 384-dim for efficiency
  meta JSONB DEFAULT '{}',
  created_at TIMESTAMPTZ DEFAULT now()
);
CREATE INDEX lead_chunks_hnsw_idx
  ON nyra.lead_chunks USING ruhnsw (embedding ruvector_l2_ops);</w:t>
      </w:r>
    </w:p>
    <w:p>
      <w:r>
        <w:br w:type="page"/>
      </w:r>
    </w:p>
    <w:p>
      <w:pPr>
        <w:pStyle w:val="Heading1"/>
      </w:pPr>
      <w:r>
        <w:t xml:space="preserve">6. Custom Objects Schema</w:t>
      </w:r>
    </w:p>
    <w:p>
      <w:pPr>
        <w:pStyle w:val="Heading2"/>
      </w:pPr>
      <w:r>
        <w:t xml:space="preserve">6.1 MortgageLead 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to Twenty Person 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lendingtree|freerateupdater|leadmailbox|ratehunter|manual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purchase|refinance|heloc|reverse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requestedAmount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Loan amount requested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creditScore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Estimated credit score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propertyState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Property location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new|contacted|qualified|quoted|application|processing|closed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aiEnriched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Whether AI enrichment has been applied</w:t>
            </w:r>
          </w:p>
        </w:tc>
      </w:tr>
    </w:tbl>
    <w:p>
      <w:pPr>
        <w:pStyle w:val="Heading2"/>
        <w:spacing w:before="300"/>
      </w:pPr>
      <w:r>
        <w:t xml:space="preserve">6.2 Quote 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leadId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to MortgageLead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loanAmount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Quoted loan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interestRate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Interest rate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Annual percentage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Estimated monthly payment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loanProgram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Conventional, FHA, VA,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draft|sent|viewed|accepted|expired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Implementation Roadmap</w:t>
      </w:r>
    </w:p>
    <w:p>
      <w:pPr>
        <w:pStyle w:val="Heading2"/>
      </w:pPr>
      <w:r>
        <w:t xml:space="preserve">Phase 1: Foundation (Week 1-2)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Deploy TwentyCRM Docker stack with RuVector-Postgres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Configure Cloudflare Tunnels (crm.ratehunter.net)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Install n8n-nodes-twenty-dynamic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Fork and deploy jezweb/twenty-mcp</w:t>
      </w:r>
    </w:p>
    <w:p>
      <w:pPr>
        <w:spacing w:after="200"/>
      </w:pPr>
      <w:r>
        <w:rPr>
          <w:b/>
          <w:bCs/>
        </w:rPr>
        <w:t xml:space="preserve">• </w:t>
      </w:r>
      <w:r>
        <w:t xml:space="preserve">Create custom objects (MortgageLead, Quote)</w:t>
      </w:r>
    </w:p>
    <w:p>
      <w:pPr>
        <w:pStyle w:val="Heading2"/>
      </w:pPr>
      <w:r>
        <w:t xml:space="preserve">Phase 2: Lead Pipeline (Week 3-4)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Build lead ingestion n8n workflows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Email parsing for LendingTree, FreeRateUpdate sources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Deduplication logic and embedding pipeline</w:t>
      </w:r>
    </w:p>
    <w:p>
      <w:pPr>
        <w:spacing w:after="200"/>
      </w:pPr>
      <w:r>
        <w:rPr>
          <w:b/>
          <w:bCs/>
        </w:rPr>
        <w:t xml:space="preserve">• </w:t>
      </w:r>
      <w:r>
        <w:t xml:space="preserve">Campaign assignment rules engine</w:t>
      </w:r>
    </w:p>
    <w:p>
      <w:pPr>
        <w:pStyle w:val="Heading2"/>
      </w:pPr>
      <w:r>
        <w:t xml:space="preserve">Phase 3: AI Integration (Week 5-6)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AIService implementation (NestJS module)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Lead enrichment automation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Pattern memory system with RuVector</w:t>
      </w:r>
    </w:p>
    <w:p>
      <w:pPr>
        <w:spacing w:after="200"/>
      </w:pPr>
      <w:r>
        <w:rPr>
          <w:b/>
          <w:bCs/>
        </w:rPr>
        <w:t xml:space="preserve">• </w:t>
      </w:r>
      <w:r>
        <w:t xml:space="preserve">Nexus Router configuration for MCP aggregation</w:t>
      </w:r>
    </w:p>
    <w:p>
      <w:pPr>
        <w:pStyle w:val="Heading2"/>
      </w:pPr>
      <w:r>
        <w:t xml:space="preserve">Phase 4: Borrower Experience (Week 7-8)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Dify chat integration with logistics-only guardrails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Campaign execution engine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Quote API scaffolding</w:t>
      </w:r>
    </w:p>
    <w:p>
      <w:pPr>
        <w:spacing w:after="200"/>
      </w:pPr>
      <w:r>
        <w:rPr>
          <w:b/>
          <w:bCs/>
        </w:rPr>
        <w:t xml:space="preserve">• </w:t>
      </w:r>
      <w:r>
        <w:t xml:space="preserve">Compliance controls (TCPA, CAN-SPAM)</w:t>
      </w:r>
    </w:p>
    <w:p>
      <w:r>
        <w:br w:type="page"/>
      </w:r>
    </w:p>
    <w:p>
      <w:pPr>
        <w:pStyle w:val="Heading1"/>
      </w:pPr>
      <w:r>
        <w:t xml:space="preserve">8. Environment Variables Reference</w:t>
      </w:r>
    </w:p>
    <w:p>
      <w:pPr>
        <w:pStyle w:val="Heading2"/>
      </w:pPr>
      <w:r>
        <w:t xml:space="preserve">TwentyCRM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TWENTY_SERVER_URL=https://crm.ratehunter.net
TWENTY_API_KEY=&lt;your-api-key&gt;
PG_DATABASE_URL=postgres://twenty:password@db:5432/twenty
REDIS_URL=redis://redis:6379</w:t>
      </w:r>
    </w:p>
    <w:p>
      <w:pPr>
        <w:pStyle w:val="Heading2"/>
      </w:pPr>
      <w:r>
        <w:t xml:space="preserve">Nyra AI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NYRA_AI_DB_URL=postgres://nyra:password@db:5432/nyra_ai
CLAUDE_API_KEY=&lt;anthropic-key&gt;
RUVECTOR_EMBEDDING_DIM=384</w:t>
      </w:r>
    </w:p>
    <w:p>
      <w:pPr>
        <w:pStyle w:val="Heading2"/>
      </w:pPr>
      <w:r>
        <w:t xml:space="preserve">MCP Servers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TWENTY_MCP_PATH=/opt/twenty-mcp/dist/index.js
NEXUS_ROUTER_URL=http://nexus:8080</w:t>
      </w:r>
    </w:p>
    <w:p>
      <w:r>
        <w:br w:type="page"/>
      </w:r>
    </w:p>
    <w:p>
      <w:pPr>
        <w:pStyle w:val="Heading1"/>
      </w:pPr>
      <w:r>
        <w:t xml:space="preserve">9. Directory Structure</w:t>
      </w:r>
    </w:p>
    <w:p>
      <w:pPr>
        <w:shd w:fill="F4F4F4" w:val="clear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nyra/
├── bootstrap/              # One-shot installers
│   ├── gui/               # React installer app
│   └── cli/               # PowerShell scripts
├── vendor/                 # Git submodules
│   ├── claude-flow/
│   ├── archon/
│   └── twenty-mcp/        # Forked MCP server
├── infra/
│   └── docker/            # Compose files
│       ├── twenty/
│       ├── postgres/
│       ├── n8n/
│       └── dify/
├── apps/
│   ├── nyra-admin/        # shadcn admin webapp
│   └── ratehunter/        # Landing page
├── services/
│   ├── ai-service/        # NestJS AI orchestration
│   ├── quote-api/
│   └── campaign-engine/
├── workflows/              # n8n workflow exports
└── scripts/                # Seed scripts, migrations</w:t>
      </w:r>
    </w:p>
    <w:p>
      <w:pPr>
        <w:pStyle w:val="Heading1"/>
      </w:pPr>
      <w:r>
        <w:t xml:space="preserve">10. Appendix: Related Documentation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NYRA_MASTER_SWARM.md - Agent orchestration specs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ARCHITECTURE-Condensed.md - High-level system overview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NYRA-RUVECTOR-TWENTYCRM-INTEGRATION.md - Database details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sparc_specs/ - SPARC pseudocode and design documents</w:t>
      </w:r>
    </w:p>
    <w:p>
      <w:pPr>
        <w:spacing w:after="80"/>
      </w:pPr>
      <w:r>
        <w:rPr>
          <w:b/>
          <w:bCs/>
        </w:rPr>
        <w:t xml:space="preserve">• </w:t>
      </w:r>
      <w:r>
        <w:t xml:space="preserve">mortgage_nyra_whitepaper.md - Business requirements</w:t>
      </w:r>
    </w:p>
    <w:p>
      <w:pPr>
        <w:spacing w:after="200"/>
      </w:pPr>
      <w:r>
        <w:rPr>
          <w:b/>
          <w:bCs/>
        </w:rPr>
        <w:t xml:space="preserve">• </w:t>
      </w:r>
      <w:r>
        <w:t xml:space="preserve">CLAUDE-FLOW_WORKFLOWS_MASTER_CATALOG.txt - Workflow patterns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Project Nyra - TwentyCRM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2026-01-19T14:13:47.951Z</dcterms:created>
  <dcterms:modified xsi:type="dcterms:W3CDTF">2026-01-19T14:13:47.952Z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