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C1EB81" w14:textId="5E1FDCE5" w:rsidR="003E7893" w:rsidRDefault="0081717E">
      <w:pPr>
        <w:pStyle w:val="Title"/>
      </w:pPr>
      <w:proofErr w:type="spellStart"/>
      <w:r w:rsidRPr="0081717E">
        <w:rPr>
          <w:caps w:val="0"/>
        </w:rPr>
        <w:t>GraphTCR</w:t>
      </w:r>
      <w:proofErr w:type="spellEnd"/>
      <w:r w:rsidRPr="0081717E">
        <w:rPr>
          <w:caps w:val="0"/>
        </w:rPr>
        <w:t xml:space="preserve">-Mamba: </w:t>
      </w:r>
      <w:r>
        <w:rPr>
          <w:caps w:val="0"/>
        </w:rPr>
        <w:t>h</w:t>
      </w:r>
      <w:r w:rsidRPr="0081717E">
        <w:rPr>
          <w:caps w:val="0"/>
        </w:rPr>
        <w:t xml:space="preserve">eterogeneous </w:t>
      </w:r>
      <w:r>
        <w:rPr>
          <w:caps w:val="0"/>
        </w:rPr>
        <w:t>g</w:t>
      </w:r>
      <w:r w:rsidRPr="0081717E">
        <w:rPr>
          <w:caps w:val="0"/>
        </w:rPr>
        <w:t xml:space="preserve">raph </w:t>
      </w:r>
      <w:r>
        <w:rPr>
          <w:caps w:val="0"/>
        </w:rPr>
        <w:t>l</w:t>
      </w:r>
      <w:r w:rsidRPr="0081717E">
        <w:rPr>
          <w:caps w:val="0"/>
        </w:rPr>
        <w:t>earning with Mamba for TCR-</w:t>
      </w:r>
      <w:r>
        <w:rPr>
          <w:caps w:val="0"/>
        </w:rPr>
        <w:t>e</w:t>
      </w:r>
      <w:r w:rsidRPr="0081717E">
        <w:rPr>
          <w:caps w:val="0"/>
        </w:rPr>
        <w:t xml:space="preserve">pitope </w:t>
      </w:r>
      <w:r>
        <w:rPr>
          <w:caps w:val="0"/>
        </w:rPr>
        <w:t>b</w:t>
      </w:r>
      <w:r w:rsidRPr="0081717E">
        <w:rPr>
          <w:caps w:val="0"/>
        </w:rPr>
        <w:t xml:space="preserve">inding </w:t>
      </w:r>
      <w:r>
        <w:rPr>
          <w:caps w:val="0"/>
        </w:rPr>
        <w:t>p</w:t>
      </w:r>
      <w:r w:rsidRPr="0081717E">
        <w:rPr>
          <w:caps w:val="0"/>
        </w:rPr>
        <w:t>rediction</w:t>
      </w:r>
      <w:r>
        <w:rPr>
          <w:rStyle w:val="FootnoteReference"/>
        </w:rPr>
        <w:footnoteReference w:customMarkFollows="1" w:id="1"/>
        <w:t>†</w:t>
      </w:r>
    </w:p>
    <w:p w14:paraId="5D74975E" w14:textId="68D17768" w:rsidR="003E7893" w:rsidRDefault="0081717E" w:rsidP="004548DE">
      <w:pPr>
        <w:pStyle w:val="Author"/>
      </w:pPr>
      <w:r w:rsidRPr="0081717E">
        <w:t>Ellison Naz</w:t>
      </w:r>
      <w:r w:rsidRPr="0081717E">
        <w:rPr>
          <w:vertAlign w:val="superscript"/>
        </w:rPr>
        <w:t>1</w:t>
      </w:r>
      <w:r>
        <w:t>, Adam Fan</w:t>
      </w:r>
      <w:r w:rsidRPr="0081717E">
        <w:rPr>
          <w:vertAlign w:val="superscript"/>
        </w:rPr>
        <w:t>2</w:t>
      </w:r>
      <w:r>
        <w:t xml:space="preserve">, </w:t>
      </w:r>
      <w:r w:rsidR="00EA0468">
        <w:t>Wenjun Lin</w:t>
      </w:r>
      <w:r w:rsidR="00EA0468" w:rsidRPr="00EA0468">
        <w:rPr>
          <w:vertAlign w:val="superscript"/>
        </w:rPr>
        <w:t>1</w:t>
      </w:r>
      <w:r w:rsidR="00EA0468">
        <w:t xml:space="preserve">, </w:t>
      </w:r>
      <w:r>
        <w:t>Ping Luo</w:t>
      </w:r>
      <w:r w:rsidRPr="0081717E">
        <w:rPr>
          <w:vertAlign w:val="superscript"/>
        </w:rPr>
        <w:t>1*</w:t>
      </w:r>
    </w:p>
    <w:p w14:paraId="5CDFD361" w14:textId="322ECD52" w:rsidR="00930DC0" w:rsidRDefault="0081717E" w:rsidP="0081717E">
      <w:pPr>
        <w:pStyle w:val="Affiliation"/>
        <w:spacing w:after="60"/>
        <w:jc w:val="left"/>
      </w:pPr>
      <w:r w:rsidRPr="0081717E">
        <w:rPr>
          <w:vertAlign w:val="superscript"/>
        </w:rPr>
        <w:t>1</w:t>
      </w:r>
      <w:r w:rsidR="003E7893">
        <w:t>Department</w:t>
      </w:r>
      <w:r>
        <w:t xml:space="preserve"> of Computer Science &amp; Mathematics</w:t>
      </w:r>
      <w:r w:rsidR="003E7893">
        <w:t>,</w:t>
      </w:r>
      <w:r>
        <w:t xml:space="preserve"> Algoma</w:t>
      </w:r>
      <w:r w:rsidR="003E7893">
        <w:t xml:space="preserve"> University, </w:t>
      </w:r>
      <w:r>
        <w:t>Brampton</w:t>
      </w:r>
      <w:r w:rsidR="003E7893">
        <w:t xml:space="preserve">, </w:t>
      </w:r>
      <w:r>
        <w:t>Ontario</w:t>
      </w:r>
      <w:r w:rsidR="003E7893">
        <w:t xml:space="preserve"> </w:t>
      </w:r>
      <w:r>
        <w:t>L6V 1A3</w:t>
      </w:r>
      <w:r w:rsidR="003E7893">
        <w:t xml:space="preserve">, </w:t>
      </w:r>
      <w:r>
        <w:t>Canada</w:t>
      </w:r>
    </w:p>
    <w:p w14:paraId="1CF90A46" w14:textId="58FE55EA" w:rsidR="00930DC0" w:rsidRDefault="0081717E" w:rsidP="0081717E">
      <w:pPr>
        <w:pStyle w:val="Affiliation"/>
        <w:jc w:val="left"/>
      </w:pPr>
      <w:r w:rsidRPr="0081717E">
        <w:rPr>
          <w:vertAlign w:val="superscript"/>
        </w:rPr>
        <w:t>2</w:t>
      </w:r>
      <w:r w:rsidRPr="0081717E">
        <w:t>Bayview Secondary School</w:t>
      </w:r>
      <w:r w:rsidR="003E7893">
        <w:t xml:space="preserve">, </w:t>
      </w:r>
      <w:r>
        <w:t>Richmond Hill, Ontario, L4C 2L4, Canada</w:t>
      </w:r>
    </w:p>
    <w:p w14:paraId="190BF141" w14:textId="244CE4A1" w:rsidR="003E7893" w:rsidRDefault="003A2D82" w:rsidP="0016548E">
      <w:pPr>
        <w:pStyle w:val="Abstract"/>
      </w:pPr>
      <w:r w:rsidRPr="003A2D82">
        <w:t xml:space="preserve">T-cell receptor (TCR) recognition of peptide epitopes is central to adaptive immunity, yet only a small fraction of potential TCR-epitope interactions can be characterized experimentally. Existing computational approaches often model candidate pairs independently, underutilizing relational information among similar sequences. We present </w:t>
      </w:r>
      <w:proofErr w:type="spellStart"/>
      <w:r w:rsidRPr="003A2D82">
        <w:t>GraphTCR</w:t>
      </w:r>
      <w:proofErr w:type="spellEnd"/>
      <w:r w:rsidRPr="003A2D82">
        <w:t>-Mamba, a heterogeneous graph framework that represents TCRs and epitopes as distinct node types, integrates sequence-similarity and observed-interaction edges, and incorporates a Mamba selective state</w:t>
      </w:r>
      <w:r w:rsidR="005D7D1A">
        <w:t>-</w:t>
      </w:r>
      <w:r w:rsidRPr="003A2D82">
        <w:t xml:space="preserve">space branch for global information propagation. Across the IEDB, </w:t>
      </w:r>
      <w:proofErr w:type="spellStart"/>
      <w:r w:rsidRPr="003A2D82">
        <w:t>McPAS</w:t>
      </w:r>
      <w:proofErr w:type="spellEnd"/>
      <w:r w:rsidRPr="003A2D82">
        <w:t xml:space="preserve">-TCR, and </w:t>
      </w:r>
      <w:proofErr w:type="spellStart"/>
      <w:r w:rsidRPr="003A2D82">
        <w:t>VDJdb</w:t>
      </w:r>
      <w:proofErr w:type="spellEnd"/>
      <w:r w:rsidRPr="003A2D82">
        <w:t xml:space="preserve"> benchmarks, </w:t>
      </w:r>
      <w:proofErr w:type="spellStart"/>
      <w:r w:rsidRPr="003A2D82">
        <w:t>GraphTCR</w:t>
      </w:r>
      <w:proofErr w:type="spellEnd"/>
      <w:r w:rsidRPr="003A2D82">
        <w:t xml:space="preserve">-Mamba achieved AUROCs of 0.938, 0.943, and 0.993 and AUPRs of 0.925, 0.947, and 0.992, respectively, yielding the highest </w:t>
      </w:r>
      <w:r w:rsidR="00C63474">
        <w:t>performance</w:t>
      </w:r>
      <w:r w:rsidRPr="003A2D82">
        <w:t xml:space="preserve"> among evaluated methods. We further assessed </w:t>
      </w:r>
      <w:proofErr w:type="spellStart"/>
      <w:r w:rsidRPr="003A2D82">
        <w:t>transductive</w:t>
      </w:r>
      <w:proofErr w:type="spellEnd"/>
      <w:r w:rsidRPr="003A2D82">
        <w:t xml:space="preserve"> cold-start generalization by withholding interaction labels involving designated TCRs, epitopes, or both while retaining sequence-derived graph structure. Performance was consistently higher when only TCRs were held out and declined when epitopes or both interaction partners were held out, revealing a substantial gap between random pair-level and cold-start performance. Overall, </w:t>
      </w:r>
      <w:proofErr w:type="spellStart"/>
      <w:r w:rsidRPr="003A2D82">
        <w:t>GraphTCR</w:t>
      </w:r>
      <w:proofErr w:type="spellEnd"/>
      <w:r w:rsidRPr="003A2D82">
        <w:t>-Mamba provides an effective framework for integrating sequence and relational information for TCR-epitope prediction, while the observed performance gap underscores the importance of cold-start evaluation for assessing generalization to unseen interaction partners</w:t>
      </w:r>
      <w:r w:rsidR="003E7893">
        <w:t>.</w:t>
      </w:r>
    </w:p>
    <w:p w14:paraId="7A330B93" w14:textId="5D52AD16" w:rsidR="00733FC6" w:rsidRPr="00733FC6" w:rsidRDefault="00733FC6" w:rsidP="00301CEF">
      <w:pPr>
        <w:pStyle w:val="Abstract"/>
        <w:spacing w:before="180"/>
        <w:jc w:val="left"/>
      </w:pPr>
      <w:r w:rsidRPr="00733FC6">
        <w:rPr>
          <w:i/>
        </w:rPr>
        <w:t>Keywords:</w:t>
      </w:r>
      <w:r>
        <w:t xml:space="preserve"> </w:t>
      </w:r>
      <w:r w:rsidR="0081717E">
        <w:t>T cell receptor</w:t>
      </w:r>
      <w:r>
        <w:t xml:space="preserve">; </w:t>
      </w:r>
      <w:r w:rsidR="0081717E">
        <w:t xml:space="preserve">Heterogeneous </w:t>
      </w:r>
      <w:r w:rsidR="00C63474">
        <w:t>g</w:t>
      </w:r>
      <w:r w:rsidR="0081717E">
        <w:t>raph</w:t>
      </w:r>
      <w:r w:rsidRPr="00733FC6">
        <w:t>;</w:t>
      </w:r>
      <w:r>
        <w:t xml:space="preserve"> </w:t>
      </w:r>
      <w:r w:rsidR="0081717E">
        <w:t>TCR-epitope prediction</w:t>
      </w:r>
      <w:r w:rsidR="00C63474">
        <w:t>;</w:t>
      </w:r>
      <w:r w:rsidR="00C63474" w:rsidRPr="00C63474">
        <w:t xml:space="preserve"> </w:t>
      </w:r>
      <w:r w:rsidR="00C63474">
        <w:t xml:space="preserve">Mamba; </w:t>
      </w:r>
      <w:r w:rsidR="00C63474" w:rsidRPr="00C63474">
        <w:t>Laplacian positional encoding</w:t>
      </w:r>
      <w:r w:rsidRPr="00733FC6">
        <w:t>.</w:t>
      </w:r>
    </w:p>
    <w:p w14:paraId="134FF2C0" w14:textId="77777777" w:rsidR="003E7893" w:rsidRDefault="003E7893" w:rsidP="00E87582">
      <w:pPr>
        <w:pStyle w:val="spara"/>
      </w:pPr>
    </w:p>
    <w:p w14:paraId="7D207C66" w14:textId="77777777" w:rsidR="003E7893" w:rsidRDefault="003E7893" w:rsidP="00B217E4">
      <w:pPr>
        <w:pStyle w:val="Heading1"/>
        <w:sectPr w:rsidR="003E7893" w:rsidSect="00D750EF">
          <w:headerReference w:type="even" r:id="rId8"/>
          <w:headerReference w:type="default" r:id="rId9"/>
          <w:footerReference w:type="first" r:id="rId10"/>
          <w:footnotePr>
            <w:numFmt w:val="chicago"/>
          </w:footnotePr>
          <w:pgSz w:w="12240" w:h="15840"/>
          <w:pgMar w:top="2074" w:right="1195" w:bottom="2074" w:left="1210" w:header="1627" w:footer="1603" w:gutter="0"/>
          <w:pgNumType w:start="1"/>
          <w:cols w:space="720"/>
          <w:noEndnote/>
          <w:titlePg/>
          <w:docGrid w:linePitch="272"/>
        </w:sectPr>
      </w:pPr>
    </w:p>
    <w:p w14:paraId="62514E49" w14:textId="62827EF3" w:rsidR="003E7893" w:rsidRDefault="0081717E" w:rsidP="00615AFA">
      <w:pPr>
        <w:pStyle w:val="Heading1"/>
        <w:spacing w:before="0"/>
      </w:pPr>
      <w:r>
        <w:lastRenderedPageBreak/>
        <w:t>Introduction</w:t>
      </w:r>
    </w:p>
    <w:p w14:paraId="6A517F9A" w14:textId="621365E8" w:rsidR="003E7893" w:rsidRDefault="00C46845" w:rsidP="0017435E">
      <w:pPr>
        <w:pStyle w:val="spara"/>
      </w:pPr>
      <w:r w:rsidRPr="00C46845">
        <w:t>T-cell receptors (TCRs) play a central role in adaptive immunity by recognizing peptide epitopes presented on the surface of infected, malignant, or otherwise abnormal cells</w:t>
      </w:r>
      <w:r w:rsidR="00D1192E">
        <w:t>.</w:t>
      </w:r>
      <w:r w:rsidR="00D718BA">
        <w:fldChar w:fldCharType="begin"/>
      </w:r>
      <w:r w:rsidR="00D718BA">
        <w:instrText xml:space="preserve"> ADDIN ZOTERO_ITEM CSL_CITATION {"citationID":"VgJC7pV2","properties":{"unsorted":false,"formattedCitation":"\\super 1\\nosupersub{}","plainCitation":"1","noteIndex":0},"citationItems":[{"id":174,"uris":["http://zotero.org/users/19718002/items/ZPI5VSHX"],"itemData":{"id":174,"type":"article-journal","abstract":"The mammalian T cell receptor (TCR) orchestrates immunity by responding to many billions of different ligands that it has never encountered before and cannot adapt to at the protein sequence level. This remarkable receptor exists in two main heterodimeric isoforms: αβ TCR and γδ TCR. The αβ TCR is expressed on the majority of peripheral T cells. Most αβ T cells recognize peptides, derived from degraded proteins, presented at the cell surface in molecular cradles called major histocompatibility complex (MHC) molecules. Recent reports have described other αβ T cell subsets. These ‘unconventional’ T cells bear TCRs that are capable of recognizing lipid ligands presented in the context of the MHC-like CD1 protein family or bacterial metabolites bound to the MHC-related protein 1 (MR1). γδ T cells constitute a minority of the T cell pool in human blood, but can represent up to half of total T cells in tissues such as the gut and skin. The identity of the preferred ligands for γδ T cells remains obscure, but it is now known that this receptor can also functionally engage CD1-lipid, or immunoglobulin (Ig) superfamily proteins called butyrophilins in the presence of pyrophosphate intermediates of bacterial lipid biosynthesis. Interactions between TCRs and these ligands allow the host to discriminate between self and non-self and co-ordinate an attack on the latter. Here, we describe how cells of the T lymphocyte lineage and their antigen receptors are generated and discuss the various modes of antigen recognition by these extraordinarily versatile receptors.","container-title":"Clinical and Experimental Immunology","DOI":"10.1111/cei.12622","ISSN":"0009-9104","issue":"1","journalAbbreviation":"Clin Exp Immunol","page":"1-18","source":"Silverchair","title":"The T cell antigen receptor: the Swiss army knife of the immune system","title-short":"The T cell antigen receptor","volume":"181","author":[{"family":"Attaf","given":"M"},{"family":"Legut","given":"M"},{"family":"Cole","given":"D K"},{"family":"Sewell","given":"A K"}],"issued":{"date-parts":[["2015",7,1]]}}}],"schema":"https://github.com/citation-style-language/schema/raw/master/csl-citation.json"} </w:instrText>
      </w:r>
      <w:r w:rsidR="00D718BA">
        <w:fldChar w:fldCharType="separate"/>
      </w:r>
      <w:r w:rsidR="00D718BA" w:rsidRPr="00D718BA">
        <w:rPr>
          <w:szCs w:val="24"/>
          <w:vertAlign w:val="superscript"/>
        </w:rPr>
        <w:t>1</w:t>
      </w:r>
      <w:r w:rsidR="00D718BA">
        <w:fldChar w:fldCharType="end"/>
      </w:r>
      <w:r w:rsidRPr="00C46845">
        <w:t xml:space="preserve"> Determining TCR-epitope specificity experimentally, however, is costly and time-consuming, and only a small fraction of the vast space of potential TCR-epitope interactions can be characterized. Computational methods provide a scalable alternative by learning from experimentally validated interactions to predict previously uncharacterized TCR-epitope pairs, thereby prioritizing candidates for experimental validation</w:t>
      </w:r>
      <w:r w:rsidR="00D1192E">
        <w:t>.</w:t>
      </w:r>
      <w:r w:rsidR="00D718BA">
        <w:fldChar w:fldCharType="begin"/>
      </w:r>
      <w:r w:rsidR="00D718BA">
        <w:instrText xml:space="preserve"> ADDIN ZOTERO_ITEM CSL_CITATION {"citationID":"szLy0DvV","properties":{"unsorted":false,"formattedCitation":"\\super 2\\nosupersub{}","plainCitation":"2","noteIndex":0},"citationItems":[{"id":179,"uris":["http://zotero.org/users/19718002/items/5M24IVI2"],"itemData":{"id":179,"type":"article-journal","abstract":"Current sequencing methods allow for detailed samples of T cell receptors (TCR) repertoires. To determine from a repertoire whether its host had been exposed to a target, computational tools that predict TCR-epitope binding are required. Currents tools are based on conserved motifs and are applied to peptides with many known binding TCRs. We employ new Natural Language Processing (NLP) based methods to predict whether any TCR and peptide bind. We combined large-scale TCR-peptide dictionaries with deep learning methods to produce ERGO (pEptide tcR matchinG predictiOn), a highly specific and generic TCR-peptide binding predictor. A set of standard tests are defined for the performance of peptide-TCR binding, including the detection of TCRs binding to a given peptide/antigen, choosing among a set of candidate peptides for a given TCR and determining whether any pair of TCR-peptide bind. ERGO reaches similar results to state of the art methods in these tests even when not trained specifically for each test.The software implementation and data sets are available at https://github.com/louzounlab/ERGO. ERGO is also available through a webserver at: http://tcr.cs.biu.ac.il/","container-title":"Frontiers in Immunology","DOI":"10.3389/fimmu.2020.01803","ISSN":"1664-3224","journalAbbreviation":"Front. Immunol.","language":"English","publisher":"Frontiers","source":"Frontiers","title":"Prediction of Specific TCR-Peptide Binding From Large Dictionaries of TCR-Peptide Pairs","URL":"https://www.frontiersin.org/journals/immunology/articles/10.3389/fimmu.2020.01803/full","volume":"11","author":[{"family":"Springer","given":"Ido"},{"family":"Besser","given":"Hanan"},{"family":"Tickotsky-Moskovitz","given":"Nili"},{"family":"Dvorkin","given":"Shirit"},{"family":"Louzoun","given":"Yoram"}],"accessed":{"date-parts":[["2026",7,28]]},"issued":{"date-parts":[["2020",8,25]]}}}],"schema":"https://github.com/citation-style-language/schema/raw/master/csl-citation.json"} </w:instrText>
      </w:r>
      <w:r w:rsidR="00D718BA">
        <w:fldChar w:fldCharType="separate"/>
      </w:r>
      <w:r w:rsidR="00D718BA" w:rsidRPr="00D718BA">
        <w:rPr>
          <w:szCs w:val="24"/>
          <w:vertAlign w:val="superscript"/>
        </w:rPr>
        <w:t>2</w:t>
      </w:r>
      <w:r w:rsidR="00D718BA">
        <w:fldChar w:fldCharType="end"/>
      </w:r>
    </w:p>
    <w:p w14:paraId="539926D0" w14:textId="0E358C3A" w:rsidR="003E7893" w:rsidRDefault="00C46845" w:rsidP="00E87582">
      <w:pPr>
        <w:pStyle w:val="TextIndent"/>
      </w:pPr>
      <w:r w:rsidRPr="00C46845">
        <w:t>Despite substantial progress, existing computational approaches to TCR-epitope binding prediction face important challenges. Many methods evaluate TCR-epitope pairs independently, overlooking relationships among sequences that may provide useful context for prediction. In particular, TCRs with similar sequence or structural properties may share binding preferences, while related epitopes may exhibit similar recognition patterns. Incorporating such relationships could therefore improve prediction, particularly when generalizing beyond interactions observed during training. Methods that explicitly model relationships among sequences, however, often rely on attention-based architectures whose computational cost increases substantially with sequence or dataset size. These limitations are especially relevant under cold-start settings, where the model must predict interactions involving TCRs, epitopes, or both that were not observed during training.</w:t>
      </w:r>
    </w:p>
    <w:p w14:paraId="68633847" w14:textId="41296DCA" w:rsidR="003E7893" w:rsidRDefault="00C46845" w:rsidP="00C46845">
      <w:pPr>
        <w:pStyle w:val="TextIndent"/>
      </w:pPr>
      <w:r w:rsidRPr="00C46845">
        <w:t xml:space="preserve">To address these challenges, we propose </w:t>
      </w:r>
      <w:proofErr w:type="spellStart"/>
      <w:r w:rsidRPr="00C46845">
        <w:t>GraphTCR</w:t>
      </w:r>
      <w:proofErr w:type="spellEnd"/>
      <w:r w:rsidRPr="00C46845">
        <w:t>-Mamba, a framework that combines heterogeneous graph message passing with a Mamba-based selective state</w:t>
      </w:r>
      <w:r w:rsidR="005D7D1A">
        <w:t>-</w:t>
      </w:r>
      <w:r w:rsidRPr="00C46845">
        <w:t xml:space="preserve">space model for TCR-epitope binding prediction. Rather than treating each candidate pair independently, </w:t>
      </w:r>
      <w:proofErr w:type="spellStart"/>
      <w:r w:rsidRPr="00C46845">
        <w:t>GraphTCR</w:t>
      </w:r>
      <w:proofErr w:type="spellEnd"/>
      <w:r w:rsidRPr="00C46845">
        <w:t xml:space="preserve">-Mamba represents TCRs and epitopes within a heterogeneous graph and propagates information among related sequences, allowing predictions to incorporate both sequence-level features and relational context. </w:t>
      </w:r>
      <w:r w:rsidR="005D7D1A" w:rsidRPr="005D7D1A">
        <w:t>The Mamba component provides linear-complexity global node mixing after graph construction, enabling efficient propagation of long-range information across the graph</w:t>
      </w:r>
      <w:r w:rsidR="003E7893">
        <w:t>.</w:t>
      </w:r>
    </w:p>
    <w:p w14:paraId="5436D28B" w14:textId="25599D6F" w:rsidR="00C46845" w:rsidRDefault="00C46845" w:rsidP="00C46845">
      <w:pPr>
        <w:pStyle w:val="TextIndent"/>
      </w:pPr>
      <w:r>
        <w:t xml:space="preserve">We evaluate </w:t>
      </w:r>
      <w:proofErr w:type="spellStart"/>
      <w:r>
        <w:t>GraphTCR</w:t>
      </w:r>
      <w:proofErr w:type="spellEnd"/>
      <w:r>
        <w:t>-Mamba on three benchmark datasets</w:t>
      </w:r>
      <w:r w:rsidRPr="00D718BA">
        <w:t>, IEDB</w:t>
      </w:r>
      <w:r w:rsidR="00D718BA" w:rsidRPr="00D718BA">
        <w:fldChar w:fldCharType="begin"/>
      </w:r>
      <w:r w:rsidR="00D718BA" w:rsidRPr="00D718BA">
        <w:instrText xml:space="preserve"> ADDIN ZOTERO_ITEM CSL_CITATION {"citationID":"VKVVztVk","properties":{"unsorted":false,"formattedCitation":"\\super 3\\nosupersub{}","plainCitation":"3","noteIndex":0},"citationItems":[{"id":143,"uris":["http://zotero.org/users/19718002/items/T5IRTG42"],"itemData":{"id":143,"type":"article-journal","abstract":"Over the past 20 years, the Immune Epitope Database (IEDB, iedb.org) has established itself as the foremost resource for immune epitope data. The IEDB catalogs published epitopes and their contextual experimental data in a freely searchable public resource. The IEDB team manually curates data from the literature into a structured format and spans infectious, allergic, autoimmune, and transplant diseases. Here, we describe the enhancements made since our 2018 paper, capturing user-directed updates to the search interface, advanced data exports, increases in data quality, and improved interoperability across related resources. As we look forward to the next 20 years, we are confident in our ability to meet the needs of our users and to contribute to the broader field of data standardization.","container-title":"Nucleic Acids Research","DOI":"10.1093/nar/gkae1092","ISSN":"1362-4962","issue":"D1","journalAbbreviation":"Nucleic Acids Res","page":"D436-D443","source":"Silverchair","title":"The Immune Epitope Database (IEDB): 2024 update","title-short":"The Immune Epitope Database (IEDB)","volume":"53","author":[{"family":"Vita","given":"Randi"},{"family":"Blazeska","given":"Nina"},{"family":"Marrama","given":"Daniel"},{"literal":"IEDB Curation Team Members"},{"family":"Duesing","given":"Sebastian"},{"family":"Bennett","given":"Jason"},{"family":"Greenbaum","given":"Jason"},{"family":"De Almeida Mendes","given":"Marcus"},{"family":"Mahita","given":"Jarjapu"},{"family":"Wheeler","given":"Daniel K"},{"family":"Cantrell","given":"Jason R"},{"family":"Overton","given":"James A"},{"family":"Natale","given":"Darren A"},{"family":"Sette","given":"Alessandro"},{"family":"Peters","given":"Bjoern"}],"issued":{"date-parts":[["2025",1,6]]}}}],"schema":"https://github.com/citation-style-language/schema/raw/master/csl-citation.json"} </w:instrText>
      </w:r>
      <w:r w:rsidR="00D718BA" w:rsidRPr="00D718BA">
        <w:fldChar w:fldCharType="separate"/>
      </w:r>
      <w:r w:rsidR="00D718BA" w:rsidRPr="00D718BA">
        <w:rPr>
          <w:szCs w:val="24"/>
          <w:vertAlign w:val="superscript"/>
        </w:rPr>
        <w:t>3</w:t>
      </w:r>
      <w:r w:rsidR="00D718BA" w:rsidRPr="00D718BA">
        <w:fldChar w:fldCharType="end"/>
      </w:r>
      <w:r w:rsidRPr="00D718BA">
        <w:t>, VDJdb</w:t>
      </w:r>
      <w:r w:rsidR="00D718BA" w:rsidRPr="00D718BA">
        <w:fldChar w:fldCharType="begin"/>
      </w:r>
      <w:r w:rsidR="00D718BA" w:rsidRPr="00D718BA">
        <w:instrText xml:space="preserve"> ADDIN ZOTERO_ITEM CSL_CITATION {"citationID":"98bmFZcg","properties":{"unsorted":false,"formattedCitation":"\\super 4\\nosupersub{}","plainCitation":"4","noteIndex":0},"citationItems":[{"id":154,"uris":["http://zotero.org/users/19718002/items/CSH45267"],"itemData":{"id":154,"type":"article-journal","abstract":"The ability to decode antigen specificities encapsulated in the sequences of rearranged T-cell receptor (TCR) genes is critical for our understanding of the adaptive immune system and promises significant advances in the field of translational medicine. Recent developments in high-throughput sequencing methods (immune repertoire sequencing technology, or RepSeq) and single-cell RNA sequencing technology have allowed us to obtain huge numbers of TCR sequences from donor samples and link them to T-cell phenotypes. However, our ability to annotate these TCR sequences still lags behind, owing to the enormous diversity of the TCR repertoire and the scarcity of available data on T-cell specificities. In this paper, we present VDJdb, a database that stores and aggregates the results of published T-cell specificity assays and provides a universal platform that couples antigen specificities with TCR sequences. We demonstrate that VDJdb is a versatile instrument for the annotation of TCR repertoire data, enabling a concatenated view of antigen-specific TCR sequence motifs. VDJdb can be accessed at https://vdjdb.cdr3.net and https://github.com/antigenomics/vdjdb-db.","container-title":"Nucleic Acids Research","DOI":"10.1093/nar/gkx760","ISSN":"0305-1048","issue":"D1","journalAbbreviation":"Nucleic Acids Res","page":"D419-D427","source":"Silverchair","title":"VDJdb: a curated database of T-cell receptor sequences with known antigen specificity","title-short":"VDJdb","volume":"46","author":[{"family":"Shugay","given":"Mikhail"},{"family":"Bagaev","given":"Dmitriy V"},{"family":"Zvyagin","given":"Ivan V"},{"family":"Vroomans","given":"Renske M"},{"family":"Crawford","given":"Jeremy Chase"},{"family":"Dolton","given":"Garry"},{"family":"Komech","given":"Ekaterina A"},{"family":"Sycheva","given":"Anastasiya L"},{"family":"Koneva","given":"Anna E"},{"family":"Egorov","given":"Evgeniy S"},{"family":"Eliseev","given":"Alexey V"},{"family":"Van Dyk","given":"Ewald"},{"family":"Dash","given":"Pradyot"},{"family":"Attaf","given":"Meriem"},{"family":"Rius","given":"Cristina"},{"family":"Ladell","given":"Kristin"},{"family":"McLaren","given":"James E"},{"family":"Matthews","given":"Katherine K"},{"family":"Clemens","given":"E Bridie"},{"family":"Douek","given":"Daniel C"},{"family":"Luciani","given":"Fabio"},{"family":"van Baarle","given":"Debbie"},{"family":"Kedzierska","given":"Katherine"},{"family":"Kesmir","given":"Can"},{"family":"Thomas","given":"Paul G"},{"family":"Price","given":"David A"},{"family":"Sewell","given":"Andrew K"},{"family":"Chudakov","given":"Dmitriy M"}],"issued":{"date-parts":[["2018",1,4]]}}}],"schema":"https://github.com/citation-style-language/schema/raw/master/csl-citation.json"} </w:instrText>
      </w:r>
      <w:r w:rsidR="00D718BA" w:rsidRPr="00D718BA">
        <w:fldChar w:fldCharType="separate"/>
      </w:r>
      <w:r w:rsidR="00D718BA" w:rsidRPr="00D718BA">
        <w:rPr>
          <w:szCs w:val="24"/>
          <w:vertAlign w:val="superscript"/>
        </w:rPr>
        <w:t>4</w:t>
      </w:r>
      <w:r w:rsidR="00D718BA" w:rsidRPr="00D718BA">
        <w:fldChar w:fldCharType="end"/>
      </w:r>
      <w:r w:rsidRPr="00D718BA">
        <w:t>, and McPAS</w:t>
      </w:r>
      <w:r>
        <w:t>-TCR</w:t>
      </w:r>
      <w:r w:rsidR="00D718BA">
        <w:fldChar w:fldCharType="begin"/>
      </w:r>
      <w:r w:rsidR="00D718BA">
        <w:instrText xml:space="preserve"> ADDIN ZOTERO_ITEM CSL_CITATION {"citationID":"Hc9b0Z1G","properties":{"unsorted":false,"formattedCitation":"\\super 5\\nosupersub{}","plainCitation":"5","noteIndex":0},"citationItems":[{"id":181,"uris":["http://zotero.org/users/19718002/items/8K7UT5DF"],"itemData":{"id":181,"type":"article-journal","abstract":"While growing numbers of T cell receptor (TCR) repertoires are being mapped by high-throughput sequencing, existing methods do not allow for computationally connecting a given TCR sequence to its target antigen, or relating it to a specific pathology. As an alternative, a manually-curated database can relate TCR sequences with their cognate antigens and associated pathologies based on published experimental data.We present McPAS-TCR, a manually curated database of TCR sequences associated with various pathologies and antigens based on published literature. Our database currently contains more than 5000 sequences of TCRs associated with various pathologic conditions (including pathogen infections, cancer and autoimmunity) and their respective antigens in humans and in mice. A web-based tool allows for searching the database based on different criteria, and for finding annotated sequences from the database in users’ data. The McPAS-TCR website assembles information from a large number of studies that is very hard to dissect otherwise. Initial analyses of the data provide interesting insights on pathology-associated TCR sequences.Free access at http://friedmanlab.weizmann.ac.il/McPAS-TCR/.","container-title":"Bioinformatics","DOI":"10.1093/bioinformatics/btx286","ISSN":"1367-4803","issue":"18","journalAbbreviation":"Bioinformatics","page":"2924-2929","source":"Silverchair","title":"McPAS-TCR: a manually curated catalogue of pathology-associated T cell receptor sequences","title-short":"McPAS-TCR","volume":"33","author":[{"family":"Tickotsky","given":"Nili"},{"family":"Sagiv","given":"Tal"},{"family":"Prilusky","given":"Jaime"},{"family":"Shifrut","given":"Eric"},{"family":"Friedman","given":"Nir"}],"issued":{"date-parts":[["2017",9,1]]}}}],"schema":"https://github.com/citation-style-language/schema/raw/master/csl-citation.json"} </w:instrText>
      </w:r>
      <w:r w:rsidR="00D718BA">
        <w:fldChar w:fldCharType="separate"/>
      </w:r>
      <w:r w:rsidR="00D718BA" w:rsidRPr="00D718BA">
        <w:rPr>
          <w:szCs w:val="24"/>
          <w:vertAlign w:val="superscript"/>
        </w:rPr>
        <w:t>5</w:t>
      </w:r>
      <w:r w:rsidR="00D718BA">
        <w:fldChar w:fldCharType="end"/>
      </w:r>
      <w:r>
        <w:t xml:space="preserve">, which differ in scale, curation strategy, and biological context. In addition to standard evaluation, we assess performance under cold-split settings designed to test generalization to previously unseen TCRs and epitopes. Across these datasets, </w:t>
      </w:r>
      <w:proofErr w:type="spellStart"/>
      <w:r>
        <w:t>GraphTCR</w:t>
      </w:r>
      <w:proofErr w:type="spellEnd"/>
      <w:r>
        <w:t>-Mamba achieves strong and consistent predictive performance and retains meaningful predictive ability under the more challenging cold-split evaluation.</w:t>
      </w:r>
    </w:p>
    <w:p w14:paraId="3D9855DE" w14:textId="7AE12F9D" w:rsidR="00C46845" w:rsidRDefault="00C46845" w:rsidP="00C46845">
      <w:pPr>
        <w:pStyle w:val="TextIndent"/>
      </w:pPr>
      <w:r w:rsidRPr="00C46845">
        <w:t>Our work makes three main contributions. First, we introduce a heterogeneous graph-based framework that integrates relational information with efficient sequence modeling for TCR-epitope binding prediction. Second, we demonstrate its performance across three benchmark datasets spanning nearly two orders of magnitude in scale and diverse curation settings. Third, we systematically evaluate generalization under cold-split settings, providing a more stringent assessment of the model's ability to predict interactions involving previously unseen TCRs and epitopes</w:t>
      </w:r>
      <w:r w:rsidR="003B12CD">
        <w:t>.</w:t>
      </w:r>
    </w:p>
    <w:p w14:paraId="4172F195" w14:textId="696AC35B" w:rsidR="003E7893" w:rsidRDefault="00C46845" w:rsidP="00B217E4">
      <w:pPr>
        <w:pStyle w:val="Heading1"/>
      </w:pPr>
      <w:r>
        <w:lastRenderedPageBreak/>
        <w:t>Methods</w:t>
      </w:r>
    </w:p>
    <w:p w14:paraId="3B2D2C4A" w14:textId="49CD8D11" w:rsidR="003E7893" w:rsidRDefault="00C46845" w:rsidP="00B217E4">
      <w:pPr>
        <w:pStyle w:val="Heading2"/>
      </w:pPr>
      <w:r>
        <w:t>Datasets</w:t>
      </w:r>
    </w:p>
    <w:p w14:paraId="4F08D38C" w14:textId="485B76B5" w:rsidR="003E7893" w:rsidRDefault="00C46845" w:rsidP="005A551B">
      <w:pPr>
        <w:pStyle w:val="spara"/>
      </w:pPr>
      <w:r w:rsidRPr="00C46845">
        <w:t xml:space="preserve">Three publicly available TCR-epitope datasets were used to evaluate </w:t>
      </w:r>
      <w:proofErr w:type="spellStart"/>
      <w:r w:rsidRPr="00C46845">
        <w:t>GraphTCR</w:t>
      </w:r>
      <w:proofErr w:type="spellEnd"/>
      <w:r w:rsidRPr="00C46845">
        <w:t xml:space="preserve">-Mamba: IEDB, </w:t>
      </w:r>
      <w:proofErr w:type="spellStart"/>
      <w:r w:rsidRPr="00C46845">
        <w:t>VDJdb</w:t>
      </w:r>
      <w:proofErr w:type="spellEnd"/>
      <w:r w:rsidRPr="00C46845">
        <w:t>, and McPAS-TCR.</w:t>
      </w:r>
      <w:r w:rsidR="00D1192E">
        <w:fldChar w:fldCharType="begin"/>
      </w:r>
      <w:r w:rsidR="00D1192E">
        <w:instrText xml:space="preserve"> ADDIN ZOTERO_ITEM CSL_CITATION {"citationID":"OKFKdTag","properties":{"unsorted":false,"formattedCitation":"\\super 3\\uc0\\u8211{}5\\nosupersub{}","plainCitation":"3–5","noteIndex":0},"citationItems":[{"id":143,"uris":["http://zotero.org/users/19718002/items/T5IRTG42"],"itemData":{"id":143,"type":"article-journal","abstract":"Over the past 20 years, the Immune Epitope Database (IEDB, iedb.org) has established itself as the foremost resource for immune epitope data. The IEDB catalogs published epitopes and their contextual experimental data in a freely searchable public resource. The IEDB team manually curates data from the literature into a structured format and spans infectious, allergic, autoimmune, and transplant diseases. Here, we describe the enhancements made since our 2018 paper, capturing user-directed updates to the search interface, advanced data exports, increases in data quality, and improved interoperability across related resources. As we look forward to the next 20 years, we are confident in our ability to meet the needs of our users and to contribute to the broader field of data standardization.","container-title":"Nucleic Acids Research","DOI":"10.1093/nar/gkae1092","ISSN":"1362-4962","issue":"D1","journalAbbreviation":"Nucleic Acids Res","page":"D436-D443","source":"Silverchair","title":"The Immune Epitope Database (IEDB): 2024 update","title-short":"The Immune Epitope Database (IEDB)","volume":"53","author":[{"family":"Vita","given":"Randi"},{"family":"Blazeska","given":"Nina"},{"family":"Marrama","given":"Daniel"},{"literal":"IEDB Curation Team Members"},{"family":"Duesing","given":"Sebastian"},{"family":"Bennett","given":"Jason"},{"family":"Greenbaum","given":"Jason"},{"family":"De Almeida Mendes","given":"Marcus"},{"family":"Mahita","given":"Jarjapu"},{"family":"Wheeler","given":"Daniel K"},{"family":"Cantrell","given":"Jason R"},{"family":"Overton","given":"James A"},{"family":"Natale","given":"Darren A"},{"family":"Sette","given":"Alessandro"},{"family":"Peters","given":"Bjoern"}],"issued":{"date-parts":[["2025",1,6]]}}},{"id":154,"uris":["http://zotero.org/users/19718002/items/CSH45267"],"itemData":{"id":154,"type":"article-journal","abstract":"The ability to decode antigen specificities encapsulated in the sequences of rearranged T-cell receptor (TCR) genes is critical for our understanding of the adaptive immune system and promises significant advances in the field of translational medicine. Recent developments in high-throughput sequencing methods (immune repertoire sequencing technology, or RepSeq) and single-cell RNA sequencing technology have allowed us to obtain huge numbers of TCR sequences from donor samples and link them to T-cell phenotypes. However, our ability to annotate these TCR sequences still lags behind, owing to the enormous diversity of the TCR repertoire and the scarcity of available data on T-cell specificities. In this paper, we present VDJdb, a database that stores and aggregates the results of published T-cell specificity assays and provides a universal platform that couples antigen specificities with TCR sequences. We demonstrate that VDJdb is a versatile instrument for the annotation of TCR repertoire data, enabling a concatenated view of antigen-specific TCR sequence motifs. VDJdb can be accessed at https://vdjdb.cdr3.net and https://github.com/antigenomics/vdjdb-db.","container-title":"Nucleic Acids Research","DOI":"10.1093/nar/gkx760","ISSN":"0305-1048","issue":"D1","journalAbbreviation":"Nucleic Acids Res","page":"D419-D427","source":"Silverchair","title":"VDJdb: a curated database of T-cell receptor sequences with known antigen specificity","title-short":"VDJdb","volume":"46","author":[{"family":"Shugay","given":"Mikhail"},{"family":"Bagaev","given":"Dmitriy V"},{"family":"Zvyagin","given":"Ivan V"},{"family":"Vroomans","given":"Renske M"},{"family":"Crawford","given":"Jeremy Chase"},{"family":"Dolton","given":"Garry"},{"family":"Komech","given":"Ekaterina A"},{"family":"Sycheva","given":"Anastasiya L"},{"family":"Koneva","given":"Anna E"},{"family":"Egorov","given":"Evgeniy S"},{"family":"Eliseev","given":"Alexey V"},{"family":"Van Dyk","given":"Ewald"},{"family":"Dash","given":"Pradyot"},{"family":"Attaf","given":"Meriem"},{"family":"Rius","given":"Cristina"},{"family":"Ladell","given":"Kristin"},{"family":"McLaren","given":"James E"},{"family":"Matthews","given":"Katherine K"},{"family":"Clemens","given":"E Bridie"},{"family":"Douek","given":"Daniel C"},{"family":"Luciani","given":"Fabio"},{"family":"van Baarle","given":"Debbie"},{"family":"Kedzierska","given":"Katherine"},{"family":"Kesmir","given":"Can"},{"family":"Thomas","given":"Paul G"},{"family":"Price","given":"David A"},{"family":"Sewell","given":"Andrew K"},{"family":"Chudakov","given":"Dmitriy M"}],"issued":{"date-parts":[["2018",1,4]]}}},{"id":181,"uris":["http://zotero.org/users/19718002/items/8K7UT5DF"],"itemData":{"id":181,"type":"article-journal","abstract":"While growing numbers of T cell receptor (TCR) repertoires are being mapped by high-throughput sequencing, existing methods do not allow for computationally connecting a given TCR sequence to its target antigen, or relating it to a specific pathology. As an alternative, a manually-curated database can relate TCR sequences with their cognate antigens and associated pathologies based on published experimental data.We present McPAS-TCR, a manually curated database of TCR sequences associated with various pathologies and antigens based on published literature. Our database currently contains more than 5000 sequences of TCRs associated with various pathologic conditions (including pathogen infections, cancer and autoimmunity) and their respective antigens in humans and in mice. A web-based tool allows for searching the database based on different criteria, and for finding annotated sequences from the database in users’ data. The McPAS-TCR website assembles information from a large number of studies that is very hard to dissect otherwise. Initial analyses of the data provide interesting insights on pathology-associated TCR sequences.Free access at http://friedmanlab.weizmann.ac.il/McPAS-TCR/.","container-title":"Bioinformatics","DOI":"10.1093/bioinformatics/btx286","ISSN":"1367-4803","issue":"18","journalAbbreviation":"Bioinformatics","page":"2924-2929","source":"Silverchair","title":"McPAS-TCR: a manually curated catalogue of pathology-associated T cell receptor sequences","title-short":"McPAS-TCR","volume":"33","author":[{"family":"Tickotsky","given":"Nili"},{"family":"Sagiv","given":"Tal"},{"family":"Prilusky","given":"Jaime"},{"family":"Shifrut","given":"Eric"},{"family":"Friedman","given":"Nir"}],"issued":{"date-parts":[["2017",9,1]]}}}],"schema":"https://github.com/citation-style-language/schema/raw/master/csl-citation.json"} </w:instrText>
      </w:r>
      <w:r w:rsidR="00D1192E">
        <w:fldChar w:fldCharType="separate"/>
      </w:r>
      <w:r w:rsidR="00D1192E" w:rsidRPr="00D1192E">
        <w:rPr>
          <w:szCs w:val="24"/>
          <w:vertAlign w:val="superscript"/>
        </w:rPr>
        <w:t>3–5</w:t>
      </w:r>
      <w:r w:rsidR="00D1192E">
        <w:fldChar w:fldCharType="end"/>
      </w:r>
      <w:r w:rsidRPr="00C46845">
        <w:t xml:space="preserve"> IEDB contains experimentally validated TCR-epitope interactions, with each association supported by direct evidence of binding. Its stringent curation results in a smaller but high-confidence dataset, comprising 8,187 TCR-</w:t>
      </w:r>
      <w:r>
        <w:t>e</w:t>
      </w:r>
      <w:r w:rsidRPr="00C46845">
        <w:t xml:space="preserve">pitope pairs, 7,682 unique TCRs, and 980 unique epitopes after filtering. </w:t>
      </w:r>
      <w:proofErr w:type="spellStart"/>
      <w:r w:rsidRPr="00C46845">
        <w:t>VDJdb</w:t>
      </w:r>
      <w:proofErr w:type="spellEnd"/>
      <w:r w:rsidRPr="00C46845">
        <w:t xml:space="preserve"> similarly contains experimentally supported TCR-epitope associations but aggregates records from a broader range of studies, resulting in a substantially larger dataset. After filtering, </w:t>
      </w:r>
      <w:proofErr w:type="spellStart"/>
      <w:r w:rsidRPr="00C46845">
        <w:t>VDJdb</w:t>
      </w:r>
      <w:proofErr w:type="spellEnd"/>
      <w:r w:rsidRPr="00C46845">
        <w:t xml:space="preserve"> contained 71,686 pairs, 69,337 unique TCRs, and 1,352 unique epitopes.</w:t>
      </w:r>
    </w:p>
    <w:p w14:paraId="6F3BECF7" w14:textId="743EFE96" w:rsidR="007D115F" w:rsidRDefault="00C46845" w:rsidP="007D115F">
      <w:pPr>
        <w:spacing w:line="300" w:lineRule="exact"/>
        <w:ind w:firstLine="357"/>
        <w:jc w:val="both"/>
        <w:rPr>
          <w:sz w:val="24"/>
        </w:rPr>
      </w:pPr>
      <w:proofErr w:type="spellStart"/>
      <w:r w:rsidRPr="00C46845">
        <w:rPr>
          <w:sz w:val="24"/>
        </w:rPr>
        <w:t>McPAS</w:t>
      </w:r>
      <w:proofErr w:type="spellEnd"/>
      <w:r w:rsidRPr="00C46845">
        <w:rPr>
          <w:sz w:val="24"/>
        </w:rPr>
        <w:t xml:space="preserve">-TCR differs from IEDB and </w:t>
      </w:r>
      <w:proofErr w:type="spellStart"/>
      <w:r w:rsidRPr="00C46845">
        <w:rPr>
          <w:sz w:val="24"/>
        </w:rPr>
        <w:t>VDJdb</w:t>
      </w:r>
      <w:proofErr w:type="spellEnd"/>
      <w:r w:rsidRPr="00C46845">
        <w:rPr>
          <w:sz w:val="24"/>
        </w:rPr>
        <w:t xml:space="preserve"> in the nature of its annotations. Rather than exclusively cataloging directly validated TCR-epitope binding events, </w:t>
      </w:r>
      <w:proofErr w:type="spellStart"/>
      <w:r w:rsidRPr="00C46845">
        <w:rPr>
          <w:sz w:val="24"/>
        </w:rPr>
        <w:t>McPAS</w:t>
      </w:r>
      <w:proofErr w:type="spellEnd"/>
      <w:r w:rsidRPr="00C46845">
        <w:rPr>
          <w:sz w:val="24"/>
        </w:rPr>
        <w:t xml:space="preserve">-TCR associates TCR sequences with disease-related antigens and pathological contexts, including cancer, autoimmune disease, and infection. Consequently, some TCR-epitope associations may reflect disease or antigen context rather than direct experimental confirmation of binding. After filtering, </w:t>
      </w:r>
      <w:proofErr w:type="spellStart"/>
      <w:r w:rsidRPr="00C46845">
        <w:rPr>
          <w:sz w:val="24"/>
        </w:rPr>
        <w:t>McPAS</w:t>
      </w:r>
      <w:proofErr w:type="spellEnd"/>
      <w:r w:rsidRPr="00C46845">
        <w:rPr>
          <w:sz w:val="24"/>
        </w:rPr>
        <w:t xml:space="preserve">-TCR </w:t>
      </w:r>
      <w:r w:rsidR="00E8306D">
        <w:rPr>
          <w:sz w:val="24"/>
        </w:rPr>
        <w:t>contained</w:t>
      </w:r>
      <w:r w:rsidRPr="00C46845">
        <w:rPr>
          <w:sz w:val="24"/>
        </w:rPr>
        <w:t xml:space="preserve"> </w:t>
      </w:r>
      <w:r w:rsidR="00E8306D">
        <w:rPr>
          <w:sz w:val="24"/>
        </w:rPr>
        <w:t>996</w:t>
      </w:r>
      <w:r w:rsidRPr="00C46845">
        <w:rPr>
          <w:sz w:val="24"/>
        </w:rPr>
        <w:t xml:space="preserve"> </w:t>
      </w:r>
      <w:r w:rsidR="00E8306D">
        <w:rPr>
          <w:sz w:val="24"/>
        </w:rPr>
        <w:t>TCR-epitope pairs, corresponding to</w:t>
      </w:r>
      <w:r w:rsidRPr="00C46845">
        <w:rPr>
          <w:sz w:val="24"/>
        </w:rPr>
        <w:t xml:space="preserve"> </w:t>
      </w:r>
      <w:r w:rsidR="00E8306D">
        <w:rPr>
          <w:sz w:val="24"/>
        </w:rPr>
        <w:t xml:space="preserve">941 </w:t>
      </w:r>
      <w:r w:rsidRPr="00C46845">
        <w:rPr>
          <w:sz w:val="24"/>
        </w:rPr>
        <w:t>TCR</w:t>
      </w:r>
      <w:r w:rsidR="00E8306D">
        <w:rPr>
          <w:sz w:val="24"/>
        </w:rPr>
        <w:t>s</w:t>
      </w:r>
      <w:r w:rsidRPr="00C46845">
        <w:rPr>
          <w:sz w:val="24"/>
        </w:rPr>
        <w:t xml:space="preserve"> and 32 epitope</w:t>
      </w:r>
      <w:r w:rsidR="007D115F">
        <w:rPr>
          <w:sz w:val="24"/>
        </w:rPr>
        <w:t>s.</w:t>
      </w:r>
      <w:r w:rsidR="003C2117">
        <w:rPr>
          <w:sz w:val="24"/>
        </w:rPr>
        <w:t xml:space="preserve"> </w:t>
      </w:r>
      <w:r w:rsidR="007D115F" w:rsidRPr="007D115F">
        <w:rPr>
          <w:sz w:val="24"/>
        </w:rPr>
        <w:t>All three datasets originally included both human and mouse TCR sequences. To maintain consistency with the human-focused scope of this study, only human entries were retained for subsequent analyses.</w:t>
      </w:r>
    </w:p>
    <w:p w14:paraId="62001B2A" w14:textId="662B5A0B" w:rsidR="00D750EF" w:rsidRPr="007D115F" w:rsidRDefault="00D750EF" w:rsidP="00D750EF">
      <w:pPr>
        <w:spacing w:line="300" w:lineRule="exact"/>
        <w:jc w:val="both"/>
        <w:rPr>
          <w:sz w:val="24"/>
        </w:rPr>
      </w:pPr>
    </w:p>
    <w:p w14:paraId="4E9C1F15" w14:textId="1053277D" w:rsidR="003E7893" w:rsidRDefault="007D115F" w:rsidP="00B217E4">
      <w:pPr>
        <w:pStyle w:val="Heading2"/>
      </w:pPr>
      <w:r>
        <w:t>Model Architecture</w:t>
      </w:r>
    </w:p>
    <w:p w14:paraId="566154C0" w14:textId="77CDD6EA" w:rsidR="003E7893" w:rsidRDefault="007D115F" w:rsidP="007D115F">
      <w:pPr>
        <w:pStyle w:val="NormalWeb"/>
        <w:spacing w:before="0" w:beforeAutospacing="0" w:after="0" w:afterAutospacing="0" w:line="300" w:lineRule="exact"/>
        <w:jc w:val="both"/>
        <w:rPr>
          <w:szCs w:val="20"/>
          <w:lang w:val="en-US" w:eastAsia="en-US"/>
        </w:rPr>
      </w:pPr>
      <w:proofErr w:type="spellStart"/>
      <w:r w:rsidRPr="007D115F">
        <w:rPr>
          <w:szCs w:val="20"/>
          <w:lang w:val="en-US" w:eastAsia="en-US"/>
        </w:rPr>
        <w:t>GraphTCR</w:t>
      </w:r>
      <w:proofErr w:type="spellEnd"/>
      <w:r w:rsidRPr="007D115F">
        <w:rPr>
          <w:szCs w:val="20"/>
          <w:lang w:val="en-US" w:eastAsia="en-US"/>
        </w:rPr>
        <w:t>-Mamba formulates TCR-epitope association prediction as a link-prediction task on a heterogeneous graph comprising TCR and epitope nodes.</w:t>
      </w:r>
      <w:r w:rsidR="00147DF9">
        <w:rPr>
          <w:szCs w:val="20"/>
          <w:lang w:val="en-US" w:eastAsia="en-US"/>
        </w:rPr>
        <w:t xml:space="preserve"> Fig. 1 shows the architecture of the model. T</w:t>
      </w:r>
      <w:r w:rsidRPr="007D115F">
        <w:rPr>
          <w:szCs w:val="20"/>
          <w:lang w:val="en-US" w:eastAsia="en-US"/>
        </w:rPr>
        <w:t>he framework uses domain-specific Graph-Mamba encoders that integrate edge-aware local message passing with global selective state-space modeling. TCR and epitope similarity graphs are encoded separately, while observed training associations enable information exchange between the two domains. The resulting node representations are then used by an edge classifier to predict candidate TCR-epitope interactions. This architecture extends the graph-prioritized node serialization strategy of Graph-Mamba</w:t>
      </w:r>
      <w:r w:rsidR="00C14221">
        <w:rPr>
          <w:szCs w:val="20"/>
          <w:lang w:val="en-US" w:eastAsia="en-US"/>
        </w:rPr>
        <w:fldChar w:fldCharType="begin"/>
      </w:r>
      <w:r w:rsidR="00C14221">
        <w:rPr>
          <w:szCs w:val="20"/>
          <w:lang w:val="en-US" w:eastAsia="en-US"/>
        </w:rPr>
        <w:instrText xml:space="preserve"> ADDIN ZOTERO_ITEM CSL_CITATION {"citationID":"5RrN28ef","properties":{"unsorted":false,"formattedCitation":"\\super 6\\nosupersub{}","plainCitation":"6","noteIndex":0},"citationItems":[{"id":183,"uris":["http://zotero.org/users/19718002/items/6WBR4LLH"],"itemData":{"id":183,"type":"webpage","abstract":"Attention mechanisms have been widely used to capture long-range dependencies among nodes in Graph Transformers. Bottlenecked by the quadratic computational cost, attention mechanisms fail to scale in large graphs. Recent improvements in computational efficiency are mainly achieved by attention sparsification with random or heuristic-based graph subsampling, which falls short in data-dependent context reasoning. State space models (SSMs), such as Mamba, have gained prominence for their effectiveness and efficiency in modeling long-range dependencies in sequential data. However, adapting SSMs to non-sequential graph data presents a notable challenge. In this work, we introduce Graph-Mamba, the first attempt to enhance long-range context modeling in graph networks by integrating a Mamba block with the input-dependent node selection mechanism. Specifically, we formulate graph-centric node prioritization and permutation strategies to enhance context-aware reasoning, leading to a substantial improvement in predictive performance. Extensive experiments on ten benchmark datasets demonstrate that Graph-Mamba outperforms state-of-the-art methods in long-range graph prediction tasks, with a fraction of the computational cost in both FLOPs and GPU memory consumption. The code and models are publicly available at https://github.com/bowang-lab/Graph-Mamba.","container-title":"arXiv.org","language":"en","title":"Graph-Mamba: Towards Long-Range Graph Sequence Modeling with Selective State Spaces","title-short":"Graph-Mamba","URL":"https://arxiv.org/abs/2402.00789v1","author":[{"family":"Wang","given":"Chloe"},{"family":"Tsepa","given":"Oleksii"},{"family":"Ma","given":"Jun"},{"family":"Wang","given":"Bo"}],"accessed":{"date-parts":[["2026",7,28]]},"issued":{"date-parts":[["2024",2,1]]}}}],"schema":"https://github.com/citation-style-language/schema/raw/master/csl-citation.json"} </w:instrText>
      </w:r>
      <w:r w:rsidR="00C14221">
        <w:rPr>
          <w:szCs w:val="20"/>
          <w:lang w:val="en-US" w:eastAsia="en-US"/>
        </w:rPr>
        <w:fldChar w:fldCharType="separate"/>
      </w:r>
      <w:r w:rsidR="00C14221" w:rsidRPr="00C14221">
        <w:rPr>
          <w:vertAlign w:val="superscript"/>
        </w:rPr>
        <w:t>6</w:t>
      </w:r>
      <w:r w:rsidR="00C14221">
        <w:rPr>
          <w:szCs w:val="20"/>
          <w:lang w:val="en-US" w:eastAsia="en-US"/>
        </w:rPr>
        <w:fldChar w:fldCharType="end"/>
      </w:r>
      <w:r>
        <w:rPr>
          <w:szCs w:val="20"/>
          <w:lang w:val="en-US" w:eastAsia="en-US"/>
        </w:rPr>
        <w:t xml:space="preserve"> </w:t>
      </w:r>
      <w:r w:rsidRPr="007D115F">
        <w:rPr>
          <w:szCs w:val="20"/>
          <w:lang w:val="en-US" w:eastAsia="en-US"/>
        </w:rPr>
        <w:t>to heterogeneous TCR-epitope graphs while retaining the efficient selective state-space modeling of Mamba</w:t>
      </w:r>
      <w:r w:rsidR="00D1192E">
        <w:rPr>
          <w:szCs w:val="20"/>
          <w:lang w:val="en-US" w:eastAsia="en-US"/>
        </w:rPr>
        <w:t>.</w:t>
      </w:r>
      <w:r w:rsidR="00C14221">
        <w:rPr>
          <w:szCs w:val="20"/>
          <w:lang w:val="en-US" w:eastAsia="en-US"/>
        </w:rPr>
        <w:fldChar w:fldCharType="begin"/>
      </w:r>
      <w:r w:rsidR="00C61D6B">
        <w:rPr>
          <w:szCs w:val="20"/>
          <w:lang w:val="en-US" w:eastAsia="en-US"/>
        </w:rPr>
        <w:instrText xml:space="preserve"> ADDIN ZOTERO_ITEM CSL_CITATION {"citationID":"onlZLZ8N","properties":{"unsorted":false,"formattedCitation":"\\super 7\\nosupersub{}","plainCitation":"7","noteIndex":0},"citationItems":[{"id":185,"uris":["http://zotero.org/users/19718002/items/3BQNQ6UP"],"itemData":{"id":185,"type":"article","abstract":"Foundation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evaluation.","DOI":"10.48550/arXiv.2312.00752","note":"arXiv:2312.00752 [cs.LG]","number":"arXiv:2312.00752","publisher":"arXiv","source":"arXiv.org","title":"Mamba: Linear-Time Sequence Modeling with Selective State Spaces","title-short":"Mamba","URL":"http://arxiv.org/abs/2312.00752","author":[{"family":"Gu","given":"Albert"},{"family":"Dao","given":"Tri"}],"accessed":{"date-parts":[["2026",7,28]]},"issued":{"date-parts":[["2024",5,31]]}}}],"schema":"https://github.com/citation-style-language/schema/raw/master/csl-citation.json"} </w:instrText>
      </w:r>
      <w:r w:rsidR="00C14221">
        <w:rPr>
          <w:szCs w:val="20"/>
          <w:lang w:val="en-US" w:eastAsia="en-US"/>
        </w:rPr>
        <w:fldChar w:fldCharType="separate"/>
      </w:r>
      <w:r w:rsidR="00C61D6B" w:rsidRPr="00C61D6B">
        <w:rPr>
          <w:vertAlign w:val="superscript"/>
        </w:rPr>
        <w:t>7</w:t>
      </w:r>
      <w:r w:rsidR="00C14221">
        <w:rPr>
          <w:szCs w:val="20"/>
          <w:lang w:val="en-US" w:eastAsia="en-US"/>
        </w:rPr>
        <w:fldChar w:fldCharType="end"/>
      </w:r>
    </w:p>
    <w:p w14:paraId="369B3BD0" w14:textId="75094D69" w:rsidR="00D750EF" w:rsidRDefault="00D750EF" w:rsidP="007D115F">
      <w:pPr>
        <w:pStyle w:val="NormalWeb"/>
        <w:spacing w:before="0" w:beforeAutospacing="0" w:after="0" w:afterAutospacing="0" w:line="300" w:lineRule="exact"/>
        <w:jc w:val="both"/>
        <w:rPr>
          <w:szCs w:val="20"/>
          <w:lang w:val="en-US" w:eastAsia="en-US"/>
        </w:rPr>
      </w:pPr>
    </w:p>
    <w:p w14:paraId="033CBA1A" w14:textId="2EBABD27" w:rsidR="00D750EF" w:rsidRDefault="003C2117" w:rsidP="007D115F">
      <w:pPr>
        <w:pStyle w:val="NormalWeb"/>
        <w:spacing w:before="0" w:beforeAutospacing="0" w:after="0" w:afterAutospacing="0" w:line="300" w:lineRule="exact"/>
        <w:jc w:val="both"/>
        <w:rPr>
          <w:szCs w:val="20"/>
          <w:lang w:val="en-US" w:eastAsia="en-US"/>
        </w:rPr>
      </w:pPr>
      <w:r>
        <w:rPr>
          <w:noProof/>
        </w:rPr>
        <w:lastRenderedPageBreak/>
        <w:drawing>
          <wp:anchor distT="0" distB="0" distL="114300" distR="114300" simplePos="0" relativeHeight="251658240" behindDoc="1" locked="0" layoutInCell="1" allowOverlap="1" wp14:anchorId="77ACB1A4" wp14:editId="45E1688B">
            <wp:simplePos x="0" y="0"/>
            <wp:positionH relativeFrom="column">
              <wp:posOffset>610235</wp:posOffset>
            </wp:positionH>
            <wp:positionV relativeFrom="paragraph">
              <wp:posOffset>31115</wp:posOffset>
            </wp:positionV>
            <wp:extent cx="5377815" cy="3795395"/>
            <wp:effectExtent l="0" t="0" r="0" b="1905"/>
            <wp:wrapTight wrapText="bothSides">
              <wp:wrapPolygon edited="0">
                <wp:start x="0" y="0"/>
                <wp:lineTo x="0" y="21539"/>
                <wp:lineTo x="21526" y="21539"/>
                <wp:lineTo x="21526" y="0"/>
                <wp:lineTo x="0" y="0"/>
              </wp:wrapPolygon>
            </wp:wrapTight>
            <wp:docPr id="165416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61788" name="Picture 16541617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7815" cy="3795395"/>
                    </a:xfrm>
                    <a:prstGeom prst="rect">
                      <a:avLst/>
                    </a:prstGeom>
                  </pic:spPr>
                </pic:pic>
              </a:graphicData>
            </a:graphic>
            <wp14:sizeRelH relativeFrom="page">
              <wp14:pctWidth>0</wp14:pctWidth>
            </wp14:sizeRelH>
            <wp14:sizeRelV relativeFrom="page">
              <wp14:pctHeight>0</wp14:pctHeight>
            </wp14:sizeRelV>
          </wp:anchor>
        </w:drawing>
      </w:r>
    </w:p>
    <w:p w14:paraId="0BF87AB9" w14:textId="77777777" w:rsidR="00D750EF" w:rsidRDefault="00D750EF" w:rsidP="007D115F">
      <w:pPr>
        <w:pStyle w:val="NormalWeb"/>
        <w:spacing w:before="0" w:beforeAutospacing="0" w:after="0" w:afterAutospacing="0" w:line="300" w:lineRule="exact"/>
        <w:jc w:val="both"/>
        <w:rPr>
          <w:szCs w:val="20"/>
          <w:lang w:val="en-US" w:eastAsia="en-US"/>
        </w:rPr>
      </w:pPr>
    </w:p>
    <w:p w14:paraId="58E25BE8" w14:textId="77777777" w:rsidR="00D750EF" w:rsidRDefault="00D750EF" w:rsidP="007D115F">
      <w:pPr>
        <w:pStyle w:val="NormalWeb"/>
        <w:spacing w:before="0" w:beforeAutospacing="0" w:after="0" w:afterAutospacing="0" w:line="300" w:lineRule="exact"/>
        <w:jc w:val="both"/>
        <w:rPr>
          <w:szCs w:val="20"/>
          <w:lang w:val="en-US" w:eastAsia="en-US"/>
        </w:rPr>
      </w:pPr>
    </w:p>
    <w:p w14:paraId="5A3E5E79" w14:textId="77777777" w:rsidR="00D750EF" w:rsidRDefault="00D750EF" w:rsidP="007D115F">
      <w:pPr>
        <w:pStyle w:val="NormalWeb"/>
        <w:spacing w:before="0" w:beforeAutospacing="0" w:after="0" w:afterAutospacing="0" w:line="300" w:lineRule="exact"/>
        <w:jc w:val="both"/>
        <w:rPr>
          <w:szCs w:val="20"/>
          <w:lang w:val="en-US" w:eastAsia="en-US"/>
        </w:rPr>
      </w:pPr>
    </w:p>
    <w:p w14:paraId="19DB0074" w14:textId="77777777" w:rsidR="00D750EF" w:rsidRDefault="00D750EF" w:rsidP="007D115F">
      <w:pPr>
        <w:pStyle w:val="NormalWeb"/>
        <w:spacing w:before="0" w:beforeAutospacing="0" w:after="0" w:afterAutospacing="0" w:line="300" w:lineRule="exact"/>
        <w:jc w:val="both"/>
        <w:rPr>
          <w:szCs w:val="20"/>
          <w:lang w:val="en-US" w:eastAsia="en-US"/>
        </w:rPr>
      </w:pPr>
    </w:p>
    <w:p w14:paraId="68E69746" w14:textId="77777777" w:rsidR="00D750EF" w:rsidRDefault="00D750EF" w:rsidP="007D115F">
      <w:pPr>
        <w:pStyle w:val="NormalWeb"/>
        <w:spacing w:before="0" w:beforeAutospacing="0" w:after="0" w:afterAutospacing="0" w:line="300" w:lineRule="exact"/>
        <w:jc w:val="both"/>
        <w:rPr>
          <w:szCs w:val="20"/>
          <w:lang w:val="en-US" w:eastAsia="en-US"/>
        </w:rPr>
      </w:pPr>
    </w:p>
    <w:p w14:paraId="30F17C7A" w14:textId="77777777" w:rsidR="00D750EF" w:rsidRDefault="00D750EF" w:rsidP="007D115F">
      <w:pPr>
        <w:pStyle w:val="NormalWeb"/>
        <w:spacing w:before="0" w:beforeAutospacing="0" w:after="0" w:afterAutospacing="0" w:line="300" w:lineRule="exact"/>
        <w:jc w:val="both"/>
        <w:rPr>
          <w:szCs w:val="20"/>
          <w:lang w:val="en-US" w:eastAsia="en-US"/>
        </w:rPr>
      </w:pPr>
    </w:p>
    <w:p w14:paraId="4F7AA238" w14:textId="77777777" w:rsidR="00D750EF" w:rsidRDefault="00D750EF" w:rsidP="007D115F">
      <w:pPr>
        <w:pStyle w:val="NormalWeb"/>
        <w:spacing w:before="0" w:beforeAutospacing="0" w:after="0" w:afterAutospacing="0" w:line="300" w:lineRule="exact"/>
        <w:jc w:val="both"/>
        <w:rPr>
          <w:szCs w:val="20"/>
          <w:lang w:val="en-US" w:eastAsia="en-US"/>
        </w:rPr>
      </w:pPr>
    </w:p>
    <w:p w14:paraId="6A273A9F" w14:textId="77777777" w:rsidR="00D750EF" w:rsidRDefault="00D750EF" w:rsidP="007D115F">
      <w:pPr>
        <w:pStyle w:val="NormalWeb"/>
        <w:spacing w:before="0" w:beforeAutospacing="0" w:after="0" w:afterAutospacing="0" w:line="300" w:lineRule="exact"/>
        <w:jc w:val="both"/>
        <w:rPr>
          <w:szCs w:val="20"/>
          <w:lang w:val="en-US" w:eastAsia="en-US"/>
        </w:rPr>
      </w:pPr>
    </w:p>
    <w:p w14:paraId="7F6CB579" w14:textId="77777777" w:rsidR="00D750EF" w:rsidRDefault="00D750EF" w:rsidP="007D115F">
      <w:pPr>
        <w:pStyle w:val="NormalWeb"/>
        <w:spacing w:before="0" w:beforeAutospacing="0" w:after="0" w:afterAutospacing="0" w:line="300" w:lineRule="exact"/>
        <w:jc w:val="both"/>
        <w:rPr>
          <w:szCs w:val="20"/>
          <w:lang w:val="en-US" w:eastAsia="en-US"/>
        </w:rPr>
      </w:pPr>
    </w:p>
    <w:p w14:paraId="6DEDA7B1" w14:textId="77777777" w:rsidR="00D750EF" w:rsidRDefault="00D750EF" w:rsidP="007D115F">
      <w:pPr>
        <w:pStyle w:val="NormalWeb"/>
        <w:spacing w:before="0" w:beforeAutospacing="0" w:after="0" w:afterAutospacing="0" w:line="300" w:lineRule="exact"/>
        <w:jc w:val="both"/>
        <w:rPr>
          <w:szCs w:val="20"/>
          <w:lang w:val="en-US" w:eastAsia="en-US"/>
        </w:rPr>
      </w:pPr>
    </w:p>
    <w:p w14:paraId="2ED3869F" w14:textId="77777777" w:rsidR="00D750EF" w:rsidRDefault="00D750EF" w:rsidP="007D115F">
      <w:pPr>
        <w:pStyle w:val="NormalWeb"/>
        <w:spacing w:before="0" w:beforeAutospacing="0" w:after="0" w:afterAutospacing="0" w:line="300" w:lineRule="exact"/>
        <w:jc w:val="both"/>
        <w:rPr>
          <w:szCs w:val="20"/>
          <w:lang w:val="en-US" w:eastAsia="en-US"/>
        </w:rPr>
      </w:pPr>
    </w:p>
    <w:p w14:paraId="4DD13B07" w14:textId="77777777" w:rsidR="00D750EF" w:rsidRDefault="00D750EF" w:rsidP="007D115F">
      <w:pPr>
        <w:pStyle w:val="NormalWeb"/>
        <w:spacing w:before="0" w:beforeAutospacing="0" w:after="0" w:afterAutospacing="0" w:line="300" w:lineRule="exact"/>
        <w:jc w:val="both"/>
        <w:rPr>
          <w:szCs w:val="20"/>
          <w:lang w:val="en-US" w:eastAsia="en-US"/>
        </w:rPr>
      </w:pPr>
    </w:p>
    <w:p w14:paraId="15844964" w14:textId="77777777" w:rsidR="00D750EF" w:rsidRDefault="00D750EF" w:rsidP="007D115F">
      <w:pPr>
        <w:pStyle w:val="NormalWeb"/>
        <w:spacing w:before="0" w:beforeAutospacing="0" w:after="0" w:afterAutospacing="0" w:line="300" w:lineRule="exact"/>
        <w:jc w:val="both"/>
        <w:rPr>
          <w:szCs w:val="20"/>
          <w:lang w:val="en-US" w:eastAsia="en-US"/>
        </w:rPr>
      </w:pPr>
    </w:p>
    <w:p w14:paraId="15611B3C" w14:textId="77777777" w:rsidR="00D750EF" w:rsidRDefault="00D750EF" w:rsidP="007D115F">
      <w:pPr>
        <w:pStyle w:val="NormalWeb"/>
        <w:spacing w:before="0" w:beforeAutospacing="0" w:after="0" w:afterAutospacing="0" w:line="300" w:lineRule="exact"/>
        <w:jc w:val="both"/>
        <w:rPr>
          <w:szCs w:val="20"/>
          <w:lang w:val="en-US" w:eastAsia="en-US"/>
        </w:rPr>
      </w:pPr>
    </w:p>
    <w:p w14:paraId="4CB8E914" w14:textId="77777777" w:rsidR="00D750EF" w:rsidRDefault="00D750EF" w:rsidP="007D115F">
      <w:pPr>
        <w:pStyle w:val="NormalWeb"/>
        <w:spacing w:before="0" w:beforeAutospacing="0" w:after="0" w:afterAutospacing="0" w:line="300" w:lineRule="exact"/>
        <w:jc w:val="both"/>
        <w:rPr>
          <w:szCs w:val="20"/>
          <w:lang w:val="en-US" w:eastAsia="en-US"/>
        </w:rPr>
      </w:pPr>
    </w:p>
    <w:p w14:paraId="64928894" w14:textId="77777777" w:rsidR="00D750EF" w:rsidRDefault="00D750EF" w:rsidP="007D115F">
      <w:pPr>
        <w:pStyle w:val="NormalWeb"/>
        <w:spacing w:before="0" w:beforeAutospacing="0" w:after="0" w:afterAutospacing="0" w:line="300" w:lineRule="exact"/>
        <w:jc w:val="both"/>
        <w:rPr>
          <w:szCs w:val="20"/>
          <w:lang w:val="en-US" w:eastAsia="en-US"/>
        </w:rPr>
      </w:pPr>
    </w:p>
    <w:p w14:paraId="4B10F44D" w14:textId="77777777" w:rsidR="00D750EF" w:rsidRDefault="00D750EF" w:rsidP="007D115F">
      <w:pPr>
        <w:pStyle w:val="NormalWeb"/>
        <w:spacing w:before="0" w:beforeAutospacing="0" w:after="0" w:afterAutospacing="0" w:line="300" w:lineRule="exact"/>
        <w:jc w:val="both"/>
        <w:rPr>
          <w:szCs w:val="20"/>
          <w:lang w:val="en-US" w:eastAsia="en-US"/>
        </w:rPr>
      </w:pPr>
    </w:p>
    <w:p w14:paraId="1546E48B" w14:textId="77777777" w:rsidR="00D750EF" w:rsidRDefault="00D750EF" w:rsidP="007D115F">
      <w:pPr>
        <w:pStyle w:val="NormalWeb"/>
        <w:spacing w:before="0" w:beforeAutospacing="0" w:after="0" w:afterAutospacing="0" w:line="300" w:lineRule="exact"/>
        <w:jc w:val="both"/>
        <w:rPr>
          <w:szCs w:val="20"/>
          <w:lang w:val="en-US" w:eastAsia="en-US"/>
        </w:rPr>
      </w:pPr>
    </w:p>
    <w:p w14:paraId="195B5AA1" w14:textId="77777777" w:rsidR="00D750EF" w:rsidRDefault="00D750EF" w:rsidP="007D115F">
      <w:pPr>
        <w:pStyle w:val="NormalWeb"/>
        <w:spacing w:before="0" w:beforeAutospacing="0" w:after="0" w:afterAutospacing="0" w:line="300" w:lineRule="exact"/>
        <w:jc w:val="both"/>
        <w:rPr>
          <w:szCs w:val="20"/>
          <w:lang w:val="en-US" w:eastAsia="en-US"/>
        </w:rPr>
      </w:pPr>
    </w:p>
    <w:p w14:paraId="70C512BE" w14:textId="4CF75B75" w:rsidR="00D750EF" w:rsidRPr="00D750EF" w:rsidRDefault="00D750EF" w:rsidP="003C2117">
      <w:pPr>
        <w:pStyle w:val="Caption"/>
      </w:pPr>
      <w:r>
        <w:t>Fig. 1.  </w:t>
      </w:r>
      <w:r w:rsidRPr="0077318A">
        <w:t xml:space="preserve">Overview of the </w:t>
      </w:r>
      <w:proofErr w:type="spellStart"/>
      <w:r w:rsidRPr="0077318A">
        <w:t>GraphTCR</w:t>
      </w:r>
      <w:proofErr w:type="spellEnd"/>
      <w:r w:rsidRPr="0077318A">
        <w:t>-Mamba architecture. TCR and epitope sequences are processed through parallel, domain-specific branches: pretrained language model embeddings (</w:t>
      </w:r>
      <w:proofErr w:type="spellStart"/>
      <w:r>
        <w:t>BertTCR</w:t>
      </w:r>
      <w:proofErr w:type="spellEnd"/>
      <w:r w:rsidRPr="0077318A">
        <w:t xml:space="preserve"> and ESM-2) augmented with Laplacian positional encodings, followed by similarity-graph construction and stacked Graph-Mamba blocks combining local graph attention with global Mamba mixing via gated fusion. The two branches then exchange information through bidirectional cross-attention over observed training associations before a final edge classifier scores each candidate pair</w:t>
      </w:r>
      <w:r>
        <w:t>.</w:t>
      </w:r>
    </w:p>
    <w:p w14:paraId="60DEF0F2" w14:textId="76DC0564" w:rsidR="00147DF9" w:rsidRPr="00147DF9" w:rsidRDefault="00147DF9" w:rsidP="00A254FD">
      <w:pPr>
        <w:pStyle w:val="Heading3"/>
        <w:ind w:left="0" w:right="357"/>
      </w:pPr>
      <w:r>
        <w:t>Node features and graph structure</w:t>
      </w:r>
    </w:p>
    <w:p w14:paraId="61FB4B4E" w14:textId="429C2D70" w:rsidR="00E370FA" w:rsidRDefault="00E370FA" w:rsidP="00147DF9">
      <w:pPr>
        <w:pStyle w:val="spara"/>
      </w:pPr>
      <w:bookmarkStart w:id="0" w:name="OLE_LINK1"/>
      <w:r w:rsidRPr="00E370FA">
        <w:t>For each</w:t>
      </w:r>
      <w:r w:rsidR="003B12CD">
        <w:t xml:space="preserve"> TCR with</w:t>
      </w:r>
      <w:r w:rsidRPr="00E370FA">
        <w:t xml:space="preserve"> paired </w:t>
      </w:r>
      <w:r w:rsidR="003B12CD" w:rsidRPr="003B12CD">
        <w:t>CDR3α and CDR3β</w:t>
      </w:r>
      <w:r w:rsidR="003B12CD">
        <w:t xml:space="preserve"> sequences</w:t>
      </w:r>
      <w:r w:rsidRPr="00E370FA">
        <w:t xml:space="preserve">, 768-dimensional mean-pooled </w:t>
      </w:r>
      <w:r w:rsidR="00C61D6B">
        <w:t>B</w:t>
      </w:r>
      <w:r w:rsidR="00EA0468">
        <w:t>ert</w:t>
      </w:r>
      <w:r w:rsidR="00C61D6B">
        <w:t>TCR</w:t>
      </w:r>
      <w:r w:rsidR="00C61D6B">
        <w:fldChar w:fldCharType="begin"/>
      </w:r>
      <w:r w:rsidR="00C61D6B">
        <w:instrText xml:space="preserve"> ADDIN ZOTERO_ITEM CSL_CITATION {"citationID":"TeT2fU2Q","properties":{"unsorted":false,"formattedCitation":"\\super 8\\nosupersub{}","plainCitation":"8","noteIndex":0},"citationItems":[{"id":126,"uris":["http://zotero.org/users/19718002/items/N9WDX5AF"],"itemData":{"id":126,"type":"article-journal","abstract":"The T cell receptor (TCR) repertoire is pivotal to the human immune system, and understanding its nuances can significantly enhance our ability to forecast cancer-related immune responses. However, existing methods often overlook the intra- and inter-sequence interactions of T cell receptors (TCRs), limiting the development of sequence-based cancer-related immune status predictions. To address this challenge, we propose BertTCR, an innovative deep learning framework designed to predict cancer-related immune status using TCRs. BertTCR combines a pre-trained protein large language model with deep learning architectures, enabling it to extract deeper contextual information from TCRs. Compared to three state-of-the-art sequence-based methods, BertTCR improves the AUC on an external validation set for thyroid cancer detection by 21 percentage points. Additionally, this model was trained on over 2000 publicly available TCR libraries covering 17 types of cancer and healthy samples, and it has been validated on multiple public external datasets for its ability to distinguish cancer patients from healthy individuals. Furthermore, BertTCR can accurately classify various cancer types and healthy individuals. Overall, BertTCR is the advancing method for cancer-related immune status forecasting based on TCRs, offering promising potential for a wide range of immune status prediction tasks.","container-title":"Briefings in Bioinformatics","DOI":"10.1093/bib/bbae420","ISSN":"1477-4054","issue":"5","journalAbbreviation":"Brief Bioinform","page":"bbae420","source":"Silverchair","title":"BertTCR: a Bert-based deep learning framework for predicting cancer-related immune status based on T cell receptor repertoire","title-short":"BertTCR","volume":"25","author":[{"family":"Zhang","given":"Min"},{"family":"Cheng","given":"Qi"},{"family":"Wei","given":"Zhenyu"},{"family":"Xu","given":"Jiayu"},{"family":"Wu","given":"Shiwei"},{"family":"Xu","given":"Nan"},{"family":"Zhao","given":"Chengkui"},{"family":"Yu","given":"Lei"},{"family":"Feng","given":"Weixing"}],"issued":{"date-parts":[["2024",9,1]]}}}],"schema":"https://github.com/citation-style-language/schema/raw/master/csl-citation.json"} </w:instrText>
      </w:r>
      <w:r w:rsidR="00C61D6B">
        <w:fldChar w:fldCharType="separate"/>
      </w:r>
      <w:r w:rsidR="00C61D6B" w:rsidRPr="00C61D6B">
        <w:rPr>
          <w:szCs w:val="24"/>
          <w:vertAlign w:val="superscript"/>
        </w:rPr>
        <w:t>8</w:t>
      </w:r>
      <w:r w:rsidR="00C61D6B">
        <w:fldChar w:fldCharType="end"/>
      </w:r>
      <w:r w:rsidR="00C61D6B">
        <w:t xml:space="preserve"> </w:t>
      </w:r>
      <w:r w:rsidRPr="00E370FA">
        <w:t xml:space="preserve">embeddings of the </w:t>
      </w:r>
      <w:r w:rsidR="00874AE8">
        <w:t>CDR</w:t>
      </w:r>
      <w:r w:rsidRPr="00147DF9">
        <w:t>3α</w:t>
      </w:r>
      <w:r w:rsidRPr="00E370FA">
        <w:t xml:space="preserve"> and CDR</w:t>
      </w:r>
      <w:r w:rsidRPr="00147DF9">
        <w:t>3β</w:t>
      </w:r>
      <w:r w:rsidRPr="00E370FA">
        <w:t xml:space="preserve"> sequences were concatenated to obtain </w:t>
      </w:r>
      <w:r>
        <w:t>the</w:t>
      </w:r>
      <w:r w:rsidRPr="00E370FA">
        <w:t xml:space="preserve"> TCR representation. Epitopes were represented by 1,280-dimensional mean-pooled embeddings from </w:t>
      </w:r>
      <w:r>
        <w:t>the</w:t>
      </w:r>
      <w:r w:rsidRPr="00E370FA">
        <w:t xml:space="preserve"> ESM-2 model</w:t>
      </w:r>
      <w:r w:rsidR="00D1192E">
        <w:t>.</w:t>
      </w:r>
      <w:r w:rsidR="00C61D6B">
        <w:fldChar w:fldCharType="begin"/>
      </w:r>
      <w:r w:rsidR="00C61D6B">
        <w:instrText xml:space="preserve"> ADDIN ZOTERO_ITEM CSL_CITATION {"citationID":"lhBOkvxf","properties":{"unsorted":false,"formattedCitation":"\\super 9\\nosupersub{}","plainCitation":"9","noteIndex":0},"citationItems":[{"id":153,"uris":["http://zotero.org/users/19718002/items/YRNUGK9W"],"itemData":{"id":153,"type":"article-journal","abstract":"Recent advances in machine learning have leveraged evolutionary information in multiple sequence alignments to predict protein structure. We demonstrate direct inference of full atomic-level protein structure from primary sequence using a large language model. As language models of protein sequences are scaled up to 15 billion parameters, an atomic-resolution picture of protein structure emerges in the learned representations. This results in an order-of-magnitude acceleration of high-resolution structure prediction, which enables large-scale structural characterization of metagenomic proteins. We apply this capability to construct the ESM Metagenomic Atlas by predicting structures for &gt;617 million metagenomic protein sequences, including &gt;225 million that are predicted with high confidence, which gives a view into the vast breadth and diversity of natural proteins.","container-title":"Science","DOI":"10.1126/science.ade2574","issue":"6637","page":"1123-1130","publisher":"American Association for the Advancement of Science","source":"science.org (Atypon)","title":"Evolutionary-scale prediction of atomic-level protein structure with a language model","volume":"379","author":[{"family":"Lin","given":"Zeming"},{"family":"Akin","given":"Halil"},{"family":"Rao","given":"Roshan"},{"family":"Hie","given":"Brian"},{"family":"Zhu","given":"Zhongkai"},{"family":"Lu","given":"Wenting"},{"family":"Smetanin","given":"Nikita"},{"family":"Verkuil","given":"Robert"},{"family":"Kabeli","given":"Ori"},{"family":"Shmueli","given":"Yaniv"},{"family":"Santos Costa","given":"Allan","non-dropping-particle":"dos"},{"family":"Fazel-Zarandi","given":"Maryam"},{"family":"Sercu","given":"Tom"},{"family":"Candido","given":"Salvatore"},{"family":"Rives","given":"Alexander"}],"issued":{"date-parts":[["2023",3,17]]}}}],"schema":"https://github.com/citation-style-language/schema/raw/master/csl-citation.json"} </w:instrText>
      </w:r>
      <w:r w:rsidR="00C61D6B">
        <w:fldChar w:fldCharType="separate"/>
      </w:r>
      <w:r w:rsidR="00C61D6B" w:rsidRPr="00C61D6B">
        <w:rPr>
          <w:szCs w:val="24"/>
          <w:vertAlign w:val="superscript"/>
        </w:rPr>
        <w:t>9</w:t>
      </w:r>
      <w:r w:rsidR="00C61D6B">
        <w:fldChar w:fldCharType="end"/>
      </w:r>
      <w:r w:rsidRPr="00E370FA">
        <w:t xml:space="preserve"> Type-specific linear layers, followed by layer normalization and </w:t>
      </w:r>
      <w:proofErr w:type="spellStart"/>
      <w:r w:rsidRPr="00E370FA">
        <w:t>ReLU</w:t>
      </w:r>
      <w:proofErr w:type="spellEnd"/>
      <w:r w:rsidRPr="00E370FA">
        <w:t xml:space="preserve"> activation, projected the TCR and epitope representations into a shared hidden space</w:t>
      </w:r>
      <w:r>
        <w:t>.</w:t>
      </w:r>
    </w:p>
    <w:p w14:paraId="63CE6D72" w14:textId="4F1E95B1" w:rsidR="00147DF9" w:rsidRPr="00E370FA" w:rsidRDefault="00E370FA" w:rsidP="00E370FA">
      <w:pPr>
        <w:spacing w:line="300" w:lineRule="exact"/>
        <w:ind w:firstLine="357"/>
        <w:jc w:val="both"/>
        <w:rPr>
          <w:sz w:val="24"/>
        </w:rPr>
      </w:pPr>
      <w:r w:rsidRPr="00E370FA">
        <w:rPr>
          <w:sz w:val="24"/>
        </w:rPr>
        <w:t xml:space="preserve">Two undirected intra-type graphs were constructed from precomputed sequence similarities. Each TCR was connected to </w:t>
      </w:r>
      <w:r>
        <w:rPr>
          <w:sz w:val="24"/>
        </w:rPr>
        <w:t>its</w:t>
      </w:r>
      <w:r w:rsidRPr="00E370FA">
        <w:rPr>
          <w:sz w:val="24"/>
        </w:rPr>
        <w:t xml:space="preserve"> </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oMath>
      <w:r w:rsidRPr="00E370FA">
        <w:rPr>
          <w:sz w:val="24"/>
        </w:rPr>
        <w:t xml:space="preserve"> nearest TCR neighbors, and each epitope </w:t>
      </w:r>
      <w:r w:rsidR="005D7D1A">
        <w:rPr>
          <w:sz w:val="24"/>
        </w:rPr>
        <w:t xml:space="preserve">was connected </w:t>
      </w:r>
      <w:r w:rsidRPr="00E370FA">
        <w:rPr>
          <w:sz w:val="24"/>
        </w:rPr>
        <w:t>to up to</w:t>
      </w:r>
      <w:r w:rsidR="00C61D6B">
        <w:rPr>
          <w:sz w:val="24"/>
        </w:rPr>
        <w:t xml:space="preserve"> </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e</m:t>
            </m:r>
          </m:sub>
        </m:sSub>
      </m:oMath>
      <w:r w:rsidRPr="00E370FA">
        <w:rPr>
          <w:sz w:val="24"/>
        </w:rPr>
        <w:t xml:space="preserve"> nearest epitope neighbors, with the pairwise similarity</w:t>
      </w:r>
      <w:r w:rsidR="00C61D6B">
        <w:rPr>
          <w:sz w:val="24"/>
        </w:rPr>
        <w:t xml:space="preserve"> </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oMath>
      <w:r w:rsidRPr="00E370FA">
        <w:rPr>
          <w:sz w:val="24"/>
        </w:rPr>
        <w:t xml:space="preserve"> retained as an edge feature. Similarity was defined as an equally weighted combination of standardized </w:t>
      </w:r>
      <w:r w:rsidR="00C61D6B">
        <w:rPr>
          <w:sz w:val="24"/>
        </w:rPr>
        <w:t>k-</w:t>
      </w:r>
      <w:proofErr w:type="spellStart"/>
      <w:r w:rsidRPr="00E370FA">
        <w:rPr>
          <w:sz w:val="24"/>
        </w:rPr>
        <w:t>mer</w:t>
      </w:r>
      <w:proofErr w:type="spellEnd"/>
      <w:r w:rsidRPr="00E370FA">
        <w:rPr>
          <w:sz w:val="24"/>
        </w:rPr>
        <w:t xml:space="preserve"> cosine similarity and </w:t>
      </w:r>
      <w:proofErr w:type="spellStart"/>
      <w:r w:rsidRPr="00E370FA">
        <w:rPr>
          <w:sz w:val="24"/>
        </w:rPr>
        <w:t>AAindex</w:t>
      </w:r>
      <w:proofErr w:type="spellEnd"/>
      <w:r w:rsidRPr="00E370FA">
        <w:rPr>
          <w:sz w:val="24"/>
        </w:rPr>
        <w:t>-derived physicochemical cosine similarity</w:t>
      </w:r>
      <w:r w:rsidR="00D1192E">
        <w:rPr>
          <w:sz w:val="24"/>
        </w:rPr>
        <w:t>.</w:t>
      </w:r>
      <w:r w:rsidR="00C61D6B">
        <w:rPr>
          <w:sz w:val="24"/>
        </w:rPr>
        <w:fldChar w:fldCharType="begin"/>
      </w:r>
      <w:r w:rsidR="00C61D6B">
        <w:rPr>
          <w:sz w:val="24"/>
        </w:rPr>
        <w:instrText xml:space="preserve"> ADDIN ZOTERO_ITEM CSL_CITATION {"citationID":"wUg2tmHo","properties":{"unsorted":false,"formattedCitation":"\\super 10\\nosupersub{}","plainCitation":"10","noteIndex":0},"citationItems":[{"id":150,"uris":["http://zotero.org/users/19718002/items/IJDAF97Z"],"itemData":{"id":150,"type":"article-journal","abstract":"AAindex is a database of amino acid indices and amino acid mutation matrices. An amino acid index is a set of 20 numerical values representing various physico­-chemical and biochemical properties of amino acids. An amino acid mutation matrix is generally 20 × 20 numerical values representing similarity of amino acids. AAindex consists of two sections: AAindex1 for the collection of published amino acid indices and AAindex2 for the collection of published amino acid mutation matrices. Each entry of either AAindex1 or AAindex2 consists of the definition, the reference information, a list of related entries in terms of the correlation coefficient and the actual data. The database may be accessed through the DBGET/LinkDB system at GenomeNet (http://www.genome.ad.jp/aaindex/ ) or may be downloaded by anonymous FTP (ftp://ftp.genome.ad.jp/db/genomenet/aaindex/ ).","container-title":"Nucleic Acids Research","DOI":"10.1093/nar/28.1.374","ISSN":"0305-1048","issue":"1","journalAbbreviation":"Nucleic Acids Res","page":"374","source":"Silverchair","title":"AAindex: Amino Acid index database","title-short":"AAindex","volume":"28","author":[{"family":"Kawashima","given":"Shuichi"},{"family":"Kanehisa","given":"Minoru"}],"issued":{"date-parts":[["2000",1,1]]}}}],"schema":"https://github.com/citation-style-language/schema/raw/master/csl-citation.json"} </w:instrText>
      </w:r>
      <w:r w:rsidR="00C61D6B">
        <w:rPr>
          <w:sz w:val="24"/>
        </w:rPr>
        <w:fldChar w:fldCharType="separate"/>
      </w:r>
      <w:r w:rsidR="00C61D6B" w:rsidRPr="00C61D6B">
        <w:rPr>
          <w:sz w:val="24"/>
          <w:szCs w:val="24"/>
          <w:vertAlign w:val="superscript"/>
        </w:rPr>
        <w:t>10</w:t>
      </w:r>
      <w:r w:rsidR="00C61D6B">
        <w:rPr>
          <w:sz w:val="24"/>
        </w:rPr>
        <w:fldChar w:fldCharType="end"/>
      </w:r>
      <w:r w:rsidRPr="00E370FA">
        <w:rPr>
          <w:sz w:val="24"/>
        </w:rPr>
        <w:t xml:space="preserve"> </w:t>
      </w:r>
      <w:r>
        <w:rPr>
          <w:sz w:val="24"/>
        </w:rPr>
        <w:t>Known</w:t>
      </w:r>
      <w:r w:rsidRPr="00E370FA">
        <w:rPr>
          <w:sz w:val="24"/>
        </w:rPr>
        <w:t xml:space="preserve"> TCR-epitope binding pairs formed the cross-type </w:t>
      </w:r>
      <w:r w:rsidRPr="00E370FA">
        <w:rPr>
          <w:sz w:val="24"/>
        </w:rPr>
        <w:lastRenderedPageBreak/>
        <w:t>edge set. Within each cross-validation fold, only positive associations from the training partition were included in message passing, ensuring that held-out interactions were not exposed to the graph encoder.</w:t>
      </w:r>
    </w:p>
    <w:bookmarkEnd w:id="0"/>
    <w:p w14:paraId="2CBF3118" w14:textId="2AFCC0E0" w:rsidR="00832790" w:rsidRPr="00E370FA" w:rsidRDefault="00E370FA" w:rsidP="00832790">
      <w:pPr>
        <w:pStyle w:val="NormalWeb"/>
        <w:spacing w:before="0" w:beforeAutospacing="0" w:after="0" w:afterAutospacing="0" w:line="300" w:lineRule="exact"/>
        <w:ind w:firstLine="357"/>
        <w:jc w:val="both"/>
      </w:pPr>
      <w:r w:rsidRPr="00E370FA">
        <w:t xml:space="preserve">To encode position within each intra-type graph, the model </w:t>
      </w:r>
      <w:r>
        <w:t xml:space="preserve">additionally </w:t>
      </w:r>
      <w:r w:rsidRPr="00E370FA">
        <w:t>used the eight lowest non-trivial eigenvectors of the unweighted normalized graph Laplacian, a standard spectral positional encoding for graph networks</w:t>
      </w:r>
      <w:r w:rsidR="00D1192E">
        <w:t>.</w:t>
      </w:r>
      <w:r w:rsidR="00C61D6B">
        <w:fldChar w:fldCharType="begin"/>
      </w:r>
      <w:r w:rsidR="00C61D6B">
        <w:instrText xml:space="preserve"> ADDIN ZOTERO_ITEM CSL_CITATION {"citationID":"OqFv2TFa","properties":{"unsorted":false,"formattedCitation":"\\super 11\\nosupersub{}","plainCitation":"11","noteIndex":0},"citationItems":[{"id":102,"uris":["http://zotero.org/users/19718002/items/2ZVQ3L2P"],"itemData":{"id":102,"type":"article","abstract":"Graph neural networks (GNNs) are the primary tool for processing graph-structured data. Unfortunately, the most commonly used GNNs, called Message Passing Neural Networks (MPNNs) suffer from several fundamental limitations. To overcome these limitations, recent works have adapted the idea of positional encodings to graph data. This paper draws inspiration from the recent success of Laplacian-based positional encoding and defines a novel family of positional encoding schemes for graphs. We accomplish this by generalizing the optimization problem that defines the Laplace embedding to more general dissimilarity functions rather than the 2-norm used in the original formulation. This family of positional encodings is then instantiated by considering p-norms. We discuss a method for calculating these positional encoding schemes, implement it in PyTorch and demonstrate how the resulting positional encoding captures different properties of the graph. Furthermore, we demonstrate that this novel family of positional encodings can improve the expressive power of MPNNs. Lastly, we present preliminary experimental results.","DOI":"10.48550/arXiv.2210.15956","note":"arXiv:2210.15956 [cs]","number":"arXiv:2210.15956","publisher":"arXiv","source":"arXiv.org","title":"Generalized Laplacian Positional Encoding for Graph Representation Learning","URL":"http://arxiv.org/abs/2210.15956","author":[{"family":"Maskey","given":"Sohir"},{"family":"Parviz","given":"Ali"},{"family":"Thiessen","given":"Maximilian"},{"family":"Stärk","given":"Hannes"},{"family":"Sadikaj","given":"Ylli"},{"family":"Maron","given":"Haggai"}],"accessed":{"date-parts":[["2026",3,9]]},"issued":{"date-parts":[["2022",11,10]]}}}],"schema":"https://github.com/citation-style-language/schema/raw/master/csl-citation.json"} </w:instrText>
      </w:r>
      <w:r w:rsidR="00C61D6B">
        <w:fldChar w:fldCharType="separate"/>
      </w:r>
      <w:r w:rsidR="00C61D6B" w:rsidRPr="00C61D6B">
        <w:rPr>
          <w:vertAlign w:val="superscript"/>
        </w:rPr>
        <w:t>11</w:t>
      </w:r>
      <w:r w:rsidR="00C61D6B">
        <w:fldChar w:fldCharType="end"/>
      </w:r>
      <w:r w:rsidRPr="00E370FA">
        <w:t xml:space="preserve"> For adjacency matrix A and degree matrix 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71"/>
        <w:gridCol w:w="994"/>
      </w:tblGrid>
      <w:tr w:rsidR="00832790" w14:paraId="28A79215" w14:textId="77777777" w:rsidTr="00832790">
        <w:tc>
          <w:tcPr>
            <w:tcW w:w="1129" w:type="dxa"/>
          </w:tcPr>
          <w:p w14:paraId="7FCA83EF" w14:textId="77777777" w:rsidR="00832790" w:rsidRDefault="00832790" w:rsidP="00E370FA">
            <w:pPr>
              <w:pStyle w:val="NormalWeb"/>
              <w:spacing w:before="0" w:beforeAutospacing="0" w:after="0" w:afterAutospacing="0" w:line="300" w:lineRule="exact"/>
              <w:jc w:val="both"/>
            </w:pPr>
          </w:p>
        </w:tc>
        <w:tc>
          <w:tcPr>
            <w:tcW w:w="7371" w:type="dxa"/>
          </w:tcPr>
          <w:p w14:paraId="17345C7E" w14:textId="7866EAE9" w:rsidR="00832790" w:rsidRDefault="00832790" w:rsidP="00E370FA">
            <w:pPr>
              <w:pStyle w:val="NormalWeb"/>
              <w:spacing w:before="0" w:beforeAutospacing="0" w:after="0" w:afterAutospacing="0" w:line="300" w:lineRule="exact"/>
              <w:jc w:val="both"/>
            </w:pPr>
            <m:oMathPara>
              <m:oMath>
                <m:r>
                  <w:rPr>
                    <w:rFonts w:ascii="Cambria Math" w:hAnsi="Cambria Math"/>
                  </w:rPr>
                  <m:t>L</m:t>
                </m:r>
                <m:r>
                  <m:rPr>
                    <m:sty m:val="p"/>
                  </m:rPr>
                  <w:rPr>
                    <w:rFonts w:ascii="Cambria Math" w:hAnsi="Cambria Math"/>
                  </w:rPr>
                  <m:t xml:space="preserve"> = </m:t>
                </m:r>
                <m:r>
                  <w:rPr>
                    <w:rFonts w:ascii="Cambria Math" w:hAnsi="Cambria Math"/>
                  </w:rPr>
                  <m:t>I</m:t>
                </m:r>
                <m:r>
                  <m:rPr>
                    <m:sty m:val="p"/>
                  </m:rPr>
                  <w:rPr>
                    <w:rFonts w:ascii="Cambria Math" w:hAnsi="Cambria Math"/>
                  </w:rPr>
                  <m:t xml:space="preserve"> - </m:t>
                </m:r>
                <m:sSup>
                  <m:sSupPr>
                    <m:ctrlPr>
                      <w:rPr>
                        <w:rFonts w:ascii="Cambria Math" w:hAnsi="Cambria Math"/>
                      </w:rPr>
                    </m:ctrlPr>
                  </m:sSupPr>
                  <m:e>
                    <m:r>
                      <w:rPr>
                        <w:rFonts w:ascii="Cambria Math" w:hAnsi="Cambria Math"/>
                      </w:rPr>
                      <m:t>D</m:t>
                    </m:r>
                  </m:e>
                  <m:sup>
                    <m:r>
                      <m:rPr>
                        <m:sty m:val="p"/>
                      </m:rPr>
                      <w:rPr>
                        <w:rFonts w:ascii="Cambria Math" w:hAnsi="Cambria Math"/>
                      </w:rPr>
                      <m:t>-1/2</m:t>
                    </m:r>
                  </m:sup>
                </m:sSup>
                <m:r>
                  <m:rPr>
                    <m:sty m:val="p"/>
                  </m:rPr>
                  <w:rPr>
                    <w:rFonts w:ascii="Cambria Math" w:hAnsi="Cambria Math"/>
                  </w:rPr>
                  <m:t xml:space="preserve"> A </m:t>
                </m:r>
                <m:sSup>
                  <m:sSupPr>
                    <m:ctrlPr>
                      <w:rPr>
                        <w:rFonts w:ascii="Cambria Math" w:hAnsi="Cambria Math"/>
                      </w:rPr>
                    </m:ctrlPr>
                  </m:sSupPr>
                  <m:e>
                    <m:r>
                      <w:rPr>
                        <w:rFonts w:ascii="Cambria Math" w:hAnsi="Cambria Math"/>
                      </w:rPr>
                      <m:t>D</m:t>
                    </m:r>
                  </m:e>
                  <m:sup>
                    <m:r>
                      <m:rPr>
                        <m:sty m:val="p"/>
                      </m:rPr>
                      <w:rPr>
                        <w:rFonts w:ascii="Cambria Math" w:hAnsi="Cambria Math"/>
                      </w:rPr>
                      <m:t>-1/2</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 xml:space="preserve">(i), …, </m:t>
                </m:r>
                <m:sSub>
                  <m:sSubPr>
                    <m:ctrlPr>
                      <w:rPr>
                        <w:rFonts w:ascii="Cambria Math" w:hAnsi="Cambria Math"/>
                      </w:rPr>
                    </m:ctrlPr>
                  </m:sSubPr>
                  <m:e>
                    <m:r>
                      <w:rPr>
                        <w:rFonts w:ascii="Cambria Math" w:hAnsi="Cambria Math"/>
                      </w:rPr>
                      <m:t>u</m:t>
                    </m:r>
                  </m:e>
                  <m:sub>
                    <m:r>
                      <w:rPr>
                        <w:rFonts w:ascii="Cambria Math" w:hAnsi="Cambria Math"/>
                      </w:rPr>
                      <m:t>9</m:t>
                    </m:r>
                  </m:sub>
                </m:sSub>
                <m:r>
                  <m:rPr>
                    <m:sty m:val="p"/>
                  </m:rPr>
                  <w:rPr>
                    <w:rFonts w:ascii="Cambria Math" w:hAnsi="Cambria Math"/>
                  </w:rPr>
                  <m:t>(i)]</m:t>
                </m:r>
              </m:oMath>
            </m:oMathPara>
          </w:p>
        </w:tc>
        <w:tc>
          <w:tcPr>
            <w:tcW w:w="994" w:type="dxa"/>
          </w:tcPr>
          <w:p w14:paraId="4ECCFA35" w14:textId="6078D43F" w:rsidR="00832790" w:rsidRDefault="00832790" w:rsidP="00832790">
            <w:pPr>
              <w:pStyle w:val="NormalWeb"/>
              <w:spacing w:before="0" w:beforeAutospacing="0" w:after="0" w:afterAutospacing="0" w:line="300" w:lineRule="exact"/>
              <w:jc w:val="right"/>
            </w:pPr>
            <w:r>
              <w:t>(1)</w:t>
            </w:r>
          </w:p>
        </w:tc>
      </w:tr>
    </w:tbl>
    <w:p w14:paraId="3D5D73A6" w14:textId="03A226DB" w:rsidR="0043661A" w:rsidRPr="00832790" w:rsidRDefault="00E370FA" w:rsidP="00E370FA">
      <w:pPr>
        <w:pStyle w:val="NormalWeb"/>
        <w:spacing w:before="0" w:beforeAutospacing="0" w:after="0" w:afterAutospacing="0" w:line="300" w:lineRule="exact"/>
        <w:jc w:val="both"/>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e</m:t>
            </m:r>
          </m:sub>
        </m:sSub>
      </m:oMath>
      <w:r>
        <w:t xml:space="preserve"> is the eigenvector associated with the </w:t>
      </w:r>
      <m:oMath>
        <m:r>
          <w:rPr>
            <w:rFonts w:ascii="Cambria Math" w:hAnsi="Cambria Math"/>
          </w:rPr>
          <m:t>e</m:t>
        </m:r>
      </m:oMath>
      <w:r>
        <w:t xml:space="preserve">th-smallest eigenvalue of L. The positional vector was layer-normalized, linearly projected, and added to the type-specific feature projection. Thus, for node </w:t>
      </w:r>
      <m:oMath>
        <m:r>
          <w:rPr>
            <w:rFonts w:ascii="Cambria Math" w:hAnsi="Cambria Math"/>
          </w:rPr>
          <m:t>i</m:t>
        </m:r>
      </m:oMath>
      <w:r>
        <w:t xml:space="preserve"> of type </w:t>
      </w:r>
      <m:oMath>
        <m:r>
          <w:rPr>
            <w:rFonts w:ascii="Cambria Math" w:hAnsi="Cambria Math"/>
          </w:rPr>
          <m:t>r∈</m:t>
        </m:r>
        <m:d>
          <m:dPr>
            <m:begChr m:val="{"/>
            <m:endChr m:val="}"/>
            <m:ctrlPr>
              <w:rPr>
                <w:rFonts w:ascii="Cambria Math" w:eastAsia="Times New Roman" w:hAnsi="Cambria Math"/>
                <w:i/>
              </w:rPr>
            </m:ctrlPr>
          </m:dPr>
          <m:e>
            <m:r>
              <w:rPr>
                <w:rFonts w:ascii="Cambria Math" w:hAnsi="Cambria Math"/>
              </w:rPr>
              <m:t>TCR, Epitope</m:t>
            </m:r>
          </m:e>
        </m:d>
      </m:oMath>
      <w:r w:rsidR="0043661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946"/>
        <w:gridCol w:w="1277"/>
      </w:tblGrid>
      <w:tr w:rsidR="00832790" w14:paraId="397A6B2E" w14:textId="77777777" w:rsidTr="00832790">
        <w:tc>
          <w:tcPr>
            <w:tcW w:w="1271" w:type="dxa"/>
          </w:tcPr>
          <w:p w14:paraId="3DA47D0B" w14:textId="77777777" w:rsidR="00832790" w:rsidRDefault="00832790" w:rsidP="00E370FA">
            <w:pPr>
              <w:pStyle w:val="NormalWeb"/>
              <w:spacing w:before="0" w:beforeAutospacing="0" w:after="0" w:afterAutospacing="0" w:line="300" w:lineRule="exact"/>
              <w:jc w:val="both"/>
            </w:pPr>
          </w:p>
        </w:tc>
        <w:tc>
          <w:tcPr>
            <w:tcW w:w="6946" w:type="dxa"/>
          </w:tcPr>
          <w:p w14:paraId="6A5DEB61" w14:textId="7D4F2995" w:rsidR="00832790" w:rsidRDefault="00000000" w:rsidP="00E370FA">
            <w:pPr>
              <w:pStyle w:val="NormalWeb"/>
              <w:spacing w:before="0" w:beforeAutospacing="0" w:after="0" w:afterAutospacing="0" w:line="300" w:lineRule="exact"/>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(0)</m:t>
                    </m:r>
                  </m:sup>
                </m:sSubSup>
                <m:r>
                  <m:rPr>
                    <m:sty m:val="p"/>
                  </m:rPr>
                  <w:rPr>
                    <w:rFonts w:ascii="Cambria Math" w:hAnsi="Cambria Math"/>
                  </w:rPr>
                  <m:t xml:space="preserve"> = ReLU(LN(</m:t>
                </m:r>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 xml:space="preserve"> 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277" w:type="dxa"/>
          </w:tcPr>
          <w:p w14:paraId="301BE705" w14:textId="713FCDDA" w:rsidR="00832790" w:rsidRDefault="00832790" w:rsidP="00832790">
            <w:pPr>
              <w:pStyle w:val="NormalWeb"/>
              <w:spacing w:before="0" w:beforeAutospacing="0" w:after="0" w:afterAutospacing="0" w:line="300" w:lineRule="exact"/>
              <w:jc w:val="right"/>
            </w:pPr>
            <w:r>
              <w:t>(2)</w:t>
            </w:r>
          </w:p>
        </w:tc>
      </w:tr>
    </w:tbl>
    <w:p w14:paraId="7CE6BCD9" w14:textId="2D6BCEA9" w:rsidR="0043661A" w:rsidRPr="00147DF9" w:rsidRDefault="0043661A" w:rsidP="00A254FD">
      <w:pPr>
        <w:pStyle w:val="Heading3"/>
        <w:ind w:left="0" w:right="357"/>
      </w:pPr>
      <w:r>
        <w:t>Intra-domain Graph-Mamba encoder</w:t>
      </w:r>
    </w:p>
    <w:p w14:paraId="784E8603" w14:textId="636185B5" w:rsidR="0043661A" w:rsidRDefault="0043661A" w:rsidP="00E370FA">
      <w:pPr>
        <w:pStyle w:val="NormalWeb"/>
        <w:spacing w:before="0" w:beforeAutospacing="0" w:after="0" w:afterAutospacing="0" w:line="300" w:lineRule="exact"/>
        <w:jc w:val="both"/>
      </w:pPr>
      <w:r>
        <w:t>E</w:t>
      </w:r>
      <w:r w:rsidRPr="0043661A">
        <w:t xml:space="preserve">ach node type was processed by its own stack of two Graph-Mamba blocks. A block first applies two-head, edge-aware graph attention over the sparse similarity graph. For destination node </w:t>
      </w:r>
      <m:oMath>
        <m:r>
          <w:rPr>
            <w:rFonts w:ascii="Cambria Math" w:hAnsi="Cambria Math"/>
          </w:rPr>
          <m:t>i</m:t>
        </m:r>
      </m:oMath>
      <w:r w:rsidRPr="0043661A">
        <w:t xml:space="preserve">, source neighbor </w:t>
      </w:r>
      <m:oMath>
        <m:r>
          <w:rPr>
            <w:rFonts w:ascii="Cambria Math" w:hAnsi="Cambria Math"/>
          </w:rPr>
          <m:t>j</m:t>
        </m:r>
      </m:oMath>
      <w:r w:rsidRPr="0043661A">
        <w:t xml:space="preserve">, and attention head </w:t>
      </w:r>
      <m:oMath>
        <m:r>
          <w:rPr>
            <w:rFonts w:ascii="Cambria Math" w:hAnsi="Cambria Math"/>
          </w:rPr>
          <m:t>m</m:t>
        </m:r>
      </m:oMath>
      <w:r w:rsidRPr="0043661A">
        <w:t>, the unnormalized score and normalized attention coefficient are:</w:t>
      </w:r>
    </w:p>
    <w:p w14:paraId="796C84E7" w14:textId="77777777" w:rsidR="0043661A" w:rsidRPr="00832790" w:rsidRDefault="0043661A" w:rsidP="0043661A">
      <w:pPr>
        <w:pStyle w:val="Equation"/>
      </w:pPr>
      <w:r>
        <w:rPr>
          <w:rFonts w:ascii="Cambria Math" w:hAnsi="Cambria Math"/>
        </w:rPr>
        <w:tab/>
      </w: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m</m:t>
            </m:r>
          </m:sup>
        </m:sSub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Q</m:t>
                    </m:r>
                  </m:sub>
                  <m:sup>
                    <m: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sup>
                <m:r>
                  <w:rPr>
                    <w:rFonts w:ascii="Cambria Math" w:hAnsi="Cambria Math"/>
                  </w:rPr>
                  <m:t>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m</m:t>
            </m:r>
          </m:sup>
        </m:sSub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m</m:t>
                </m:r>
              </m:sup>
            </m:sSubSup>
            <m:r>
              <m:rPr>
                <m:sty m:val="p"/>
              </m:rPr>
              <w:rPr>
                <w:rFonts w:ascii="Cambria Math" w:hAnsi="Cambria Math"/>
              </w:rPr>
              <m:t>)</m:t>
            </m:r>
          </m:num>
          <m:den>
            <m:nary>
              <m:naryPr>
                <m:chr m:val="∑"/>
                <m:supHide m:val="1"/>
                <m:ctrlPr>
                  <w:rPr>
                    <w:rFonts w:ascii="Cambria Math" w:hAnsi="Cambria Math"/>
                  </w:rPr>
                </m:ctrlPr>
              </m:naryPr>
              <m:sub>
                <m:r>
                  <m:rPr>
                    <m:sty m:val="p"/>
                  </m:rPr>
                  <w:rPr>
                    <w:rFonts w:ascii="Cambria Math" w:hAnsi="Cambria Math"/>
                  </w:rPr>
                  <m:t>k∈N(i)</m:t>
                </m:r>
              </m:sub>
              <m:sup/>
              <m:e>
                <m:r>
                  <m:rPr>
                    <m:sty m:val="p"/>
                  </m:rPr>
                  <w:rPr>
                    <w:rFonts w:ascii="Cambria Math" w:hAnsi="Cambria Math"/>
                  </w:rPr>
                  <m:t>exp(</m:t>
                </m:r>
                <m:sSubSup>
                  <m:sSubSupPr>
                    <m:ctrlPr>
                      <w:rPr>
                        <w:rFonts w:ascii="Cambria Math" w:hAnsi="Cambria Math"/>
                      </w:rPr>
                    </m:ctrlPr>
                  </m:sSubSupPr>
                  <m:e>
                    <m:r>
                      <w:rPr>
                        <w:rFonts w:ascii="Cambria Math" w:hAnsi="Cambria Math"/>
                      </w:rPr>
                      <m:t>s</m:t>
                    </m:r>
                  </m:e>
                  <m:sub>
                    <m:r>
                      <w:rPr>
                        <w:rFonts w:ascii="Cambria Math" w:hAnsi="Cambria Math"/>
                      </w:rPr>
                      <m:t>ik</m:t>
                    </m:r>
                  </m:sub>
                  <m:sup>
                    <m:r>
                      <w:rPr>
                        <w:rFonts w:ascii="Cambria Math" w:hAnsi="Cambria Math"/>
                      </w:rPr>
                      <m:t>m</m:t>
                    </m:r>
                  </m:sup>
                </m:sSubSup>
                <m:r>
                  <m:rPr>
                    <m:sty m:val="p"/>
                  </m:rPr>
                  <w:rPr>
                    <w:rFonts w:ascii="Cambria Math" w:hAnsi="Cambria Math"/>
                  </w:rPr>
                  <m:t>)</m:t>
                </m:r>
              </m:e>
            </m:nary>
          </m:den>
        </m:f>
      </m:oMath>
      <w:r>
        <w:rPr>
          <w:rFonts w:ascii="Cambria Math" w:hAnsi="Cambria Math"/>
        </w:rPr>
        <w:tab/>
      </w:r>
      <w:r w:rsidRPr="00832790">
        <w:rPr>
          <w:rFonts w:ascii="Cambria Math" w:hAnsi="Cambria Math"/>
        </w:rPr>
        <w:t>(3)</w:t>
      </w:r>
    </w:p>
    <w:p w14:paraId="53338ED3" w14:textId="24A29153" w:rsidR="0043661A" w:rsidRPr="001D4C91" w:rsidRDefault="0043661A" w:rsidP="001D4C91">
      <w:pPr>
        <w:spacing w:line="300" w:lineRule="exact"/>
        <w:ind w:firstLine="357"/>
        <w:rPr>
          <w:sz w:val="24"/>
          <w:szCs w:val="24"/>
          <w:lang w:val="en-CA" w:eastAsia="zh-CN"/>
        </w:rPr>
      </w:pPr>
      <w:r w:rsidRPr="001D4C91">
        <w:rPr>
          <w:sz w:val="24"/>
          <w:szCs w:val="24"/>
          <w:lang w:val="en-CA" w:eastAsia="zh-CN"/>
        </w:rPr>
        <w:t>where dh = d/2 = 128. Values from neighboring nodes are aggregated separately for each head, concatenated, linearly transformed, and combined with a residual connection:</w:t>
      </w:r>
    </w:p>
    <w:p w14:paraId="7BFB06B2" w14:textId="77777777" w:rsidR="0043661A" w:rsidRPr="00832790" w:rsidRDefault="0043661A" w:rsidP="0043661A">
      <w:pPr>
        <w:pStyle w:val="Equation"/>
      </w:pPr>
      <w:r>
        <w:rPr>
          <w:rFonts w:ascii="Cambria Math" w:hAnsi="Cambria Math"/>
        </w:rPr>
        <w:tab/>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LN(</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Dropout(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Concat</m:t>
            </m:r>
          </m:e>
          <m:sub>
            <m:r>
              <w:rPr>
                <w:rFonts w:ascii="Cambria Math" w:hAnsi="Cambria Math"/>
              </w:rPr>
              <m:t>m</m:t>
            </m:r>
          </m:sub>
        </m:sSub>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j∈N(i)</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m</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m:t>
        </m:r>
      </m:oMath>
      <w:r>
        <w:rPr>
          <w:rFonts w:ascii="Cambria Math" w:hAnsi="Cambria Math"/>
        </w:rPr>
        <w:tab/>
      </w:r>
      <w:r w:rsidRPr="00832790">
        <w:rPr>
          <w:rFonts w:ascii="Cambria Math" w:hAnsi="Cambria Math"/>
        </w:rPr>
        <w:t>(4)</w:t>
      </w:r>
    </w:p>
    <w:p w14:paraId="683CD6E5" w14:textId="180F91CE" w:rsidR="0043661A" w:rsidRPr="001D4C91" w:rsidRDefault="0043661A" w:rsidP="001D4C91">
      <w:pPr>
        <w:spacing w:line="300" w:lineRule="exact"/>
        <w:ind w:firstLine="357"/>
        <w:jc w:val="both"/>
        <w:rPr>
          <w:sz w:val="24"/>
          <w:szCs w:val="24"/>
          <w:lang w:val="en-CA" w:eastAsia="zh-CN"/>
        </w:rPr>
      </w:pPr>
      <w:r w:rsidRPr="001D4C91">
        <w:rPr>
          <w:sz w:val="24"/>
          <w:szCs w:val="24"/>
          <w:lang w:val="en-CA" w:eastAsia="zh-CN"/>
        </w:rPr>
        <w:t>The local representation H = [h₁, …, hₙ] is then serialized for global Mamba processing. Because a graph has no canonical node order, a graph-prioritized permutation is obtained by sorting nodes by degree perturbed by independent uniform noise, following the Hybrid-Degree-Noise strategy of Graph-Mamba.</w:t>
      </w:r>
      <w:r w:rsidR="00EA0468">
        <w:rPr>
          <w:sz w:val="24"/>
          <w:szCs w:val="24"/>
          <w:lang w:val="en-CA" w:eastAsia="zh-CN"/>
        </w:rPr>
        <w:fldChar w:fldCharType="begin"/>
      </w:r>
      <w:r w:rsidR="00EA0468">
        <w:rPr>
          <w:sz w:val="24"/>
          <w:szCs w:val="24"/>
          <w:lang w:val="en-CA" w:eastAsia="zh-CN"/>
        </w:rPr>
        <w:instrText xml:space="preserve"> ADDIN ZOTERO_ITEM CSL_CITATION {"citationID":"ZG4HmncB","properties":{"unsorted":false,"formattedCitation":"\\super 6\\nosupersub{}","plainCitation":"6","noteIndex":0},"citationItems":[{"id":183,"uris":["http://zotero.org/users/19718002/items/6WBR4LLH"],"itemData":{"id":183,"type":"webpage","abstract":"Attention mechanisms have been widely used to capture long-range dependencies among nodes in Graph Transformers. Bottlenecked by the quadratic computational cost, attention mechanisms fail to scale in large graphs. Recent improvements in computational efficiency are mainly achieved by attention sparsification with random or heuristic-based graph subsampling, which falls short in data-dependent context reasoning. State space models (SSMs), such as Mamba, have gained prominence for their effectiveness and efficiency in modeling long-range dependencies in sequential data. However, adapting SSMs to non-sequential graph data presents a notable challenge. In this work, we introduce Graph-Mamba, the first attempt to enhance long-range context modeling in graph networks by integrating a Mamba block with the input-dependent node selection mechanism. Specifically, we formulate graph-centric node prioritization and permutation strategies to enhance context-aware reasoning, leading to a substantial improvement in predictive performance. Extensive experiments on ten benchmark datasets demonstrate that Graph-Mamba outperforms state-of-the-art methods in long-range graph prediction tasks, with a fraction of the computational cost in both FLOPs and GPU memory consumption. The code and models are publicly available at https://github.com/bowang-lab/Graph-Mamba.","container-title":"arXiv.org","language":"en","title":"Graph-Mamba: Towards Long-Range Graph Sequence Modeling with Selective State Spaces","title-short":"Graph-Mamba","URL":"https://arxiv.org/abs/2402.00789v1","author":[{"family":"Wang","given":"Chloe"},{"family":"Tsepa","given":"Oleksii"},{"family":"Ma","given":"Jun"},{"family":"Wang","given":"Bo"}],"accessed":{"date-parts":[["2026",7,28]]},"issued":{"date-parts":[["2024",2,1]]}}}],"schema":"https://github.com/citation-style-language/schema/raw/master/csl-citation.json"} </w:instrText>
      </w:r>
      <w:r w:rsidR="00EA0468">
        <w:rPr>
          <w:sz w:val="24"/>
          <w:szCs w:val="24"/>
          <w:lang w:val="en-CA" w:eastAsia="zh-CN"/>
        </w:rPr>
        <w:fldChar w:fldCharType="separate"/>
      </w:r>
      <w:r w:rsidR="00EA0468" w:rsidRPr="00EA0468">
        <w:rPr>
          <w:sz w:val="24"/>
          <w:szCs w:val="24"/>
          <w:vertAlign w:val="superscript"/>
        </w:rPr>
        <w:t>6</w:t>
      </w:r>
      <w:r w:rsidR="00EA0468">
        <w:rPr>
          <w:sz w:val="24"/>
          <w:szCs w:val="24"/>
          <w:lang w:val="en-CA" w:eastAsia="zh-CN"/>
        </w:rPr>
        <w:fldChar w:fldCharType="end"/>
      </w:r>
      <w:r w:rsidRPr="001D4C91">
        <w:rPr>
          <w:sz w:val="24"/>
          <w:szCs w:val="24"/>
          <w:lang w:val="en-CA" w:eastAsia="zh-CN"/>
        </w:rPr>
        <w:t xml:space="preserve"> If </w:t>
      </w:r>
      <m:oMath>
        <m:sSub>
          <m:sSubPr>
            <m:ctrlPr>
              <w:rPr>
                <w:rFonts w:ascii="Cambria Math" w:hAnsi="Cambria Math"/>
              </w:rPr>
            </m:ctrlPr>
          </m:sSubPr>
          <m:e>
            <m:r>
              <w:rPr>
                <w:rFonts w:ascii="Cambria Math" w:hAnsi="Cambria Math"/>
              </w:rPr>
              <m:t>P</m:t>
            </m:r>
          </m:e>
          <m:sub>
            <m:r>
              <w:rPr>
                <w:rFonts w:ascii="Cambria Math" w:hAnsi="Cambria Math"/>
              </w:rPr>
              <m:t>π</m:t>
            </m:r>
          </m:sub>
        </m:sSub>
      </m:oMath>
      <w:r w:rsidRPr="001D4C91">
        <w:rPr>
          <w:sz w:val="24"/>
          <w:szCs w:val="24"/>
          <w:lang w:val="en-CA" w:eastAsia="zh-CN"/>
        </w:rPr>
        <w:t xml:space="preserve"> denotes this permutation, the global output is:</w:t>
      </w:r>
    </w:p>
    <w:p w14:paraId="010CEF2E" w14:textId="77777777" w:rsidR="0043661A" w:rsidRPr="00832790" w:rsidRDefault="0043661A" w:rsidP="0043661A">
      <w:pPr>
        <w:pStyle w:val="Equation"/>
      </w:pPr>
      <w:r>
        <w:rPr>
          <w:rFonts w:ascii="Cambria Math" w:hAnsi="Cambria Math"/>
        </w:rPr>
        <w:tab/>
      </w:r>
      <m:oMath>
        <m:r>
          <w:rPr>
            <w:rFonts w:ascii="Cambria Math" w:hAnsi="Cambria Math"/>
          </w:rPr>
          <m:t>π</m:t>
        </m:r>
        <m:r>
          <m:rPr>
            <m:sty m:val="p"/>
          </m:rPr>
          <w:rPr>
            <w:rFonts w:ascii="Cambria Math" w:hAnsi="Cambria Math"/>
          </w:rPr>
          <m:t xml:space="preserve"> = argsort(deg(v) + </m:t>
        </m:r>
        <m:sSub>
          <m:sSubPr>
            <m:ctrlPr>
              <w:rPr>
                <w:rFonts w:ascii="Cambria Math" w:hAnsi="Cambria Math"/>
              </w:rPr>
            </m:ctrlPr>
          </m:sSubPr>
          <m:e>
            <m:r>
              <w:rPr>
                <w:rFonts w:ascii="Cambria Math" w:hAnsi="Cambria Math"/>
              </w:rPr>
              <m:t>ε</m:t>
            </m:r>
          </m:e>
          <m:sub>
            <m: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v</m:t>
            </m:r>
          </m:sub>
        </m:sSub>
        <m:r>
          <m:rPr>
            <m:sty m:val="p"/>
          </m:rPr>
          <w:rPr>
            <w:rFonts w:ascii="Cambria Math" w:hAnsi="Cambria Math"/>
          </w:rPr>
          <m:t xml:space="preserve"> ~ U(0,1);    G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π</m:t>
                </m:r>
              </m:sub>
            </m:sSub>
          </m:e>
          <m:sup>
            <m:r>
              <m:rPr>
                <m:sty m:val="p"/>
              </m:rPr>
              <w:rPr>
                <w:rFonts w:ascii="Cambria Math" w:hAnsi="Cambria Math"/>
              </w:rPr>
              <m:t>-1</m:t>
            </m:r>
          </m:sup>
        </m:sSup>
        <m:r>
          <m:rPr>
            <m:sty m:val="p"/>
          </m:rPr>
          <w:rPr>
            <w:rFonts w:ascii="Cambria Math" w:hAnsi="Cambria Math"/>
          </w:rPr>
          <m:t xml:space="preserve"> Mamba(</m:t>
        </m:r>
        <w:bookmarkStart w:id="1" w:name="_Hlk236407120"/>
        <m:sSub>
          <m:sSubPr>
            <m:ctrlPr>
              <w:rPr>
                <w:rFonts w:ascii="Cambria Math" w:hAnsi="Cambria Math"/>
              </w:rPr>
            </m:ctrlPr>
          </m:sSubPr>
          <m:e>
            <m:r>
              <w:rPr>
                <w:rFonts w:ascii="Cambria Math" w:hAnsi="Cambria Math"/>
              </w:rPr>
              <m:t>P</m:t>
            </m:r>
          </m:e>
          <m:sub>
            <m:r>
              <w:rPr>
                <w:rFonts w:ascii="Cambria Math" w:hAnsi="Cambria Math"/>
              </w:rPr>
              <m:t>π</m:t>
            </m:r>
          </m:sub>
        </m:sSub>
        <w:bookmarkEnd w:id="1"/>
        <m:r>
          <m:rPr>
            <m:sty m:val="p"/>
          </m:rPr>
          <w:rPr>
            <w:rFonts w:ascii="Cambria Math" w:hAnsi="Cambria Math"/>
          </w:rPr>
          <m:t xml:space="preserve"> H)</m:t>
        </m:r>
      </m:oMath>
      <w:r>
        <w:rPr>
          <w:rFonts w:ascii="Cambria Math" w:hAnsi="Cambria Math"/>
        </w:rPr>
        <w:tab/>
      </w:r>
      <w:r w:rsidRPr="00832790">
        <w:rPr>
          <w:rFonts w:ascii="Cambria Math" w:hAnsi="Cambria Math"/>
        </w:rPr>
        <w:t>(5)</w:t>
      </w:r>
    </w:p>
    <w:p w14:paraId="68405EF9" w14:textId="77777777" w:rsidR="0043661A" w:rsidRPr="001D4C91" w:rsidRDefault="0043661A" w:rsidP="001D4C91">
      <w:pPr>
        <w:spacing w:line="300" w:lineRule="exact"/>
        <w:ind w:firstLine="357"/>
        <w:rPr>
          <w:sz w:val="24"/>
          <w:szCs w:val="24"/>
          <w:lang w:val="en-CA" w:eastAsia="zh-CN"/>
        </w:rPr>
      </w:pPr>
      <w:r w:rsidRPr="001D4C91">
        <w:rPr>
          <w:sz w:val="24"/>
          <w:szCs w:val="24"/>
          <w:lang w:val="en-CA" w:eastAsia="zh-CN"/>
        </w:rPr>
        <w:t>Mamba applies an input-dependent selective state-space recurrence along the permuted node sequence. In its discretized form, the recurrent state and output at position t can be summarized as:</w:t>
      </w:r>
    </w:p>
    <w:p w14:paraId="08885732" w14:textId="77777777" w:rsidR="0043661A" w:rsidRDefault="0043661A" w:rsidP="0043661A">
      <w:pPr>
        <w:pStyle w:val="Equation"/>
      </w:pPr>
      <w:r>
        <w:rPr>
          <w:rFonts w:ascii="Cambria Math" w:hAnsi="Cambria Math"/>
        </w:rPr>
        <w:tab/>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π(t)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π(t)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D </m:t>
        </m:r>
        <m:sSub>
          <m:sSubPr>
            <m:ctrlPr>
              <w:rPr>
                <w:rFonts w:ascii="Cambria Math" w:hAnsi="Cambria Math"/>
              </w:rPr>
            </m:ctrlPr>
          </m:sSubPr>
          <m:e>
            <m:r>
              <w:rPr>
                <w:rFonts w:ascii="Cambria Math" w:hAnsi="Cambria Math"/>
              </w:rPr>
              <m:t>h</m:t>
            </m:r>
          </m:e>
          <m:sub>
            <m:r>
              <m:rPr>
                <m:sty m:val="p"/>
              </m:rPr>
              <w:rPr>
                <w:rFonts w:ascii="Cambria Math" w:hAnsi="Cambria Math"/>
              </w:rPr>
              <m:t>π(t)</m:t>
            </m:r>
          </m:sub>
        </m:sSub>
      </m:oMath>
      <w:r>
        <w:rPr>
          <w:rFonts w:ascii="Cambria Math" w:hAnsi="Cambria Math"/>
        </w:rPr>
        <w:tab/>
        <w:t>(6)</w:t>
      </w:r>
    </w:p>
    <w:p w14:paraId="33DD8EB3" w14:textId="25D93B95" w:rsidR="0043661A" w:rsidRPr="001D4C91" w:rsidRDefault="0043661A" w:rsidP="00D1192E">
      <w:pPr>
        <w:spacing w:line="300" w:lineRule="exact"/>
        <w:ind w:firstLine="357"/>
        <w:jc w:val="both"/>
        <w:rPr>
          <w:sz w:val="24"/>
          <w:szCs w:val="24"/>
          <w:lang w:val="en-CA" w:eastAsia="zh-CN"/>
        </w:rPr>
      </w:pPr>
      <w:r w:rsidRPr="001D4C91">
        <w:rPr>
          <w:sz w:val="24"/>
          <w:szCs w:val="24"/>
          <w:lang w:val="en-CA" w:eastAsia="zh-CN"/>
        </w:rPr>
        <w:t xml:space="preserve">where the discretized state-space parameters depend on the current input, allowing selective propagation or suppression of context.7 In the implementation, the selective state-space dimension is 16 (controlling how much per-position context the selective scan retains), the local convolution width is 4 (capturing short-range dependencies before the global scan), and the Mamba expansion factor is 2 (the internal channel multiplier applied within each block). One noisy permutation is sampled on each training forward pass. At evaluation, outputs from five independently perturbed degree-based </w:t>
      </w:r>
      <w:r w:rsidRPr="001D4C91">
        <w:rPr>
          <w:sz w:val="24"/>
          <w:szCs w:val="24"/>
          <w:lang w:val="en-CA" w:eastAsia="zh-CN"/>
        </w:rPr>
        <w:lastRenderedPageBreak/>
        <w:t>permutations are averaged after mapping them back to the original node order, reducing sensitivity to an arbitrary serialization.</w:t>
      </w:r>
    </w:p>
    <w:p w14:paraId="55B84902" w14:textId="77777777" w:rsidR="0043661A" w:rsidRPr="001D4C91" w:rsidRDefault="0043661A" w:rsidP="001D4C91">
      <w:pPr>
        <w:spacing w:line="300" w:lineRule="exact"/>
        <w:ind w:firstLine="357"/>
        <w:rPr>
          <w:sz w:val="24"/>
          <w:szCs w:val="24"/>
          <w:lang w:val="en-CA" w:eastAsia="zh-CN"/>
        </w:rPr>
      </w:pPr>
      <w:r w:rsidRPr="001D4C91">
        <w:rPr>
          <w:sz w:val="24"/>
          <w:szCs w:val="24"/>
          <w:lang w:val="en-CA" w:eastAsia="zh-CN"/>
        </w:rPr>
        <w:t>A learned sigmoid gate controls how much global state-space context is injected into each locally aggregated node representation:</w:t>
      </w:r>
    </w:p>
    <w:p w14:paraId="19D5C5B8" w14:textId="273A567F" w:rsidR="0043661A" w:rsidRDefault="0043661A" w:rsidP="0043661A">
      <w:pPr>
        <w:pStyle w:val="Equation"/>
      </w:pPr>
      <w:r>
        <w:rPr>
          <w:rFonts w:ascii="Cambria Math" w:hAnsi="Cambria Math"/>
        </w:rPr>
        <w:tab/>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r>
          <m:rPr>
            <m:sty m:val="p"/>
          </m:rPr>
          <w:rPr>
            <w:rFonts w:ascii="Cambria Math" w:hAnsi="Cambria Math"/>
          </w:rPr>
          <m:t xml:space="preserve"> = LN(</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Dropout(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oMath>
      <w:r>
        <w:rPr>
          <w:rFonts w:ascii="Cambria Math" w:hAnsi="Cambria Math"/>
        </w:rPr>
        <w:tab/>
        <w:t>(7)</w:t>
      </w:r>
    </w:p>
    <w:p w14:paraId="155E19BC" w14:textId="560DEC75" w:rsidR="001D4C91" w:rsidRDefault="0043661A" w:rsidP="00D1192E">
      <w:pPr>
        <w:spacing w:line="300" w:lineRule="exact"/>
        <w:ind w:firstLine="357"/>
        <w:jc w:val="both"/>
        <w:rPr>
          <w:sz w:val="24"/>
          <w:szCs w:val="24"/>
          <w:lang w:val="en-CA" w:eastAsia="zh-CN"/>
        </w:rPr>
      </w:pPr>
      <w:r w:rsidRPr="001D4C91">
        <w:rPr>
          <w:sz w:val="24"/>
          <w:szCs w:val="24"/>
          <w:lang w:val="en-CA" w:eastAsia="zh-CN"/>
        </w:rPr>
        <w:t xml:space="preserve">The block concludes with a position-wise feed-forward network of width 2d, </w:t>
      </w:r>
      <w:proofErr w:type="spellStart"/>
      <w:r w:rsidRPr="001D4C91">
        <w:rPr>
          <w:sz w:val="24"/>
          <w:szCs w:val="24"/>
          <w:lang w:val="en-CA" w:eastAsia="zh-CN"/>
        </w:rPr>
        <w:t>ReLU</w:t>
      </w:r>
      <w:proofErr w:type="spellEnd"/>
      <w:r w:rsidRPr="001D4C91">
        <w:rPr>
          <w:sz w:val="24"/>
          <w:szCs w:val="24"/>
          <w:lang w:val="en-CA" w:eastAsia="zh-CN"/>
        </w:rPr>
        <w:t>, dropout, a residual connection, and layer normalization. The local branch costs O(|</w:t>
      </w:r>
      <w:proofErr w:type="spellStart"/>
      <w:r w:rsidRPr="001D4C91">
        <w:rPr>
          <w:sz w:val="24"/>
          <w:szCs w:val="24"/>
          <w:lang w:val="en-CA" w:eastAsia="zh-CN"/>
        </w:rPr>
        <w:t>E|d</w:t>
      </w:r>
      <w:proofErr w:type="spellEnd"/>
      <w:r w:rsidRPr="001D4C91">
        <w:rPr>
          <w:sz w:val="24"/>
          <w:szCs w:val="24"/>
          <w:lang w:val="en-CA" w:eastAsia="zh-CN"/>
        </w:rPr>
        <w:t>) on the sparse similarity graph, and the Mamba scan costs O(|</w:t>
      </w:r>
      <w:proofErr w:type="spellStart"/>
      <w:r w:rsidRPr="001D4C91">
        <w:rPr>
          <w:sz w:val="24"/>
          <w:szCs w:val="24"/>
          <w:lang w:val="en-CA" w:eastAsia="zh-CN"/>
        </w:rPr>
        <w:t>V|d</w:t>
      </w:r>
      <w:proofErr w:type="spellEnd"/>
      <w:r w:rsidRPr="001D4C91">
        <w:rPr>
          <w:sz w:val="24"/>
          <w:szCs w:val="24"/>
          <w:lang w:val="en-CA" w:eastAsia="zh-CN"/>
        </w:rPr>
        <w:t>) with respect to node count, avoiding the O(|V|²d) global self-attention term after the similarity graph has been constructed.</w:t>
      </w:r>
    </w:p>
    <w:p w14:paraId="636B3CA8" w14:textId="40ED7FD2" w:rsidR="001D4C91" w:rsidRDefault="001D4C91" w:rsidP="000F63B2">
      <w:pPr>
        <w:pStyle w:val="Heading3"/>
        <w:ind w:left="0" w:right="357"/>
      </w:pPr>
      <w:r>
        <w:t>Cross-domain exchange and link prediction</w:t>
      </w:r>
    </w:p>
    <w:p w14:paraId="605DA5F4" w14:textId="2F536BDD" w:rsidR="001D4C91" w:rsidRPr="001D4C91" w:rsidRDefault="001D4C91" w:rsidP="00D1192E">
      <w:pPr>
        <w:spacing w:line="300" w:lineRule="exact"/>
        <w:jc w:val="both"/>
        <w:rPr>
          <w:sz w:val="24"/>
          <w:szCs w:val="24"/>
          <w:lang w:val="en-CA" w:eastAsia="zh-CN"/>
        </w:rPr>
      </w:pPr>
      <w:r w:rsidRPr="001D4C91">
        <w:rPr>
          <w:sz w:val="24"/>
          <w:szCs w:val="24"/>
          <w:lang w:val="en-CA" w:eastAsia="zh-CN"/>
        </w:rPr>
        <w:t xml:space="preserve">After the two intra-domain stacks, a pair of sparse cross-attention blocks propagates information over known training associations. TCR nodes first query their associated epitope nodes, and epitope nodes then query the updated TCR representations over the reversed association edges. For query node </w:t>
      </w:r>
      <w:proofErr w:type="spellStart"/>
      <w:r w:rsidRPr="001D4C91">
        <w:rPr>
          <w:sz w:val="24"/>
          <w:szCs w:val="24"/>
          <w:lang w:val="en-CA" w:eastAsia="zh-CN"/>
        </w:rPr>
        <w:t>i</w:t>
      </w:r>
      <w:proofErr w:type="spellEnd"/>
      <w:r w:rsidRPr="001D4C91">
        <w:rPr>
          <w:sz w:val="24"/>
          <w:szCs w:val="24"/>
          <w:lang w:val="en-CA" w:eastAsia="zh-CN"/>
        </w:rPr>
        <w:t xml:space="preserve"> and its cross-domain neighbors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m:t>
            </m:r>
          </m:sub>
        </m:sSub>
        <m:r>
          <w:rPr>
            <w:rFonts w:ascii="Cambria Math" w:hAnsi="Cambria Math"/>
            <w:sz w:val="24"/>
            <w:szCs w:val="24"/>
            <w:lang w:val="en-CA" w:eastAsia="zh-CN"/>
          </w:rPr>
          <m:t>(i)</m:t>
        </m:r>
      </m:oMath>
      <w:r w:rsidRPr="001D4C91">
        <w:rPr>
          <w:sz w:val="24"/>
          <w:szCs w:val="24"/>
          <w:lang w:val="en-CA" w:eastAsia="zh-CN"/>
        </w:rPr>
        <w:t>, each attention head computes:</w:t>
      </w:r>
    </w:p>
    <w:p w14:paraId="03B46560" w14:textId="481C7966" w:rsidR="001D4C91" w:rsidRDefault="001D4C91" w:rsidP="001D4C91">
      <w:pPr>
        <w:pStyle w:val="Equation"/>
      </w:pPr>
      <w:r>
        <w:rPr>
          <w:rFonts w:ascii="Cambria Math" w:hAnsi="Cambria Math"/>
        </w:rPr>
        <w:tab/>
      </w:r>
      <m:oMath>
        <m:sSubSup>
          <m:sSubSupPr>
            <m:ctrlPr>
              <w:rPr>
                <w:rFonts w:ascii="Cambria Math" w:hAnsi="Cambria Math"/>
              </w:rPr>
            </m:ctrlPr>
          </m:sSubSupPr>
          <m:e>
            <m:r>
              <w:rPr>
                <w:rFonts w:ascii="Cambria Math" w:hAnsi="Cambria Math"/>
              </w:rPr>
              <m:t>β</m:t>
            </m:r>
          </m:e>
          <m:sub>
            <m:r>
              <w:rPr>
                <w:rFonts w:ascii="Cambria Math" w:hAnsi="Cambria Math"/>
              </w:rPr>
              <m:t>ij</m:t>
            </m:r>
          </m:sub>
          <m:sup>
            <m:r>
              <w:rPr>
                <w:rFonts w:ascii="Cambria Math" w:hAnsi="Cambria Math"/>
              </w:rPr>
              <m:t>m</m:t>
            </m: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j∈</m:t>
            </m:r>
            <m:sSub>
              <m:sSubPr>
                <m:ctrlPr>
                  <w:rPr>
                    <w:rFonts w:ascii="Cambria Math" w:hAnsi="Cambria Math"/>
                    <w:sz w:val="20"/>
                  </w:rPr>
                </m:ctrlPr>
              </m:sSubPr>
              <m:e>
                <m:r>
                  <m:rPr>
                    <m:scr m:val="script"/>
                    <m:sty m:val="p"/>
                  </m:rPr>
                  <w:rPr>
                    <w:rFonts w:ascii="Cambria Math" w:hAnsi="Cambria Math"/>
                  </w:rPr>
                  <m:t>N</m:t>
                </m:r>
              </m:e>
              <m:sub>
                <m:r>
                  <w:rPr>
                    <w:rFonts w:ascii="Cambria Math" w:hAnsi="Cambria Math"/>
                  </w:rPr>
                  <m:t>×</m:t>
                </m:r>
              </m:sub>
            </m:s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Q</m:t>
                    </m:r>
                  </m:sub>
                  <m:sup>
                    <m:r>
                      <m:rPr>
                        <m:sty m:val="p"/>
                      </m:rP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sup>
                <m:r>
                  <w:rPr>
                    <w:rFonts w:ascii="Cambria Math" w:hAnsi="Cambria Math"/>
                  </w:rPr>
                  <m:t>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O</m:t>
            </m:r>
          </m:sub>
          <m:sup>
            <m:r>
              <m:rPr>
                <m:sty m:val="p"/>
              </m:rPr>
              <w:rPr>
                <w:rFonts w:ascii="Cambria Math" w:hAnsi="Cambria Math"/>
              </w:rPr>
              <m:t>×</m:t>
            </m: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Concat</m:t>
            </m:r>
          </m:e>
          <m:sub>
            <m:r>
              <w:rPr>
                <w:rFonts w:ascii="Cambria Math" w:hAnsi="Cambria Math"/>
              </w:rPr>
              <m:t>m</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β</m:t>
                </m:r>
              </m:e>
              <m:sub>
                <m:r>
                  <w:rPr>
                    <w:rFonts w:ascii="Cambria Math" w:hAnsi="Cambria Math"/>
                  </w:rPr>
                  <m:t>ij</m:t>
                </m:r>
              </m:sub>
              <m:sup>
                <m:r>
                  <w:rPr>
                    <w:rFonts w:ascii="Cambria Math" w:hAnsi="Cambria Math"/>
                  </w:rPr>
                  <m:t>m</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V</m:t>
                </m:r>
              </m:sub>
              <m:sup>
                <m:r>
                  <m:rPr>
                    <m:sty m:val="p"/>
                  </m:rPr>
                  <w:rPr>
                    <w:rFonts w:ascii="Cambria Math" w:hAnsi="Cambria Math"/>
                  </w:rPr>
                  <m:t>×,m</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j</m:t>
                </m:r>
              </m:sub>
            </m:sSub>
          </m:e>
        </m:nary>
        <m:r>
          <m:rPr>
            <m:sty m:val="p"/>
          </m:rPr>
          <w:rPr>
            <w:rFonts w:ascii="Cambria Math" w:hAnsi="Cambria Math"/>
          </w:rPr>
          <m:t>]</m:t>
        </m:r>
      </m:oMath>
      <w:r>
        <w:rPr>
          <w:rFonts w:ascii="Cambria Math" w:hAnsi="Cambria Math"/>
        </w:rPr>
        <w:tab/>
        <w:t>(8)</w:t>
      </w:r>
    </w:p>
    <w:p w14:paraId="6A0DC903" w14:textId="58BFA277" w:rsidR="001D4C91" w:rsidRPr="001D4C91" w:rsidRDefault="001D4C91" w:rsidP="00D1192E">
      <w:pPr>
        <w:spacing w:line="300" w:lineRule="exact"/>
        <w:jc w:val="both"/>
        <w:rPr>
          <w:sz w:val="24"/>
          <w:szCs w:val="24"/>
          <w:lang w:val="en-CA" w:eastAsia="zh-CN"/>
        </w:rPr>
      </w:pPr>
      <w:r w:rsidRPr="001D4C91">
        <w:rPr>
          <w:sz w:val="24"/>
          <w:szCs w:val="24"/>
          <w:lang w:val="en-CA" w:eastAsia="zh-CN"/>
        </w:rPr>
        <w:t>followed by residual layer normalization and a two-layer feed-forward network. This operation incorporates context from associations observed in the training graph. The held-out candidate edge itself is not added to cross-attention.</w:t>
      </w:r>
    </w:p>
    <w:p w14:paraId="2DE577C5" w14:textId="77777777" w:rsidR="001D4C91" w:rsidRPr="001D4C91" w:rsidRDefault="001D4C91" w:rsidP="00D1192E">
      <w:pPr>
        <w:spacing w:line="300" w:lineRule="exact"/>
        <w:ind w:firstLine="357"/>
        <w:jc w:val="both"/>
        <w:rPr>
          <w:sz w:val="24"/>
          <w:szCs w:val="24"/>
          <w:lang w:val="en-CA" w:eastAsia="zh-CN"/>
        </w:rPr>
      </w:pPr>
      <w:r w:rsidRPr="001D4C91">
        <w:rPr>
          <w:sz w:val="24"/>
          <w:szCs w:val="24"/>
          <w:lang w:val="en-CA" w:eastAsia="zh-CN"/>
        </w:rPr>
        <w:t>For a candidate pair (</w:t>
      </w:r>
      <w:proofErr w:type="spellStart"/>
      <w:r w:rsidRPr="001D4C91">
        <w:rPr>
          <w:sz w:val="24"/>
          <w:szCs w:val="24"/>
          <w:lang w:val="en-CA" w:eastAsia="zh-CN"/>
        </w:rPr>
        <w:t>i</w:t>
      </w:r>
      <w:proofErr w:type="spellEnd"/>
      <w:r w:rsidRPr="001D4C91">
        <w:rPr>
          <w:sz w:val="24"/>
          <w:szCs w:val="24"/>
          <w:lang w:val="en-CA" w:eastAsia="zh-CN"/>
        </w:rPr>
        <w:t xml:space="preserve">, j), the final TCR and epitope embeddings are concatenated and passed through a two-layer multilayer perceptron with hidden width 256, </w:t>
      </w:r>
      <w:proofErr w:type="spellStart"/>
      <w:r w:rsidRPr="001D4C91">
        <w:rPr>
          <w:sz w:val="24"/>
          <w:szCs w:val="24"/>
          <w:lang w:val="en-CA" w:eastAsia="zh-CN"/>
        </w:rPr>
        <w:t>ReLU</w:t>
      </w:r>
      <w:proofErr w:type="spellEnd"/>
      <w:r w:rsidRPr="001D4C91">
        <w:rPr>
          <w:sz w:val="24"/>
          <w:szCs w:val="24"/>
          <w:lang w:val="en-CA" w:eastAsia="zh-CN"/>
        </w:rPr>
        <w:t>, dropout, and a scalar output. The binding probability is:</w:t>
      </w:r>
    </w:p>
    <w:p w14:paraId="573087D2" w14:textId="77777777" w:rsidR="001D4C91" w:rsidRDefault="001D4C91" w:rsidP="001D4C91">
      <w:pPr>
        <w:pStyle w:val="Equation"/>
      </w:pPr>
      <w:r>
        <w:rPr>
          <w:rFonts w:ascii="Cambria Math" w:hAnsi="Cambria Math"/>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2</m:t>
                </m:r>
              </m:sub>
            </m:sSub>
          </m:e>
          <m:sup>
            <m:r>
              <w:rPr>
                <w:rFonts w:ascii="Cambria Math" w:hAnsi="Cambria Math"/>
              </w:rPr>
              <m:t>T</m:t>
            </m:r>
          </m:sup>
        </m:sSup>
        <m:r>
          <m:rPr>
            <m:sty m:val="p"/>
          </m:rPr>
          <w:rPr>
            <w:rFonts w:ascii="Cambria Math" w:hAnsi="Cambria Math"/>
          </w:rPr>
          <m:t xml:space="preserve"> ReLU(</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TCR</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EPI</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 xml:space="preserve"> = σ(</m:t>
        </m:r>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r>
          <m:rPr>
            <m:sty m:val="p"/>
          </m:rPr>
          <w:rPr>
            <w:rFonts w:ascii="Cambria Math" w:hAnsi="Cambria Math"/>
          </w:rPr>
          <m:t>)</m:t>
        </m:r>
      </m:oMath>
      <w:r>
        <w:rPr>
          <w:rFonts w:ascii="Cambria Math" w:hAnsi="Cambria Math"/>
        </w:rPr>
        <w:tab/>
        <w:t>(9)</w:t>
      </w:r>
    </w:p>
    <w:p w14:paraId="7139C905" w14:textId="42D3DF2F" w:rsidR="001D4C91" w:rsidRDefault="001D4C91" w:rsidP="000F63B2">
      <w:pPr>
        <w:pStyle w:val="Heading3"/>
        <w:ind w:left="0" w:right="357"/>
      </w:pPr>
      <w:r>
        <w:t>Training configuration</w:t>
      </w:r>
    </w:p>
    <w:p w14:paraId="1B90748A" w14:textId="0AF0AB94" w:rsidR="001D4C91" w:rsidRDefault="001D4C91" w:rsidP="001D4C91">
      <w:pPr>
        <w:pStyle w:val="NormalWeb"/>
        <w:spacing w:before="0" w:beforeAutospacing="0" w:after="0" w:afterAutospacing="0" w:line="300" w:lineRule="exact"/>
        <w:jc w:val="both"/>
      </w:pPr>
      <w:r>
        <w:t>Unknown TCR-epitope pairs, defined as entries with zero values in the association matrix, were sampled uniformly as negative examples. For each random seed, an equal number of positive and negative pairs was used, yielding a balanced class ratio. Positive and negative pairs were independently shuffled and partitioned into ten folds. For each fold, only positive associations from the training partition were included as cross-type edges in the graph encoder, whereas both positive and sampled negative pairs were used as candidate edges for training the link classifier.</w:t>
      </w:r>
    </w:p>
    <w:p w14:paraId="0FD398B8" w14:textId="62662257" w:rsidR="001D4C91" w:rsidRDefault="001D4C91" w:rsidP="001D4C91">
      <w:pPr>
        <w:pStyle w:val="NormalWeb"/>
        <w:spacing w:before="0" w:beforeAutospacing="0" w:after="0" w:afterAutospacing="0" w:line="300" w:lineRule="exact"/>
        <w:ind w:firstLine="357"/>
        <w:jc w:val="both"/>
      </w:pPr>
      <w:r w:rsidRPr="00A254FD">
        <w:t xml:space="preserve">The model was optimized using binary cross-entropy with logits and Adam with a learning rate of </w:t>
      </w:r>
      <w:r w:rsidR="00A254FD" w:rsidRPr="00A254FD">
        <w:t>0.0005</w:t>
      </w:r>
      <w:r w:rsidRPr="00A254FD">
        <w:t xml:space="preserve"> and weight decay of </w:t>
      </w:r>
      <w:r w:rsidR="00A254FD" w:rsidRPr="00A254FD">
        <w:t xml:space="preserve">0.0001. </w:t>
      </w:r>
      <w:r w:rsidRPr="00A254FD">
        <w:t xml:space="preserve">Residual and classifier dropout rates were set to 0.3, and training was limited to 150 epochs. </w:t>
      </w:r>
      <w:r w:rsidR="00D1192E" w:rsidRPr="00A254FD">
        <w:t xml:space="preserve">Validation </w:t>
      </w:r>
      <w:r w:rsidR="00D1192E">
        <w:t>was</w:t>
      </w:r>
      <w:r>
        <w:t xml:space="preserve"> evaluated every 10 epochs, </w:t>
      </w:r>
      <w:r w:rsidR="00874AE8">
        <w:t>and e</w:t>
      </w:r>
      <w:r>
        <w:t xml:space="preserve">arly stopping was applied </w:t>
      </w:r>
      <w:r>
        <w:lastRenderedPageBreak/>
        <w:t>after seven consecutive validation evaluations without improvement. Experiments were repeated using five random seeds. Hyperparameters, including the hidden dimension, number of attention heads, number of Graph-Mamba layers, dropout rate, learning rate, and weight decay, were selected through preliminary experiments on IEDB and subsequently fixed across all datasets and cold-split protocols to maintain a consistent evaluation setting.</w:t>
      </w:r>
    </w:p>
    <w:p w14:paraId="1A038815" w14:textId="5EEBF739" w:rsidR="0043661A" w:rsidRDefault="001D4C91" w:rsidP="00A254FD">
      <w:pPr>
        <w:pStyle w:val="NormalWeb"/>
        <w:spacing w:before="0" w:beforeAutospacing="0" w:after="0" w:afterAutospacing="0" w:line="300" w:lineRule="exact"/>
        <w:ind w:firstLine="357"/>
        <w:jc w:val="both"/>
      </w:pPr>
      <w:r>
        <w:t xml:space="preserve">Experiments were conducted on </w:t>
      </w:r>
      <w:r w:rsidR="00A254FD">
        <w:t>clusters of the Digital Research Alliance of Canada</w:t>
      </w:r>
      <w:r>
        <w:t xml:space="preserve"> using the </w:t>
      </w:r>
      <w:proofErr w:type="spellStart"/>
      <w:r w:rsidRPr="001D4C91">
        <w:t>mamba_ssm</w:t>
      </w:r>
      <w:proofErr w:type="spellEnd"/>
      <w:r>
        <w:t xml:space="preserve"> implementation</w:t>
      </w:r>
      <w:r w:rsidR="00D1192E">
        <w:t>.</w:t>
      </w:r>
      <w:r w:rsidR="0041577C">
        <w:fldChar w:fldCharType="begin"/>
      </w:r>
      <w:r w:rsidR="0041577C">
        <w:instrText xml:space="preserve"> ADDIN ZOTERO_ITEM CSL_CITATION {"citationID":"T0GuSjkp","properties":{"unsorted":false,"formattedCitation":"\\super 7\\nosupersub{}","plainCitation":"7","noteIndex":0},"citationItems":[{"id":185,"uris":["http://zotero.org/users/19718002/items/3BQNQ6UP"],"itemData":{"id":185,"type":"article","abstract":"Foundation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evaluation.","DOI":"10.48550/arXiv.2312.00752","note":"arXiv:2312.00752 [cs.LG]","number":"arXiv:2312.00752","publisher":"arXiv","source":"arXiv.org","title":"Mamba: Linear-Time Sequence Modeling with Selective State Spaces","title-short":"Mamba","URL":"http://arxiv.org/abs/2312.00752","author":[{"family":"Gu","given":"Albert"},{"family":"Dao","given":"Tri"}],"accessed":{"date-parts":[["2026",7,28]]},"issued":{"date-parts":[["2024",5,31]]}}}],"schema":"https://github.com/citation-style-language/schema/raw/master/csl-citation.json"} </w:instrText>
      </w:r>
      <w:r w:rsidR="0041577C">
        <w:fldChar w:fldCharType="separate"/>
      </w:r>
      <w:r w:rsidR="0041577C" w:rsidRPr="0041577C">
        <w:rPr>
          <w:vertAlign w:val="superscript"/>
        </w:rPr>
        <w:t>7</w:t>
      </w:r>
      <w:r w:rsidR="0041577C">
        <w:fldChar w:fldCharType="end"/>
      </w:r>
      <w:r>
        <w:t xml:space="preserve"> The IEDB, </w:t>
      </w:r>
      <w:proofErr w:type="spellStart"/>
      <w:r>
        <w:t>VDJdb</w:t>
      </w:r>
      <w:proofErr w:type="spellEnd"/>
      <w:r>
        <w:t xml:space="preserve">, and </w:t>
      </w:r>
      <w:proofErr w:type="spellStart"/>
      <w:r>
        <w:t>McPAS</w:t>
      </w:r>
      <w:proofErr w:type="spellEnd"/>
      <w:r>
        <w:t xml:space="preserve">-TCR datasets are publicly available from their respective sources, and the implementation </w:t>
      </w:r>
      <w:r w:rsidR="00EA0468">
        <w:t>is</w:t>
      </w:r>
      <w:r>
        <w:t xml:space="preserve"> available from GitHub at</w:t>
      </w:r>
      <w:r w:rsidR="00A254FD" w:rsidRPr="00A254FD">
        <w:t xml:space="preserve"> https://github.com/GenTensor/GraphTCR-Mamba</w:t>
      </w:r>
      <w:r>
        <w:t>.</w:t>
      </w:r>
    </w:p>
    <w:p w14:paraId="6EFD27B5" w14:textId="71018BC0" w:rsidR="003E7893" w:rsidRDefault="001D4C91" w:rsidP="00B217E4">
      <w:pPr>
        <w:pStyle w:val="Heading2"/>
      </w:pPr>
      <w:r>
        <w:t>Evaluation Protocol</w:t>
      </w:r>
    </w:p>
    <w:p w14:paraId="215324D4" w14:textId="1DED58F2" w:rsidR="00874AE8" w:rsidRPr="00874AE8" w:rsidRDefault="00874AE8" w:rsidP="00874AE8">
      <w:pPr>
        <w:pStyle w:val="NormalWeb"/>
        <w:spacing w:before="0" w:beforeAutospacing="0" w:after="0" w:afterAutospacing="0" w:line="300" w:lineRule="exact"/>
        <w:jc w:val="both"/>
      </w:pPr>
      <w:r w:rsidRPr="00874AE8">
        <w:t>Model performance was evaluated using stratified 10-fold cross-validation repeated across five random seeds to assess robustness to data partitioning. Performance was assessed using the area under the receiver operating characteristic curve (AUROC) and the area under the precision-recall curve (AUPR). AUROC measures discrimination between positive and negative pairs across classification thresholds, whereas AUPR emphasizes performance on the positive class and is particularly informative when evaluating imbalanced interaction data.</w:t>
      </w:r>
    </w:p>
    <w:p w14:paraId="7EB5AFA1" w14:textId="09BE4795" w:rsidR="00874AE8" w:rsidRPr="00874AE8" w:rsidRDefault="00874AE8" w:rsidP="00874AE8">
      <w:pPr>
        <w:pStyle w:val="NormalWeb"/>
        <w:spacing w:before="0" w:beforeAutospacing="0" w:after="0" w:afterAutospacing="0" w:line="300" w:lineRule="exact"/>
        <w:ind w:firstLine="357"/>
        <w:jc w:val="both"/>
      </w:pPr>
      <w:r w:rsidRPr="00874AE8">
        <w:t>To assess generalization to unseen sequences, we additionally evaluated three cold-split settings: TCR-cold, in which test TCRs were absent from training; epitope-cold, in which test epitopes were absent from training; and both-cold, in which neither member of a test pair appeared in the training set. In contrast to random pair-level splits, where the same TCR or epitope may occur in both training and test sets with different partners, cold splits prevent the corresponding identities from being shared across partitions. These settings therefore provide a more stringent assessment of the model's ability to generalize to previously unseen TCRs, epitopes, or both.</w:t>
      </w:r>
    </w:p>
    <w:p w14:paraId="1E78B80B" w14:textId="0DB1E3E2" w:rsidR="003E7893" w:rsidRDefault="00874AE8" w:rsidP="00B217E4">
      <w:pPr>
        <w:pStyle w:val="Heading2"/>
      </w:pPr>
      <w:r>
        <w:t>Baseline Models</w:t>
      </w:r>
    </w:p>
    <w:p w14:paraId="7A32439A" w14:textId="1B9DA980" w:rsidR="003E7893" w:rsidRDefault="00874AE8" w:rsidP="00874AE8">
      <w:pPr>
        <w:spacing w:line="300" w:lineRule="exact"/>
        <w:jc w:val="both"/>
        <w:rPr>
          <w:sz w:val="24"/>
          <w:szCs w:val="24"/>
          <w:lang w:val="en-CA" w:eastAsia="zh-CN"/>
        </w:rPr>
      </w:pPr>
      <w:r w:rsidRPr="00874AE8">
        <w:rPr>
          <w:sz w:val="24"/>
          <w:szCs w:val="24"/>
          <w:lang w:val="en-CA" w:eastAsia="zh-CN"/>
        </w:rPr>
        <w:t>Four published methods were included as baselines. NetTCR-2.0 is a sequence-based deep learning model that predicts TCR-peptide interactions from paired TCRα</w:t>
      </w:r>
      <w:r>
        <w:rPr>
          <w:sz w:val="24"/>
          <w:szCs w:val="24"/>
          <w:lang w:val="en-CA" w:eastAsia="zh-CN"/>
        </w:rPr>
        <w:t xml:space="preserve"> </w:t>
      </w:r>
      <w:r w:rsidRPr="00874AE8">
        <w:rPr>
          <w:sz w:val="24"/>
          <w:szCs w:val="24"/>
          <w:lang w:val="en-CA" w:eastAsia="zh-CN"/>
        </w:rPr>
        <w:t>and TCRβ CDR3 sequences</w:t>
      </w:r>
      <w:r w:rsidR="00D1192E">
        <w:rPr>
          <w:sz w:val="24"/>
          <w:szCs w:val="24"/>
          <w:lang w:val="en-CA" w:eastAsia="zh-CN"/>
        </w:rPr>
        <w:t>.</w:t>
      </w:r>
      <w:r w:rsidR="00C61D6B">
        <w:rPr>
          <w:sz w:val="24"/>
          <w:szCs w:val="24"/>
          <w:lang w:val="en-CA" w:eastAsia="zh-CN"/>
        </w:rPr>
        <w:fldChar w:fldCharType="begin"/>
      </w:r>
      <w:r w:rsidR="00C61D6B">
        <w:rPr>
          <w:sz w:val="24"/>
          <w:szCs w:val="24"/>
          <w:lang w:val="en-CA" w:eastAsia="zh-CN"/>
        </w:rPr>
        <w:instrText xml:space="preserve"> ADDIN ZOTERO_ITEM CSL_CITATION {"citationID":"GBqetxXc","properties":{"unsorted":false,"formattedCitation":"\\super 12\\nosupersub{}","plainCitation":"12","noteIndex":0},"citationItems":[{"id":148,"uris":["http://zotero.org/users/19718002/items/6K3LU9NR"],"itemData":{"id":148,"type":"article-journal","abstract":"Prediction of T-cell receptor (TCR) interactions with MHC-peptide complexes remains highly challenging. This challenge is primarily due to three dominant factors: data accuracy, data scarceness, and problem complexity. Here, we showcase that “shallow” convolutional neural network (CNN) architectures are adequate to deal with the problem complexity imposed by the length variations of TCRs. We demonstrate that current public bulk CDR3β-pMHC binding data overall is of low quality and that the development of accurate prediction models is contingent on paired α/β TCR sequence data corresponding to at least 150 distinct pairs for each investigated pMHC. In comparison, models trained on CDR3α or CDR3β data alone demonstrated a variable and pMHC specific relative performance drop. Together these findings support that T-cell specificity is predictable given the availability of accurate and sufficient paired TCR sequence data. NetTCR-2.0 is publicly available at https://services.healthtech.dtu.dk/service.php?NetTCR-2.0.","container-title":"Communications Biology","DOI":"10.1038/s42003-021-02610-3","ISSN":"2399-3642","issue":"1","journalAbbreviation":"Commun Biol","language":"en","license":"2021 The Author(s)","page":"1060","publisher":"Nature Publishing Group","source":"www.nature.com","title":"NetTCR-2.0 enables accurate prediction of TCR-peptide binding by using paired TCRα and β sequence data","volume":"4","author":[{"family":"Montemurro","given":"Alessandro"},{"family":"Schuster","given":"Viktoria"},{"family":"Povlsen","given":"Helle Rus"},{"family":"Bentzen","given":"Amalie Kai"},{"family":"Jurtz","given":"Vanessa"},{"family":"Chronister","given":"William D."},{"family":"Crinklaw","given":"Austin"},{"family":"Hadrup","given":"Sine R."},{"family":"Winther","given":"Ole"},{"family":"Peters","given":"Bjoern"},{"family":"Jessen","given":"Leon Eyrich"},{"family":"Nielsen","given":"Morten"}],"issued":{"date-parts":[["2021",9,10]]}}}],"schema":"https://github.com/citation-style-language/schema/raw/master/csl-citation.json"} </w:instrText>
      </w:r>
      <w:r w:rsidR="00C61D6B">
        <w:rPr>
          <w:sz w:val="24"/>
          <w:szCs w:val="24"/>
          <w:lang w:val="en-CA" w:eastAsia="zh-CN"/>
        </w:rPr>
        <w:fldChar w:fldCharType="separate"/>
      </w:r>
      <w:r w:rsidR="00C61D6B" w:rsidRPr="00C61D6B">
        <w:rPr>
          <w:sz w:val="24"/>
          <w:szCs w:val="24"/>
          <w:vertAlign w:val="superscript"/>
        </w:rPr>
        <w:t>12</w:t>
      </w:r>
      <w:r w:rsidR="00C61D6B">
        <w:rPr>
          <w:sz w:val="24"/>
          <w:szCs w:val="24"/>
          <w:lang w:val="en-CA" w:eastAsia="zh-CN"/>
        </w:rPr>
        <w:fldChar w:fldCharType="end"/>
      </w:r>
      <w:r w:rsidRPr="00874AE8">
        <w:rPr>
          <w:sz w:val="24"/>
          <w:szCs w:val="24"/>
          <w:lang w:val="en-CA" w:eastAsia="zh-CN"/>
        </w:rPr>
        <w:t xml:space="preserve"> </w:t>
      </w:r>
      <w:proofErr w:type="spellStart"/>
      <w:r w:rsidRPr="00874AE8">
        <w:rPr>
          <w:sz w:val="24"/>
          <w:szCs w:val="24"/>
          <w:lang w:val="en-CA" w:eastAsia="zh-CN"/>
        </w:rPr>
        <w:t>HeteroTCR</w:t>
      </w:r>
      <w:proofErr w:type="spellEnd"/>
      <w:r w:rsidR="00CC5434">
        <w:rPr>
          <w:sz w:val="24"/>
          <w:szCs w:val="24"/>
          <w:lang w:val="en-CA" w:eastAsia="zh-CN"/>
        </w:rPr>
        <w:t xml:space="preserve"> </w:t>
      </w:r>
      <w:r w:rsidRPr="00874AE8">
        <w:rPr>
          <w:sz w:val="24"/>
          <w:szCs w:val="24"/>
          <w:lang w:val="en-CA" w:eastAsia="zh-CN"/>
        </w:rPr>
        <w:t>uses a heterogeneous graph neural network to model peptide-TCR interactions</w:t>
      </w:r>
      <w:r w:rsidR="00D1192E">
        <w:rPr>
          <w:sz w:val="24"/>
          <w:szCs w:val="24"/>
          <w:lang w:val="en-CA" w:eastAsia="zh-CN"/>
        </w:rPr>
        <w:t>.</w:t>
      </w:r>
      <w:r w:rsidR="00C61D6B">
        <w:rPr>
          <w:sz w:val="24"/>
          <w:szCs w:val="24"/>
          <w:lang w:val="en-CA" w:eastAsia="zh-CN"/>
        </w:rPr>
        <w:fldChar w:fldCharType="begin"/>
      </w:r>
      <w:r w:rsidR="00C61D6B">
        <w:rPr>
          <w:sz w:val="24"/>
          <w:szCs w:val="24"/>
          <w:lang w:val="en-CA" w:eastAsia="zh-CN"/>
        </w:rPr>
        <w:instrText xml:space="preserve"> ADDIN ZOTERO_ITEM CSL_CITATION {"citationID":"HufcAyIw","properties":{"unsorted":false,"formattedCitation":"\\super 13\\nosupersub{}","plainCitation":"13","noteIndex":0},"citationItems":[{"id":81,"uris":["http://zotero.org/users/19718002/items/DEB6XE4W"],"itemData":{"id":81,"type":"article-journal","abstract":"Identifying interactions between T-cell receptors (TCRs) and immunogenic peptides holds profound implications across diverse research domains and clinical scenarios. Unsupervised clustering models (UCMs) cannot predict peptide-TCR binding directly, while supervised predictive models (SPMs) often face challenges in identifying antigens previously unencountered by the immune system or possessing limited TCR binding repertoires. Therefore, we propose HeteroTCR, an SPM based on Heterogeneous Graph Neural Network (GNN), to accurately predict peptide-TCR binding probabilities. HeteroTCR captures within-type (TCR-TCR or peptide-peptide) similarity information and between-type (peptide-TCR) interaction insights for predictions on unseen peptides and TCRs, surpassing limitations of existing SPMs. Our evaluation shows HeteroTCR outperforms state-of-the-art models on independent datasets. Ablation studies and visual interpretation underscore the Heterogeneous GNN module’s critical role in enhancing HeteroTCR’s performance by capturing pivotal binding process features. We further demonstrate the robustness and reliability of HeteroTCR through validation using single-cell datasets, aligning with the expectation that pMHC-TCR complexes with higher predicted binding probabilities correspond to increased binding fractions.","container-title":"Communications Biology","DOI":"10.1038/s42003-024-06380-6","ISSN":"2399-3642","issue":"1","journalAbbreviation":"Commun Biol","language":"en","license":"2024 The Author(s)","page":"684","publisher":"Nature Publishing Group","source":"www.nature.com","title":"HeteroTCR: A heterogeneous graph neural network-based method for predicting peptide-TCR interaction","title-short":"HeteroTCR","volume":"7","author":[{"family":"Yu","given":"Zilan"},{"family":"Jiang","given":"Mengnan"},{"family":"Lan","given":"Xun"}],"issued":{"date-parts":[["2024",6,4]]}}}],"schema":"https://github.com/citation-style-language/schema/raw/master/csl-citation.json"} </w:instrText>
      </w:r>
      <w:r w:rsidR="00C61D6B">
        <w:rPr>
          <w:sz w:val="24"/>
          <w:szCs w:val="24"/>
          <w:lang w:val="en-CA" w:eastAsia="zh-CN"/>
        </w:rPr>
        <w:fldChar w:fldCharType="separate"/>
      </w:r>
      <w:r w:rsidR="00C61D6B" w:rsidRPr="00C61D6B">
        <w:rPr>
          <w:sz w:val="24"/>
          <w:szCs w:val="24"/>
          <w:vertAlign w:val="superscript"/>
        </w:rPr>
        <w:t>13</w:t>
      </w:r>
      <w:r w:rsidR="00C61D6B">
        <w:rPr>
          <w:sz w:val="24"/>
          <w:szCs w:val="24"/>
          <w:lang w:val="en-CA" w:eastAsia="zh-CN"/>
        </w:rPr>
        <w:fldChar w:fldCharType="end"/>
      </w:r>
      <w:r w:rsidRPr="00874AE8">
        <w:rPr>
          <w:sz w:val="24"/>
          <w:szCs w:val="24"/>
          <w:lang w:val="en-CA" w:eastAsia="zh-CN"/>
        </w:rPr>
        <w:t xml:space="preserve"> GRAPE</w:t>
      </w:r>
      <w:r w:rsidR="00CC5434">
        <w:rPr>
          <w:sz w:val="24"/>
          <w:szCs w:val="24"/>
          <w:lang w:val="en-CA" w:eastAsia="zh-CN"/>
        </w:rPr>
        <w:t xml:space="preserve"> </w:t>
      </w:r>
      <w:r w:rsidRPr="00874AE8">
        <w:rPr>
          <w:sz w:val="24"/>
          <w:szCs w:val="24"/>
          <w:lang w:val="en-CA" w:eastAsia="zh-CN"/>
        </w:rPr>
        <w:t>incorporates protein language model representations with graph-based learning to address sparsity in TCR-epitope interaction dat</w:t>
      </w:r>
      <w:r w:rsidR="00CC5434">
        <w:rPr>
          <w:sz w:val="24"/>
          <w:szCs w:val="24"/>
          <w:lang w:val="en-CA" w:eastAsia="zh-CN"/>
        </w:rPr>
        <w:t>a</w:t>
      </w:r>
      <w:r w:rsidR="00D1192E">
        <w:rPr>
          <w:sz w:val="24"/>
          <w:szCs w:val="24"/>
          <w:lang w:val="en-CA" w:eastAsia="zh-CN"/>
        </w:rPr>
        <w:t>.</w:t>
      </w:r>
      <w:r w:rsidR="00C61D6B">
        <w:rPr>
          <w:sz w:val="24"/>
          <w:szCs w:val="24"/>
          <w:lang w:val="en-CA" w:eastAsia="zh-CN"/>
        </w:rPr>
        <w:fldChar w:fldCharType="begin"/>
      </w:r>
      <w:r w:rsidR="00C61D6B">
        <w:rPr>
          <w:sz w:val="24"/>
          <w:szCs w:val="24"/>
          <w:lang w:val="en-CA" w:eastAsia="zh-CN"/>
        </w:rPr>
        <w:instrText xml:space="preserve"> ADDIN ZOTERO_ITEM CSL_CITATION {"citationID":"OwBfoi7M","properties":{"unsorted":false,"formattedCitation":"\\super 14\\nosupersub{}","plainCitation":"14","noteIndex":0},"citationItems":[{"id":158,"uris":["http://zotero.org/users/19718002/items/GDC5BGLQ"],"itemData":{"id":158,"type":"article-journal","abstract":"T-cell receptor (TCR)-epitope binding prediction is critical for immunotherapies but remains challenged by sparse interaction networks and severe class imbalance in training data. Current graph neural network (GNN) approaches for predicting TCR-epitope binding (TEB) fail to address two key limitations: over-smoothing during message propagation in sparse TCR-epitope graphs and biased predictions toward dominant epitope-TCR pairs. Here, we present GRAPE (Graph-Regularized Attentive Protein Embeddings), a framework unifying spectral graph regularization and imbalance-aware learning. GRAPE first leverages protein language models (ESM-2) to generate evolutionary-informed TCR/epitope embeddings, constructing a topology-aware interaction graph. To mitigate over-smoothing, we introduce spectral graph regularization, explicitly constraining node feature smoothness to preserve discriminative patterns in sparse neighborhoods. Simultaneously, a dynamic edge reweighting module prioritizes unobserved TCR-epitope edges during graph propagation, coupled with a differentiable area under the ROC curve-maximization objective that directly optimizes for imbalance resilience. Extensive benchmarking on public datasets demonstrates that GRAPE significantly outperforms state-of-the-art methods in TEB prediction. This work establishes GRAPE as a robust framework for elucidating TCR-epitope interactions, with broad applications in immunology research and therapeutic design.","container-title":"Briefings in Bioinformatics","DOI":"10.1093/bib/bbaf522","ISSN":"1477-4054","issue":"5","journalAbbreviation":"Brief Bioinform","page":"bbaf522","source":"Silverchair","title":"GRAPE: graph-regularized protein language modeling unlocks TCR-epitope binding specificity","title-short":"GRAPE","volume":"26","author":[{"family":"Fu","given":"Xiangzheng"},{"family":"Peng","given":"Li"},{"family":"Chen","given":"Haowen"},{"family":"Rong","given":"Mingqiang"},{"family":"Chen","given":"Yifan"},{"family":"Cao","given":"Dongsheng"},{"family":"Yuan","given":"Sisi"},{"family":"Lu","given":"Aiping"}],"issued":{"date-parts":[["2025",9,1]]}}}],"schema":"https://github.com/citation-style-language/schema/raw/master/csl-citation.json"} </w:instrText>
      </w:r>
      <w:r w:rsidR="00C61D6B">
        <w:rPr>
          <w:sz w:val="24"/>
          <w:szCs w:val="24"/>
          <w:lang w:val="en-CA" w:eastAsia="zh-CN"/>
        </w:rPr>
        <w:fldChar w:fldCharType="separate"/>
      </w:r>
      <w:r w:rsidR="00C61D6B" w:rsidRPr="00C61D6B">
        <w:rPr>
          <w:sz w:val="24"/>
          <w:szCs w:val="24"/>
          <w:vertAlign w:val="superscript"/>
        </w:rPr>
        <w:t>14</w:t>
      </w:r>
      <w:r w:rsidR="00C61D6B">
        <w:rPr>
          <w:sz w:val="24"/>
          <w:szCs w:val="24"/>
          <w:lang w:val="en-CA" w:eastAsia="zh-CN"/>
        </w:rPr>
        <w:fldChar w:fldCharType="end"/>
      </w:r>
      <w:r w:rsidRPr="00874AE8">
        <w:rPr>
          <w:sz w:val="24"/>
          <w:szCs w:val="24"/>
          <w:lang w:val="en-CA" w:eastAsia="zh-CN"/>
        </w:rPr>
        <w:t xml:space="preserve"> GTE is a graph-learning framework for predicting TCR-epitope binding specificity, primarily using TCR</w:t>
      </w:r>
      <w:r w:rsidR="00CC5434" w:rsidRPr="00874AE8">
        <w:rPr>
          <w:sz w:val="24"/>
          <w:szCs w:val="24"/>
          <w:lang w:val="en-CA" w:eastAsia="zh-CN"/>
        </w:rPr>
        <w:t>β</w:t>
      </w:r>
      <w:r w:rsidRPr="00874AE8">
        <w:rPr>
          <w:sz w:val="24"/>
          <w:szCs w:val="24"/>
          <w:lang w:val="en-CA" w:eastAsia="zh-CN"/>
        </w:rPr>
        <w:t>-chain sequence information</w:t>
      </w:r>
      <w:r w:rsidR="00D1192E">
        <w:rPr>
          <w:sz w:val="24"/>
          <w:szCs w:val="24"/>
          <w:lang w:val="en-CA" w:eastAsia="zh-CN"/>
        </w:rPr>
        <w:t>.</w:t>
      </w:r>
      <w:r w:rsidR="00C61D6B">
        <w:rPr>
          <w:sz w:val="24"/>
          <w:szCs w:val="24"/>
          <w:lang w:val="en-CA" w:eastAsia="zh-CN"/>
        </w:rPr>
        <w:fldChar w:fldCharType="begin"/>
      </w:r>
      <w:r w:rsidR="00C61D6B">
        <w:rPr>
          <w:sz w:val="24"/>
          <w:szCs w:val="24"/>
          <w:lang w:val="en-CA" w:eastAsia="zh-CN"/>
        </w:rPr>
        <w:instrText xml:space="preserve"> ADDIN ZOTERO_ITEM CSL_CITATION {"citationID":"mpFHLWvC","properties":{"unsorted":false,"formattedCitation":"\\super 15\\nosupersub{}","plainCitation":"15","noteIndex":0},"citationItems":[{"id":78,"uris":["http://zotero.org/users/19718002/items/GFRT34WL"],"itemData":{"id":78,"type":"article-journal","abstract":"The interaction between T-cell receptors (TCRs) and peptides (epitopes) presented by major histocompatibility complex molecules (MHC) is fundamental to the immune response. Accurate prediction of TCR–epitope interactions is crucial for advancing the understanding of various diseases and their prevention and treatment. Existing methods primarily rely on sequence-based approaches, overlooking the inherent topology structure of TCR–epitope interaction networks. In this study, we present $GTE$, a novel heterogeneous Graph neural network model based on inductive learning to capture the topological structure between TCRs and Epitopes. Furthermore, we address the challenge of constructing negative samples within the graph by proposing a dynamic edge update strategy, enhancing model learning with the nonbinding TCR–epitope pairs. Additionally, to overcome data imbalance, we adapt the Deep AUC Maximization strategy to the graph domain. Extensive experiments are conducted on four public datasets to demonstrate the superiority of exploring underlying topological structures in predicting TCR–epitope interactions, illustrating the benefits of delving into complex molecular networks. The implementation code and data are available at https://github.com/uta-smile/GTE.","container-title":"Briefings in Bioinformatics","DOI":"10.1093/bib/bbae343","ISSN":"1477-4054","issue":"4","journalAbbreviation":"Brief Bioinform","page":"bbae343","source":"Silverchair","title":"GTE: a graph learning framework for prediction of T-cell receptors and epitopes binding specificity","title-short":"GTE","volume":"25","author":[{"family":"Jiang","given":"Feng"},{"family":"Guo","given":"Yuzhi"},{"family":"Ma","given":"Hehuan"},{"family":"Na","given":"Saiyang"},{"family":"Zhong","given":"Wenliang"},{"family":"Han","given":"Yi"},{"family":"Wang","given":"Tao"},{"family":"Huang","given":"Junzhou"}],"issued":{"date-parts":[["2024",7,1]]}}}],"schema":"https://github.com/citation-style-language/schema/raw/master/csl-citation.json"} </w:instrText>
      </w:r>
      <w:r w:rsidR="00C61D6B">
        <w:rPr>
          <w:sz w:val="24"/>
          <w:szCs w:val="24"/>
          <w:lang w:val="en-CA" w:eastAsia="zh-CN"/>
        </w:rPr>
        <w:fldChar w:fldCharType="separate"/>
      </w:r>
      <w:r w:rsidR="00C61D6B" w:rsidRPr="00C61D6B">
        <w:rPr>
          <w:sz w:val="24"/>
          <w:szCs w:val="24"/>
          <w:vertAlign w:val="superscript"/>
        </w:rPr>
        <w:t>15</w:t>
      </w:r>
      <w:r w:rsidR="00C61D6B">
        <w:rPr>
          <w:sz w:val="24"/>
          <w:szCs w:val="24"/>
          <w:lang w:val="en-CA" w:eastAsia="zh-CN"/>
        </w:rPr>
        <w:fldChar w:fldCharType="end"/>
      </w:r>
      <w:r w:rsidRPr="00874AE8">
        <w:rPr>
          <w:sz w:val="24"/>
          <w:szCs w:val="24"/>
          <w:lang w:val="en-CA" w:eastAsia="zh-CN"/>
        </w:rPr>
        <w:t xml:space="preserve"> All baseline methods were evaluated using the same cross-validation partitions and negative-sampling protocol as </w:t>
      </w:r>
      <w:proofErr w:type="spellStart"/>
      <w:r w:rsidRPr="00874AE8">
        <w:rPr>
          <w:sz w:val="24"/>
          <w:szCs w:val="24"/>
          <w:lang w:val="en-CA" w:eastAsia="zh-CN"/>
        </w:rPr>
        <w:t>GraphTCR</w:t>
      </w:r>
      <w:proofErr w:type="spellEnd"/>
      <w:r w:rsidRPr="00874AE8">
        <w:rPr>
          <w:sz w:val="24"/>
          <w:szCs w:val="24"/>
          <w:lang w:val="en-CA" w:eastAsia="zh-CN"/>
        </w:rPr>
        <w:t>-Mamba to ensure consistent comparison.</w:t>
      </w:r>
    </w:p>
    <w:p w14:paraId="1D165AA7" w14:textId="57F0447B" w:rsidR="00CC5434" w:rsidRPr="00CC5434" w:rsidRDefault="00CC5434" w:rsidP="00CC5434">
      <w:pPr>
        <w:pStyle w:val="Heading1"/>
      </w:pPr>
      <w:r>
        <w:lastRenderedPageBreak/>
        <w:t>Results</w:t>
      </w:r>
    </w:p>
    <w:p w14:paraId="755852B8" w14:textId="1316796F" w:rsidR="003E7893" w:rsidRDefault="005E77B3" w:rsidP="00B217E4">
      <w:pPr>
        <w:pStyle w:val="Heading2"/>
      </w:pPr>
      <w:r w:rsidRPr="005E77B3">
        <w:t>Performance across benchmark datasets</w:t>
      </w:r>
    </w:p>
    <w:p w14:paraId="586A4CB6" w14:textId="10C701F2" w:rsidR="003E7893" w:rsidRPr="009D29F4" w:rsidRDefault="005E77B3" w:rsidP="009D29F4">
      <w:pPr>
        <w:spacing w:line="300" w:lineRule="exact"/>
        <w:jc w:val="both"/>
        <w:rPr>
          <w:sz w:val="24"/>
          <w:szCs w:val="24"/>
          <w:lang w:val="en-CA" w:eastAsia="zh-CN"/>
        </w:rPr>
      </w:pPr>
      <w:r w:rsidRPr="009D29F4">
        <w:rPr>
          <w:sz w:val="24"/>
          <w:szCs w:val="24"/>
          <w:lang w:val="en-CA" w:eastAsia="zh-CN"/>
        </w:rPr>
        <w:t>Fig</w:t>
      </w:r>
      <w:r w:rsidR="00EA0468">
        <w:rPr>
          <w:sz w:val="24"/>
          <w:szCs w:val="24"/>
          <w:lang w:val="en-CA" w:eastAsia="zh-CN"/>
        </w:rPr>
        <w:t>s</w:t>
      </w:r>
      <w:r w:rsidR="009D29F4">
        <w:rPr>
          <w:sz w:val="24"/>
          <w:szCs w:val="24"/>
          <w:lang w:val="en-CA" w:eastAsia="zh-CN"/>
        </w:rPr>
        <w:t>.</w:t>
      </w:r>
      <w:r w:rsidRPr="009D29F4">
        <w:rPr>
          <w:sz w:val="24"/>
          <w:szCs w:val="24"/>
          <w:lang w:val="en-CA" w:eastAsia="zh-CN"/>
        </w:rPr>
        <w:t xml:space="preserve"> 2-4 compare </w:t>
      </w:r>
      <w:proofErr w:type="spellStart"/>
      <w:r w:rsidRPr="009D29F4">
        <w:rPr>
          <w:sz w:val="24"/>
          <w:szCs w:val="24"/>
          <w:lang w:val="en-CA" w:eastAsia="zh-CN"/>
        </w:rPr>
        <w:t>GraphTCR</w:t>
      </w:r>
      <w:proofErr w:type="spellEnd"/>
      <w:r w:rsidRPr="009D29F4">
        <w:rPr>
          <w:sz w:val="24"/>
          <w:szCs w:val="24"/>
          <w:lang w:val="en-CA" w:eastAsia="zh-CN"/>
        </w:rPr>
        <w:t xml:space="preserve">-Mamba with the baseline methods on the IEDB, </w:t>
      </w:r>
      <w:proofErr w:type="spellStart"/>
      <w:r w:rsidR="00032DF6">
        <w:rPr>
          <w:sz w:val="24"/>
          <w:szCs w:val="24"/>
          <w:lang w:val="en-CA" w:eastAsia="zh-CN"/>
        </w:rPr>
        <w:t>VDJdb</w:t>
      </w:r>
      <w:proofErr w:type="spellEnd"/>
      <w:r w:rsidRPr="009D29F4">
        <w:rPr>
          <w:sz w:val="24"/>
          <w:szCs w:val="24"/>
          <w:lang w:val="en-CA" w:eastAsia="zh-CN"/>
        </w:rPr>
        <w:t xml:space="preserve">, and </w:t>
      </w:r>
      <w:proofErr w:type="spellStart"/>
      <w:r w:rsidR="00032DF6" w:rsidRPr="009D29F4">
        <w:rPr>
          <w:sz w:val="24"/>
          <w:szCs w:val="24"/>
          <w:lang w:val="en-CA" w:eastAsia="zh-CN"/>
        </w:rPr>
        <w:t>McPAS</w:t>
      </w:r>
      <w:proofErr w:type="spellEnd"/>
      <w:r w:rsidR="00032DF6" w:rsidRPr="009D29F4">
        <w:rPr>
          <w:sz w:val="24"/>
          <w:szCs w:val="24"/>
          <w:lang w:val="en-CA" w:eastAsia="zh-CN"/>
        </w:rPr>
        <w:t xml:space="preserve">-TCR </w:t>
      </w:r>
      <w:r w:rsidRPr="009D29F4">
        <w:rPr>
          <w:sz w:val="24"/>
          <w:szCs w:val="24"/>
          <w:lang w:val="en-CA" w:eastAsia="zh-CN"/>
        </w:rPr>
        <w:t xml:space="preserve">datasets. The largest improvement was observed on IEDB, where </w:t>
      </w:r>
      <w:proofErr w:type="spellStart"/>
      <w:r w:rsidRPr="009D29F4">
        <w:rPr>
          <w:sz w:val="24"/>
          <w:szCs w:val="24"/>
          <w:lang w:val="en-CA" w:eastAsia="zh-CN"/>
        </w:rPr>
        <w:t>GraphTCR</w:t>
      </w:r>
      <w:proofErr w:type="spellEnd"/>
      <w:r w:rsidRPr="009D29F4">
        <w:rPr>
          <w:sz w:val="24"/>
          <w:szCs w:val="24"/>
          <w:lang w:val="en-CA" w:eastAsia="zh-CN"/>
        </w:rPr>
        <w:t xml:space="preserve">-Mamba achieved an AUROC of 0.938 and an AUPR of 0.925, exceeding the strongest baseline by 0.066 and 0.032, respectively. On </w:t>
      </w:r>
      <w:proofErr w:type="spellStart"/>
      <w:r w:rsidRPr="009D29F4">
        <w:rPr>
          <w:sz w:val="24"/>
          <w:szCs w:val="24"/>
          <w:lang w:val="en-CA" w:eastAsia="zh-CN"/>
        </w:rPr>
        <w:t>McPAS</w:t>
      </w:r>
      <w:proofErr w:type="spellEnd"/>
      <w:r w:rsidRPr="009D29F4">
        <w:rPr>
          <w:sz w:val="24"/>
          <w:szCs w:val="24"/>
          <w:lang w:val="en-CA" w:eastAsia="zh-CN"/>
        </w:rPr>
        <w:t xml:space="preserve">-TCR, the improvements were more modest, with gains of 0.011 in AUROC and 0.012 in AUPR over the best-performing baseline. Performance on </w:t>
      </w:r>
      <w:proofErr w:type="spellStart"/>
      <w:r w:rsidRPr="009D29F4">
        <w:rPr>
          <w:sz w:val="24"/>
          <w:szCs w:val="24"/>
          <w:lang w:val="en-CA" w:eastAsia="zh-CN"/>
        </w:rPr>
        <w:t>VDJdb</w:t>
      </w:r>
      <w:proofErr w:type="spellEnd"/>
      <w:r w:rsidRPr="009D29F4">
        <w:rPr>
          <w:sz w:val="24"/>
          <w:szCs w:val="24"/>
          <w:lang w:val="en-CA" w:eastAsia="zh-CN"/>
        </w:rPr>
        <w:t xml:space="preserve"> approached the ceiling across several methods; nevertheless, </w:t>
      </w:r>
      <w:proofErr w:type="spellStart"/>
      <w:r w:rsidRPr="009D29F4">
        <w:rPr>
          <w:sz w:val="24"/>
          <w:szCs w:val="24"/>
          <w:lang w:val="en-CA" w:eastAsia="zh-CN"/>
        </w:rPr>
        <w:t>GraphTCR</w:t>
      </w:r>
      <w:proofErr w:type="spellEnd"/>
      <w:r w:rsidRPr="009D29F4">
        <w:rPr>
          <w:sz w:val="24"/>
          <w:szCs w:val="24"/>
          <w:lang w:val="en-CA" w:eastAsia="zh-CN"/>
        </w:rPr>
        <w:t>-Mamba achieved the highest AUROC (0.993) and tied NetTCR-2.0 for the highest AUPR (0.992).</w:t>
      </w:r>
      <w:r w:rsidR="009D29F4" w:rsidRPr="009D29F4">
        <w:rPr>
          <w:sz w:val="24"/>
          <w:szCs w:val="24"/>
          <w:lang w:val="en-CA" w:eastAsia="zh-CN"/>
        </w:rPr>
        <w:t xml:space="preserve"> Overall, </w:t>
      </w:r>
      <w:proofErr w:type="spellStart"/>
      <w:r w:rsidR="009D29F4" w:rsidRPr="009D29F4">
        <w:rPr>
          <w:sz w:val="24"/>
          <w:szCs w:val="24"/>
          <w:lang w:val="en-CA" w:eastAsia="zh-CN"/>
        </w:rPr>
        <w:t>GraphTCR</w:t>
      </w:r>
      <w:proofErr w:type="spellEnd"/>
      <w:r w:rsidR="009D29F4" w:rsidRPr="009D29F4">
        <w:rPr>
          <w:sz w:val="24"/>
          <w:szCs w:val="24"/>
          <w:lang w:val="en-CA" w:eastAsia="zh-CN"/>
        </w:rPr>
        <w:t>-Mamba achieved consistently strong performance across all three datasets, with the greatest advantage observed on the more challenging IEDB dataset.</w:t>
      </w:r>
    </w:p>
    <w:p w14:paraId="7479A20F" w14:textId="28845FC8" w:rsidR="00CC5434" w:rsidRPr="00420A44" w:rsidRDefault="00420A44" w:rsidP="00420A44">
      <w:pPr>
        <w:jc w:val="center"/>
        <w:rPr>
          <w:rFonts w:eastAsia="BIG5黑体"/>
          <w:lang w:eastAsia="zh-CN"/>
        </w:rPr>
      </w:pPr>
      <w:r>
        <w:rPr>
          <w:rFonts w:eastAsia="BIG5黑体"/>
          <w:noProof/>
          <w:lang w:eastAsia="zh-CN"/>
        </w:rPr>
        <w:drawing>
          <wp:inline distT="0" distB="0" distL="0" distR="0" wp14:anchorId="795B399E" wp14:editId="422A0D91">
            <wp:extent cx="6035040" cy="2453640"/>
            <wp:effectExtent l="0" t="0" r="0" b="0"/>
            <wp:docPr id="123193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03" name="Picture 123193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5040" cy="2453640"/>
                    </a:xfrm>
                    <a:prstGeom prst="rect">
                      <a:avLst/>
                    </a:prstGeom>
                  </pic:spPr>
                </pic:pic>
              </a:graphicData>
            </a:graphic>
          </wp:inline>
        </w:drawing>
      </w:r>
    </w:p>
    <w:p w14:paraId="794AFDA0" w14:textId="46C35739" w:rsidR="00CC5434" w:rsidRDefault="00CC5434" w:rsidP="00CC5434">
      <w:pPr>
        <w:pStyle w:val="Caption"/>
        <w:jc w:val="center"/>
      </w:pPr>
      <w:r>
        <w:t>Fig. 2.  </w:t>
      </w:r>
      <w:r w:rsidR="00E8306D">
        <w:t>Performance comparison on the IEDB dataset</w:t>
      </w:r>
      <w:r>
        <w:t>.</w:t>
      </w:r>
    </w:p>
    <w:p w14:paraId="78A043CB" w14:textId="00095832" w:rsidR="00CC5434" w:rsidRPr="00420A44" w:rsidRDefault="00420A44" w:rsidP="00420A44">
      <w:pPr>
        <w:rPr>
          <w:rFonts w:eastAsia="BIG5黑体"/>
          <w:lang w:eastAsia="zh-CN"/>
        </w:rPr>
      </w:pPr>
      <w:r>
        <w:rPr>
          <w:rFonts w:eastAsia="BIG5黑体"/>
          <w:noProof/>
          <w:lang w:eastAsia="zh-CN"/>
        </w:rPr>
        <w:lastRenderedPageBreak/>
        <w:drawing>
          <wp:inline distT="0" distB="0" distL="0" distR="0" wp14:anchorId="01891A82" wp14:editId="6362036B">
            <wp:extent cx="6035040" cy="2453640"/>
            <wp:effectExtent l="0" t="0" r="0" b="0"/>
            <wp:docPr id="1178342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2242" name="Picture 1178342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5040" cy="2453640"/>
                    </a:xfrm>
                    <a:prstGeom prst="rect">
                      <a:avLst/>
                    </a:prstGeom>
                  </pic:spPr>
                </pic:pic>
              </a:graphicData>
            </a:graphic>
          </wp:inline>
        </w:drawing>
      </w:r>
    </w:p>
    <w:p w14:paraId="3755AFB1" w14:textId="2C5E3E39" w:rsidR="00CC5434" w:rsidRDefault="00CC5434" w:rsidP="00CC5434">
      <w:pPr>
        <w:pStyle w:val="Caption"/>
        <w:jc w:val="center"/>
      </w:pPr>
      <w:r>
        <w:t>Fig. 3.</w:t>
      </w:r>
      <w:r w:rsidR="00E8306D">
        <w:t xml:space="preserve"> Performance comparison on the </w:t>
      </w:r>
      <w:proofErr w:type="spellStart"/>
      <w:r w:rsidR="00E8306D">
        <w:t>VDJdb</w:t>
      </w:r>
      <w:proofErr w:type="spellEnd"/>
      <w:r w:rsidR="00E8306D">
        <w:t xml:space="preserve"> dataset</w:t>
      </w:r>
      <w:r>
        <w:t>.</w:t>
      </w:r>
    </w:p>
    <w:p w14:paraId="1E029A48" w14:textId="6FE25517" w:rsidR="00CC5434" w:rsidRPr="00420A44" w:rsidRDefault="00420A44" w:rsidP="00420A44">
      <w:pPr>
        <w:jc w:val="center"/>
        <w:rPr>
          <w:rFonts w:eastAsia="BIG5黑体"/>
          <w:lang w:eastAsia="zh-CN"/>
        </w:rPr>
      </w:pPr>
      <w:r>
        <w:rPr>
          <w:rFonts w:eastAsia="BIG5黑体"/>
          <w:noProof/>
          <w:lang w:eastAsia="zh-CN"/>
        </w:rPr>
        <w:drawing>
          <wp:inline distT="0" distB="0" distL="0" distR="0" wp14:anchorId="58E7489E" wp14:editId="24BF8BC6">
            <wp:extent cx="6035040" cy="2453640"/>
            <wp:effectExtent l="0" t="0" r="0" b="0"/>
            <wp:docPr id="1960052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52290" name="Picture 19600522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2453640"/>
                    </a:xfrm>
                    <a:prstGeom prst="rect">
                      <a:avLst/>
                    </a:prstGeom>
                  </pic:spPr>
                </pic:pic>
              </a:graphicData>
            </a:graphic>
          </wp:inline>
        </w:drawing>
      </w:r>
    </w:p>
    <w:p w14:paraId="45453F8A" w14:textId="487C6C9F" w:rsidR="00CC5434" w:rsidRPr="00CC5434" w:rsidRDefault="00CC5434" w:rsidP="003C2117">
      <w:pPr>
        <w:pStyle w:val="Caption"/>
        <w:jc w:val="center"/>
      </w:pPr>
      <w:r>
        <w:t>Fig. 4.  </w:t>
      </w:r>
      <w:r w:rsidR="00E8306D">
        <w:t xml:space="preserve">Performance comparison on the </w:t>
      </w:r>
      <w:proofErr w:type="spellStart"/>
      <w:r w:rsidR="00E8306D">
        <w:t>McPAS</w:t>
      </w:r>
      <w:proofErr w:type="spellEnd"/>
      <w:r w:rsidR="00032DF6">
        <w:t>-TCR</w:t>
      </w:r>
      <w:r w:rsidR="00E8306D">
        <w:t xml:space="preserve"> dataset</w:t>
      </w:r>
      <w:r>
        <w:t>.</w:t>
      </w:r>
    </w:p>
    <w:p w14:paraId="76BB4B41" w14:textId="682DCAAA" w:rsidR="00CC5434" w:rsidRDefault="00CC5434" w:rsidP="00CC5434">
      <w:pPr>
        <w:pStyle w:val="Heading2"/>
      </w:pPr>
      <w:r>
        <w:t xml:space="preserve">Generalization </w:t>
      </w:r>
      <w:r w:rsidR="00032DF6">
        <w:t>under cold-start splits</w:t>
      </w:r>
    </w:p>
    <w:p w14:paraId="7A2350B0" w14:textId="1EC04AEE" w:rsidR="00BB4832" w:rsidRDefault="00BB4832" w:rsidP="00BB4832">
      <w:pPr>
        <w:spacing w:line="300" w:lineRule="exact"/>
        <w:jc w:val="both"/>
        <w:rPr>
          <w:sz w:val="24"/>
          <w:szCs w:val="24"/>
          <w:lang w:val="en-CA" w:eastAsia="zh-CN"/>
        </w:rPr>
      </w:pPr>
      <w:r w:rsidRPr="00CC5434">
        <w:rPr>
          <w:sz w:val="24"/>
          <w:szCs w:val="24"/>
          <w:lang w:val="en-CA" w:eastAsia="zh-CN"/>
        </w:rPr>
        <w:t xml:space="preserve">To assess whether </w:t>
      </w:r>
      <w:proofErr w:type="spellStart"/>
      <w:r w:rsidRPr="00CC5434">
        <w:rPr>
          <w:sz w:val="24"/>
          <w:szCs w:val="24"/>
          <w:lang w:val="en-CA" w:eastAsia="zh-CN"/>
        </w:rPr>
        <w:t>GraphTCR</w:t>
      </w:r>
      <w:proofErr w:type="spellEnd"/>
      <w:r w:rsidRPr="00CC5434">
        <w:rPr>
          <w:sz w:val="24"/>
          <w:szCs w:val="24"/>
          <w:lang w:val="en-CA" w:eastAsia="zh-CN"/>
        </w:rPr>
        <w:t>-Mamba captures transferable interaction patterns beyond those observe</w:t>
      </w:r>
      <w:r>
        <w:rPr>
          <w:sz w:val="24"/>
          <w:szCs w:val="24"/>
          <w:lang w:val="en-CA" w:eastAsia="zh-CN"/>
        </w:rPr>
        <w:t>d</w:t>
      </w:r>
      <w:r w:rsidRPr="00CC5434">
        <w:rPr>
          <w:sz w:val="24"/>
          <w:szCs w:val="24"/>
          <w:lang w:val="en-CA" w:eastAsia="zh-CN"/>
        </w:rPr>
        <w:t xml:space="preserve"> during training, we evaluated the model under three cold-split settings for each dataset: TCR-cold, epitope-cold, and both-cold. Table </w:t>
      </w:r>
      <w:r>
        <w:rPr>
          <w:sz w:val="24"/>
          <w:szCs w:val="24"/>
          <w:lang w:val="en-CA" w:eastAsia="zh-CN"/>
        </w:rPr>
        <w:t>1</w:t>
      </w:r>
      <w:r w:rsidRPr="00CC5434">
        <w:rPr>
          <w:sz w:val="24"/>
          <w:szCs w:val="24"/>
          <w:lang w:val="en-CA" w:eastAsia="zh-CN"/>
        </w:rPr>
        <w:t xml:space="preserve"> summarizes the result</w:t>
      </w:r>
      <w:r>
        <w:rPr>
          <w:sz w:val="24"/>
          <w:szCs w:val="24"/>
          <w:lang w:val="en-CA" w:eastAsia="zh-CN"/>
        </w:rPr>
        <w:t>s</w:t>
      </w:r>
      <w:r w:rsidRPr="00CC5434">
        <w:rPr>
          <w:sz w:val="24"/>
          <w:szCs w:val="24"/>
          <w:lang w:val="en-CA" w:eastAsia="zh-CN"/>
        </w:rPr>
        <w:t>.</w:t>
      </w:r>
    </w:p>
    <w:p w14:paraId="6A0D3C55" w14:textId="162D7053" w:rsidR="00BB4832" w:rsidRDefault="00BB4832" w:rsidP="00D750EF">
      <w:pPr>
        <w:spacing w:line="300" w:lineRule="exact"/>
        <w:ind w:firstLine="357"/>
        <w:jc w:val="both"/>
        <w:rPr>
          <w:sz w:val="24"/>
          <w:szCs w:val="24"/>
          <w:lang w:val="en-CA" w:eastAsia="zh-CN"/>
        </w:rPr>
      </w:pPr>
      <w:r w:rsidRPr="00F81367">
        <w:rPr>
          <w:sz w:val="24"/>
          <w:szCs w:val="24"/>
          <w:lang w:val="en-CA" w:eastAsia="zh-CN"/>
        </w:rPr>
        <w:t>Across all three datasets, generalization depended strongly on which interaction partner was unseen. The model retained high discriminative</w:t>
      </w:r>
      <w:r>
        <w:rPr>
          <w:sz w:val="24"/>
          <w:szCs w:val="24"/>
          <w:lang w:val="en-CA" w:eastAsia="zh-CN"/>
        </w:rPr>
        <w:t xml:space="preserve"> </w:t>
      </w:r>
      <w:r w:rsidRPr="00F81367">
        <w:rPr>
          <w:sz w:val="24"/>
          <w:szCs w:val="24"/>
          <w:lang w:val="en-CA" w:eastAsia="zh-CN"/>
        </w:rPr>
        <w:t>performance under the TCR-cold protocol, suggesting that representations learned for observed epitopes transfer well to novel TCR sequences. Performance declined consistently when epitopes were held out, showing that</w:t>
      </w:r>
      <w:r>
        <w:rPr>
          <w:sz w:val="24"/>
          <w:szCs w:val="24"/>
          <w:lang w:val="en-CA" w:eastAsia="zh-CN"/>
        </w:rPr>
        <w:t xml:space="preserve"> </w:t>
      </w:r>
      <w:r w:rsidRPr="00F81367">
        <w:rPr>
          <w:sz w:val="24"/>
          <w:szCs w:val="24"/>
          <w:lang w:val="en-CA" w:eastAsia="zh-CN"/>
        </w:rPr>
        <w:t>generalization to new antigenic targets is substantially more difficult than</w:t>
      </w:r>
      <w:r>
        <w:rPr>
          <w:sz w:val="24"/>
          <w:szCs w:val="24"/>
          <w:lang w:val="en-CA" w:eastAsia="zh-CN"/>
        </w:rPr>
        <w:t xml:space="preserve"> </w:t>
      </w:r>
      <w:r w:rsidRPr="00F81367">
        <w:rPr>
          <w:sz w:val="24"/>
          <w:szCs w:val="24"/>
          <w:lang w:val="en-CA" w:eastAsia="zh-CN"/>
        </w:rPr>
        <w:t>generalization to new receptors.</w:t>
      </w:r>
    </w:p>
    <w:p w14:paraId="21D8DFAA" w14:textId="77777777" w:rsidR="00D750EF" w:rsidRDefault="00D750EF" w:rsidP="00D750EF">
      <w:pPr>
        <w:spacing w:line="300" w:lineRule="exact"/>
        <w:ind w:firstLine="357"/>
        <w:jc w:val="both"/>
        <w:rPr>
          <w:sz w:val="24"/>
          <w:szCs w:val="24"/>
          <w:lang w:val="en-CA" w:eastAsia="zh-CN"/>
        </w:rPr>
      </w:pPr>
    </w:p>
    <w:p w14:paraId="1BA8C198" w14:textId="1C9779AB" w:rsidR="00BB4832" w:rsidRPr="000F63B2" w:rsidRDefault="00BB4832" w:rsidP="00BB4832">
      <w:pPr>
        <w:spacing w:line="300" w:lineRule="exact"/>
        <w:jc w:val="center"/>
        <w:rPr>
          <w:lang w:val="en-CA" w:eastAsia="zh-CN"/>
        </w:rPr>
      </w:pPr>
      <w:r w:rsidRPr="000F63B2">
        <w:rPr>
          <w:lang w:val="en-CA" w:eastAsia="zh-CN"/>
        </w:rPr>
        <w:t>Table 1. TCR-Epitope binding prediction performance under cold-split Protocols</w:t>
      </w:r>
    </w:p>
    <w:tbl>
      <w:tblPr>
        <w:tblStyle w:val="TableGrid"/>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373"/>
        <w:gridCol w:w="2373"/>
        <w:gridCol w:w="2374"/>
        <w:gridCol w:w="2374"/>
      </w:tblGrid>
      <w:tr w:rsidR="00BB4832" w:rsidRPr="00F547A7" w14:paraId="78D74778" w14:textId="77777777" w:rsidTr="00BB4832">
        <w:tc>
          <w:tcPr>
            <w:tcW w:w="2373" w:type="dxa"/>
            <w:tcBorders>
              <w:top w:val="single" w:sz="2" w:space="0" w:color="auto"/>
              <w:bottom w:val="single" w:sz="2" w:space="0" w:color="auto"/>
            </w:tcBorders>
          </w:tcPr>
          <w:p w14:paraId="5B8CBABC" w14:textId="5BCD97F2" w:rsidR="00BB4832" w:rsidRPr="00F547A7" w:rsidRDefault="00BB4832" w:rsidP="00F81367">
            <w:pPr>
              <w:spacing w:line="300" w:lineRule="exact"/>
              <w:jc w:val="both"/>
              <w:rPr>
                <w:lang w:val="en-CA" w:eastAsia="zh-CN"/>
              </w:rPr>
            </w:pPr>
            <w:r w:rsidRPr="00F547A7">
              <w:rPr>
                <w:lang w:val="en-CA" w:eastAsia="zh-CN"/>
              </w:rPr>
              <w:t>Dataset</w:t>
            </w:r>
          </w:p>
        </w:tc>
        <w:tc>
          <w:tcPr>
            <w:tcW w:w="2373" w:type="dxa"/>
            <w:tcBorders>
              <w:top w:val="single" w:sz="2" w:space="0" w:color="auto"/>
              <w:bottom w:val="single" w:sz="2" w:space="0" w:color="auto"/>
            </w:tcBorders>
          </w:tcPr>
          <w:p w14:paraId="40E4A819" w14:textId="6A113280" w:rsidR="00BB4832" w:rsidRPr="00F547A7" w:rsidRDefault="00BB4832" w:rsidP="00F81367">
            <w:pPr>
              <w:spacing w:line="300" w:lineRule="exact"/>
              <w:jc w:val="both"/>
              <w:rPr>
                <w:lang w:val="en-CA" w:eastAsia="zh-CN"/>
              </w:rPr>
            </w:pPr>
            <w:r w:rsidRPr="00F547A7">
              <w:rPr>
                <w:lang w:val="en-CA" w:eastAsia="zh-CN"/>
              </w:rPr>
              <w:t>Protocol</w:t>
            </w:r>
          </w:p>
        </w:tc>
        <w:tc>
          <w:tcPr>
            <w:tcW w:w="2374" w:type="dxa"/>
            <w:tcBorders>
              <w:top w:val="single" w:sz="2" w:space="0" w:color="auto"/>
              <w:bottom w:val="single" w:sz="2" w:space="0" w:color="auto"/>
            </w:tcBorders>
          </w:tcPr>
          <w:p w14:paraId="1F118CD8" w14:textId="4130FAAD" w:rsidR="00BB4832" w:rsidRPr="00F547A7" w:rsidRDefault="00BB4832" w:rsidP="00F81367">
            <w:pPr>
              <w:spacing w:line="300" w:lineRule="exact"/>
              <w:jc w:val="both"/>
              <w:rPr>
                <w:lang w:val="en-CA" w:eastAsia="zh-CN"/>
              </w:rPr>
            </w:pPr>
            <w:r w:rsidRPr="00F547A7">
              <w:rPr>
                <w:lang w:val="en-CA" w:eastAsia="zh-CN"/>
              </w:rPr>
              <w:t>Mean AUROC</w:t>
            </w:r>
          </w:p>
        </w:tc>
        <w:tc>
          <w:tcPr>
            <w:tcW w:w="2374" w:type="dxa"/>
            <w:tcBorders>
              <w:top w:val="single" w:sz="2" w:space="0" w:color="auto"/>
              <w:bottom w:val="single" w:sz="2" w:space="0" w:color="auto"/>
            </w:tcBorders>
          </w:tcPr>
          <w:p w14:paraId="7F54F210" w14:textId="5AB89F17" w:rsidR="00BB4832" w:rsidRPr="00F547A7" w:rsidRDefault="00BB4832" w:rsidP="00F81367">
            <w:pPr>
              <w:spacing w:line="300" w:lineRule="exact"/>
              <w:jc w:val="both"/>
              <w:rPr>
                <w:lang w:val="en-CA" w:eastAsia="zh-CN"/>
              </w:rPr>
            </w:pPr>
            <w:r w:rsidRPr="00F547A7">
              <w:rPr>
                <w:lang w:val="en-CA" w:eastAsia="zh-CN"/>
              </w:rPr>
              <w:t>Mean AUPR</w:t>
            </w:r>
          </w:p>
        </w:tc>
      </w:tr>
      <w:tr w:rsidR="00BB4832" w:rsidRPr="00F547A7" w14:paraId="7CD5BED6" w14:textId="77777777" w:rsidTr="00BB4832">
        <w:tc>
          <w:tcPr>
            <w:tcW w:w="2373" w:type="dxa"/>
            <w:tcBorders>
              <w:top w:val="single" w:sz="2" w:space="0" w:color="auto"/>
            </w:tcBorders>
          </w:tcPr>
          <w:p w14:paraId="75DDC9F1" w14:textId="7D09F6EF" w:rsidR="00BB4832" w:rsidRPr="00F547A7" w:rsidRDefault="00BB4832" w:rsidP="00F81367">
            <w:pPr>
              <w:spacing w:line="300" w:lineRule="exact"/>
              <w:jc w:val="both"/>
              <w:rPr>
                <w:lang w:val="en-CA" w:eastAsia="zh-CN"/>
              </w:rPr>
            </w:pPr>
            <w:r w:rsidRPr="00F547A7">
              <w:rPr>
                <w:lang w:val="en-CA" w:eastAsia="zh-CN"/>
              </w:rPr>
              <w:t>IEDB</w:t>
            </w:r>
          </w:p>
        </w:tc>
        <w:tc>
          <w:tcPr>
            <w:tcW w:w="2373" w:type="dxa"/>
            <w:tcBorders>
              <w:top w:val="single" w:sz="2" w:space="0" w:color="auto"/>
            </w:tcBorders>
          </w:tcPr>
          <w:p w14:paraId="58990C6C" w14:textId="3ED14BC8" w:rsidR="00BB4832" w:rsidRPr="00F547A7" w:rsidRDefault="00BB4832" w:rsidP="00F81367">
            <w:pPr>
              <w:spacing w:line="300" w:lineRule="exact"/>
              <w:jc w:val="both"/>
              <w:rPr>
                <w:lang w:val="en-CA" w:eastAsia="zh-CN"/>
              </w:rPr>
            </w:pPr>
            <w:r w:rsidRPr="00F547A7">
              <w:rPr>
                <w:lang w:val="en-CA" w:eastAsia="zh-CN"/>
              </w:rPr>
              <w:t>TCR-cold</w:t>
            </w:r>
          </w:p>
        </w:tc>
        <w:tc>
          <w:tcPr>
            <w:tcW w:w="2374" w:type="dxa"/>
            <w:tcBorders>
              <w:top w:val="single" w:sz="2" w:space="0" w:color="auto"/>
            </w:tcBorders>
          </w:tcPr>
          <w:p w14:paraId="027E7E67" w14:textId="0F01E7C8" w:rsidR="00BB4832" w:rsidRPr="00F547A7" w:rsidRDefault="00BB4832" w:rsidP="00F81367">
            <w:pPr>
              <w:spacing w:line="300" w:lineRule="exact"/>
              <w:jc w:val="both"/>
              <w:rPr>
                <w:lang w:val="en-CA" w:eastAsia="zh-CN"/>
              </w:rPr>
            </w:pPr>
            <w:r w:rsidRPr="00F547A7">
              <w:rPr>
                <w:lang w:val="en-CA" w:eastAsia="zh-CN"/>
              </w:rPr>
              <w:t>0.871</w:t>
            </w:r>
          </w:p>
        </w:tc>
        <w:tc>
          <w:tcPr>
            <w:tcW w:w="2374" w:type="dxa"/>
            <w:tcBorders>
              <w:top w:val="single" w:sz="2" w:space="0" w:color="auto"/>
            </w:tcBorders>
          </w:tcPr>
          <w:p w14:paraId="49C3EFDD" w14:textId="5A4073D6" w:rsidR="00BB4832" w:rsidRPr="00F547A7" w:rsidRDefault="00BB4832" w:rsidP="00F81367">
            <w:pPr>
              <w:spacing w:line="300" w:lineRule="exact"/>
              <w:jc w:val="both"/>
              <w:rPr>
                <w:lang w:val="en-CA" w:eastAsia="zh-CN"/>
              </w:rPr>
            </w:pPr>
            <w:r w:rsidRPr="00F547A7">
              <w:rPr>
                <w:lang w:val="en-CA" w:eastAsia="zh-CN"/>
              </w:rPr>
              <w:t>0.895</w:t>
            </w:r>
          </w:p>
        </w:tc>
      </w:tr>
      <w:tr w:rsidR="00BB4832" w:rsidRPr="00F547A7" w14:paraId="34E03B75" w14:textId="77777777" w:rsidTr="00BB4832">
        <w:tc>
          <w:tcPr>
            <w:tcW w:w="2373" w:type="dxa"/>
          </w:tcPr>
          <w:p w14:paraId="2F070883" w14:textId="18F1C317" w:rsidR="00BB4832" w:rsidRPr="00F547A7" w:rsidRDefault="00BB4832" w:rsidP="00F81367">
            <w:pPr>
              <w:spacing w:line="300" w:lineRule="exact"/>
              <w:jc w:val="both"/>
              <w:rPr>
                <w:lang w:val="en-CA" w:eastAsia="zh-CN"/>
              </w:rPr>
            </w:pPr>
            <w:r w:rsidRPr="00F547A7">
              <w:rPr>
                <w:lang w:val="en-CA" w:eastAsia="zh-CN"/>
              </w:rPr>
              <w:t>IEDB</w:t>
            </w:r>
          </w:p>
        </w:tc>
        <w:tc>
          <w:tcPr>
            <w:tcW w:w="2373" w:type="dxa"/>
          </w:tcPr>
          <w:p w14:paraId="3BDE4B4D" w14:textId="7B3B4978" w:rsidR="00BB4832" w:rsidRPr="00F547A7" w:rsidRDefault="00BB4832" w:rsidP="00F81367">
            <w:pPr>
              <w:spacing w:line="300" w:lineRule="exact"/>
              <w:jc w:val="both"/>
              <w:rPr>
                <w:lang w:val="en-CA" w:eastAsia="zh-CN"/>
              </w:rPr>
            </w:pPr>
            <w:r w:rsidRPr="00F547A7">
              <w:rPr>
                <w:lang w:val="en-CA" w:eastAsia="zh-CN"/>
              </w:rPr>
              <w:t>Epitope-cold</w:t>
            </w:r>
          </w:p>
        </w:tc>
        <w:tc>
          <w:tcPr>
            <w:tcW w:w="2374" w:type="dxa"/>
          </w:tcPr>
          <w:p w14:paraId="59FBAE46" w14:textId="466E1B65" w:rsidR="00BB4832" w:rsidRPr="00F547A7" w:rsidRDefault="00BB4832" w:rsidP="00F81367">
            <w:pPr>
              <w:spacing w:line="300" w:lineRule="exact"/>
              <w:jc w:val="both"/>
              <w:rPr>
                <w:lang w:val="en-CA" w:eastAsia="zh-CN"/>
              </w:rPr>
            </w:pPr>
            <w:r w:rsidRPr="00F547A7">
              <w:rPr>
                <w:lang w:val="en-CA" w:eastAsia="zh-CN"/>
              </w:rPr>
              <w:t>0.717</w:t>
            </w:r>
          </w:p>
        </w:tc>
        <w:tc>
          <w:tcPr>
            <w:tcW w:w="2374" w:type="dxa"/>
          </w:tcPr>
          <w:p w14:paraId="2759A373" w14:textId="56A6E4E9" w:rsidR="00BB4832" w:rsidRPr="00F547A7" w:rsidRDefault="00BB4832" w:rsidP="00F81367">
            <w:pPr>
              <w:spacing w:line="300" w:lineRule="exact"/>
              <w:jc w:val="both"/>
              <w:rPr>
                <w:lang w:val="en-CA" w:eastAsia="zh-CN"/>
              </w:rPr>
            </w:pPr>
            <w:r w:rsidRPr="00F547A7">
              <w:rPr>
                <w:lang w:val="en-CA" w:eastAsia="zh-CN"/>
              </w:rPr>
              <w:t>0.638</w:t>
            </w:r>
          </w:p>
        </w:tc>
      </w:tr>
      <w:tr w:rsidR="00BB4832" w:rsidRPr="00F547A7" w14:paraId="773111B3" w14:textId="77777777" w:rsidTr="00BB4832">
        <w:tc>
          <w:tcPr>
            <w:tcW w:w="2373" w:type="dxa"/>
          </w:tcPr>
          <w:p w14:paraId="1955D8B0" w14:textId="0DD5FA5D" w:rsidR="00BB4832" w:rsidRPr="00F547A7" w:rsidRDefault="00BB4832" w:rsidP="00F81367">
            <w:pPr>
              <w:spacing w:line="300" w:lineRule="exact"/>
              <w:jc w:val="both"/>
              <w:rPr>
                <w:lang w:val="en-CA" w:eastAsia="zh-CN"/>
              </w:rPr>
            </w:pPr>
            <w:r w:rsidRPr="00F547A7">
              <w:rPr>
                <w:lang w:val="en-CA" w:eastAsia="zh-CN"/>
              </w:rPr>
              <w:t>IEDB</w:t>
            </w:r>
          </w:p>
        </w:tc>
        <w:tc>
          <w:tcPr>
            <w:tcW w:w="2373" w:type="dxa"/>
          </w:tcPr>
          <w:p w14:paraId="0D66A1F8" w14:textId="6E9259E5" w:rsidR="00BB4832" w:rsidRPr="00F547A7" w:rsidRDefault="00BB4832" w:rsidP="00F81367">
            <w:pPr>
              <w:spacing w:line="300" w:lineRule="exact"/>
              <w:jc w:val="both"/>
              <w:rPr>
                <w:lang w:val="en-CA" w:eastAsia="zh-CN"/>
              </w:rPr>
            </w:pPr>
            <w:r w:rsidRPr="00F547A7">
              <w:rPr>
                <w:lang w:val="en-CA" w:eastAsia="zh-CN"/>
              </w:rPr>
              <w:t>Both-cold</w:t>
            </w:r>
          </w:p>
        </w:tc>
        <w:tc>
          <w:tcPr>
            <w:tcW w:w="2374" w:type="dxa"/>
          </w:tcPr>
          <w:p w14:paraId="35606C41" w14:textId="6266FBE2" w:rsidR="00BB4832" w:rsidRPr="00F547A7" w:rsidRDefault="00BB4832" w:rsidP="00F81367">
            <w:pPr>
              <w:spacing w:line="300" w:lineRule="exact"/>
              <w:jc w:val="both"/>
              <w:rPr>
                <w:lang w:val="en-CA" w:eastAsia="zh-CN"/>
              </w:rPr>
            </w:pPr>
            <w:r w:rsidRPr="00F547A7">
              <w:rPr>
                <w:lang w:val="en-CA" w:eastAsia="zh-CN"/>
              </w:rPr>
              <w:t>0.503</w:t>
            </w:r>
          </w:p>
        </w:tc>
        <w:tc>
          <w:tcPr>
            <w:tcW w:w="2374" w:type="dxa"/>
          </w:tcPr>
          <w:p w14:paraId="4F25C630" w14:textId="23A63351" w:rsidR="00BB4832" w:rsidRPr="00F547A7" w:rsidRDefault="00BB4832" w:rsidP="00F81367">
            <w:pPr>
              <w:spacing w:line="300" w:lineRule="exact"/>
              <w:jc w:val="both"/>
              <w:rPr>
                <w:lang w:val="en-CA" w:eastAsia="zh-CN"/>
              </w:rPr>
            </w:pPr>
            <w:r w:rsidRPr="00F547A7">
              <w:rPr>
                <w:lang w:val="en-CA" w:eastAsia="zh-CN"/>
              </w:rPr>
              <w:t>0.533</w:t>
            </w:r>
          </w:p>
        </w:tc>
      </w:tr>
      <w:tr w:rsidR="00BB4832" w:rsidRPr="00F547A7" w14:paraId="543E133C" w14:textId="77777777" w:rsidTr="00BB4832">
        <w:tc>
          <w:tcPr>
            <w:tcW w:w="2373" w:type="dxa"/>
          </w:tcPr>
          <w:p w14:paraId="3081004E" w14:textId="13BB7306" w:rsidR="00BB4832" w:rsidRPr="00F547A7" w:rsidRDefault="00BB4832" w:rsidP="00BB4832">
            <w:pPr>
              <w:spacing w:line="300" w:lineRule="exact"/>
              <w:jc w:val="both"/>
              <w:rPr>
                <w:lang w:val="en-CA" w:eastAsia="zh-CN"/>
              </w:rPr>
            </w:pPr>
            <w:proofErr w:type="spellStart"/>
            <w:r w:rsidRPr="00F547A7">
              <w:rPr>
                <w:lang w:val="en-CA" w:eastAsia="zh-CN"/>
              </w:rPr>
              <w:t>McPAS</w:t>
            </w:r>
            <w:proofErr w:type="spellEnd"/>
            <w:r w:rsidRPr="00F547A7">
              <w:rPr>
                <w:lang w:val="en-CA" w:eastAsia="zh-CN"/>
              </w:rPr>
              <w:t>-TCR</w:t>
            </w:r>
          </w:p>
        </w:tc>
        <w:tc>
          <w:tcPr>
            <w:tcW w:w="2373" w:type="dxa"/>
          </w:tcPr>
          <w:p w14:paraId="5FF588F9" w14:textId="06B335EC" w:rsidR="00BB4832" w:rsidRPr="00F547A7" w:rsidRDefault="00BB4832" w:rsidP="00BB4832">
            <w:pPr>
              <w:spacing w:line="300" w:lineRule="exact"/>
              <w:jc w:val="both"/>
              <w:rPr>
                <w:lang w:val="en-CA" w:eastAsia="zh-CN"/>
              </w:rPr>
            </w:pPr>
            <w:r w:rsidRPr="00F547A7">
              <w:rPr>
                <w:lang w:val="en-CA" w:eastAsia="zh-CN"/>
              </w:rPr>
              <w:t>TCR-cold</w:t>
            </w:r>
          </w:p>
        </w:tc>
        <w:tc>
          <w:tcPr>
            <w:tcW w:w="2374" w:type="dxa"/>
          </w:tcPr>
          <w:p w14:paraId="6994B416" w14:textId="4C135793" w:rsidR="00BB4832" w:rsidRPr="00F547A7" w:rsidRDefault="00BB4832" w:rsidP="00BB4832">
            <w:pPr>
              <w:spacing w:line="300" w:lineRule="exact"/>
              <w:jc w:val="both"/>
              <w:rPr>
                <w:lang w:val="en-CA" w:eastAsia="zh-CN"/>
              </w:rPr>
            </w:pPr>
            <w:r w:rsidRPr="00F547A7">
              <w:rPr>
                <w:lang w:val="en-CA" w:eastAsia="zh-CN"/>
              </w:rPr>
              <w:t>0.920</w:t>
            </w:r>
          </w:p>
        </w:tc>
        <w:tc>
          <w:tcPr>
            <w:tcW w:w="2374" w:type="dxa"/>
          </w:tcPr>
          <w:p w14:paraId="08CDA4F5" w14:textId="48513F47" w:rsidR="00BB4832" w:rsidRPr="00F547A7" w:rsidRDefault="00BB4832" w:rsidP="00BB4832">
            <w:pPr>
              <w:spacing w:line="300" w:lineRule="exact"/>
              <w:jc w:val="both"/>
              <w:rPr>
                <w:lang w:val="en-CA" w:eastAsia="zh-CN"/>
              </w:rPr>
            </w:pPr>
            <w:r w:rsidRPr="00F547A7">
              <w:rPr>
                <w:lang w:val="en-CA" w:eastAsia="zh-CN"/>
              </w:rPr>
              <w:t>0.901</w:t>
            </w:r>
          </w:p>
        </w:tc>
      </w:tr>
      <w:tr w:rsidR="00BB4832" w:rsidRPr="00F547A7" w14:paraId="6AE345F5" w14:textId="77777777" w:rsidTr="00BB4832">
        <w:tc>
          <w:tcPr>
            <w:tcW w:w="2373" w:type="dxa"/>
          </w:tcPr>
          <w:p w14:paraId="6C74C288" w14:textId="5689E046" w:rsidR="00BB4832" w:rsidRPr="00F547A7" w:rsidRDefault="00BB4832" w:rsidP="00BB4832">
            <w:pPr>
              <w:spacing w:line="300" w:lineRule="exact"/>
              <w:jc w:val="both"/>
              <w:rPr>
                <w:lang w:val="en-CA" w:eastAsia="zh-CN"/>
              </w:rPr>
            </w:pPr>
            <w:proofErr w:type="spellStart"/>
            <w:r w:rsidRPr="00F547A7">
              <w:rPr>
                <w:lang w:val="en-CA" w:eastAsia="zh-CN"/>
              </w:rPr>
              <w:t>McPAS</w:t>
            </w:r>
            <w:proofErr w:type="spellEnd"/>
            <w:r w:rsidRPr="00F547A7">
              <w:rPr>
                <w:lang w:val="en-CA" w:eastAsia="zh-CN"/>
              </w:rPr>
              <w:t>-TCR</w:t>
            </w:r>
          </w:p>
        </w:tc>
        <w:tc>
          <w:tcPr>
            <w:tcW w:w="2373" w:type="dxa"/>
          </w:tcPr>
          <w:p w14:paraId="5657BE29" w14:textId="24284F5D" w:rsidR="00BB4832" w:rsidRPr="00F547A7" w:rsidRDefault="00BB4832" w:rsidP="00BB4832">
            <w:pPr>
              <w:spacing w:line="300" w:lineRule="exact"/>
              <w:jc w:val="both"/>
              <w:rPr>
                <w:lang w:val="en-CA" w:eastAsia="zh-CN"/>
              </w:rPr>
            </w:pPr>
            <w:r w:rsidRPr="00F547A7">
              <w:rPr>
                <w:lang w:val="en-CA" w:eastAsia="zh-CN"/>
              </w:rPr>
              <w:t>Epitope-cold</w:t>
            </w:r>
          </w:p>
        </w:tc>
        <w:tc>
          <w:tcPr>
            <w:tcW w:w="2374" w:type="dxa"/>
          </w:tcPr>
          <w:p w14:paraId="7F27142A" w14:textId="1659876D" w:rsidR="00BB4832" w:rsidRPr="00F547A7" w:rsidRDefault="00BB4832" w:rsidP="00BB4832">
            <w:pPr>
              <w:spacing w:line="300" w:lineRule="exact"/>
              <w:jc w:val="both"/>
              <w:rPr>
                <w:lang w:val="en-CA" w:eastAsia="zh-CN"/>
              </w:rPr>
            </w:pPr>
            <w:r w:rsidRPr="00F547A7">
              <w:rPr>
                <w:lang w:val="en-CA" w:eastAsia="zh-CN"/>
              </w:rPr>
              <w:t>0.677</w:t>
            </w:r>
          </w:p>
        </w:tc>
        <w:tc>
          <w:tcPr>
            <w:tcW w:w="2374" w:type="dxa"/>
          </w:tcPr>
          <w:p w14:paraId="193D9755" w14:textId="211DF03B" w:rsidR="00BB4832" w:rsidRPr="00F547A7" w:rsidRDefault="00BB4832" w:rsidP="00BB4832">
            <w:pPr>
              <w:spacing w:line="300" w:lineRule="exact"/>
              <w:jc w:val="both"/>
              <w:rPr>
                <w:lang w:val="en-CA" w:eastAsia="zh-CN"/>
              </w:rPr>
            </w:pPr>
            <w:r w:rsidRPr="00F547A7">
              <w:rPr>
                <w:lang w:val="en-CA" w:eastAsia="zh-CN"/>
              </w:rPr>
              <w:t>0.638</w:t>
            </w:r>
          </w:p>
        </w:tc>
      </w:tr>
      <w:tr w:rsidR="00BB4832" w:rsidRPr="00F547A7" w14:paraId="3336BB10" w14:textId="77777777" w:rsidTr="00BB4832">
        <w:tc>
          <w:tcPr>
            <w:tcW w:w="2373" w:type="dxa"/>
          </w:tcPr>
          <w:p w14:paraId="2BFFBD0B" w14:textId="026DC775" w:rsidR="00BB4832" w:rsidRPr="00F547A7" w:rsidRDefault="00BB4832" w:rsidP="00BB4832">
            <w:pPr>
              <w:spacing w:line="300" w:lineRule="exact"/>
              <w:jc w:val="both"/>
              <w:rPr>
                <w:lang w:val="en-CA" w:eastAsia="zh-CN"/>
              </w:rPr>
            </w:pPr>
            <w:proofErr w:type="spellStart"/>
            <w:r w:rsidRPr="00F547A7">
              <w:rPr>
                <w:lang w:val="en-CA" w:eastAsia="zh-CN"/>
              </w:rPr>
              <w:t>McPAS</w:t>
            </w:r>
            <w:proofErr w:type="spellEnd"/>
            <w:r w:rsidRPr="00F547A7">
              <w:rPr>
                <w:lang w:val="en-CA" w:eastAsia="zh-CN"/>
              </w:rPr>
              <w:t>-TCR</w:t>
            </w:r>
          </w:p>
        </w:tc>
        <w:tc>
          <w:tcPr>
            <w:tcW w:w="2373" w:type="dxa"/>
          </w:tcPr>
          <w:p w14:paraId="0D041E33" w14:textId="39797834" w:rsidR="00BB4832" w:rsidRPr="00F547A7" w:rsidRDefault="00BB4832" w:rsidP="00BB4832">
            <w:pPr>
              <w:spacing w:line="300" w:lineRule="exact"/>
              <w:jc w:val="both"/>
              <w:rPr>
                <w:lang w:val="en-CA" w:eastAsia="zh-CN"/>
              </w:rPr>
            </w:pPr>
            <w:r w:rsidRPr="00F547A7">
              <w:rPr>
                <w:lang w:val="en-CA" w:eastAsia="zh-CN"/>
              </w:rPr>
              <w:t>Both-cold</w:t>
            </w:r>
          </w:p>
        </w:tc>
        <w:tc>
          <w:tcPr>
            <w:tcW w:w="2374" w:type="dxa"/>
          </w:tcPr>
          <w:p w14:paraId="72073DC7" w14:textId="62B29147" w:rsidR="00BB4832" w:rsidRPr="00F547A7" w:rsidRDefault="00BB4832" w:rsidP="00BB4832">
            <w:pPr>
              <w:spacing w:line="300" w:lineRule="exact"/>
              <w:jc w:val="both"/>
              <w:rPr>
                <w:lang w:val="en-CA" w:eastAsia="zh-CN"/>
              </w:rPr>
            </w:pPr>
            <w:r w:rsidRPr="00F547A7">
              <w:rPr>
                <w:lang w:val="en-CA" w:eastAsia="zh-CN"/>
              </w:rPr>
              <w:t>0.568</w:t>
            </w:r>
          </w:p>
        </w:tc>
        <w:tc>
          <w:tcPr>
            <w:tcW w:w="2374" w:type="dxa"/>
          </w:tcPr>
          <w:p w14:paraId="1AD9DE6D" w14:textId="068EB730" w:rsidR="00BB4832" w:rsidRPr="00F547A7" w:rsidRDefault="00BB4832" w:rsidP="00BB4832">
            <w:pPr>
              <w:spacing w:line="300" w:lineRule="exact"/>
              <w:jc w:val="both"/>
              <w:rPr>
                <w:lang w:val="en-CA" w:eastAsia="zh-CN"/>
              </w:rPr>
            </w:pPr>
            <w:r w:rsidRPr="00F547A7">
              <w:rPr>
                <w:lang w:val="en-CA" w:eastAsia="zh-CN"/>
              </w:rPr>
              <w:t>0.629</w:t>
            </w:r>
          </w:p>
        </w:tc>
      </w:tr>
      <w:tr w:rsidR="00BB4832" w:rsidRPr="00F547A7" w14:paraId="0161CEA1" w14:textId="77777777" w:rsidTr="00BB4832">
        <w:tc>
          <w:tcPr>
            <w:tcW w:w="2373" w:type="dxa"/>
          </w:tcPr>
          <w:p w14:paraId="55B328E2" w14:textId="1A24BC1C" w:rsidR="00BB4832" w:rsidRPr="00F547A7" w:rsidRDefault="00BB4832" w:rsidP="00BB4832">
            <w:pPr>
              <w:spacing w:line="300" w:lineRule="exact"/>
              <w:jc w:val="both"/>
              <w:rPr>
                <w:lang w:val="en-CA" w:eastAsia="zh-CN"/>
              </w:rPr>
            </w:pPr>
            <w:proofErr w:type="spellStart"/>
            <w:r w:rsidRPr="00F547A7">
              <w:rPr>
                <w:lang w:val="en-CA" w:eastAsia="zh-CN"/>
              </w:rPr>
              <w:t>VDJdb</w:t>
            </w:r>
            <w:proofErr w:type="spellEnd"/>
          </w:p>
        </w:tc>
        <w:tc>
          <w:tcPr>
            <w:tcW w:w="2373" w:type="dxa"/>
          </w:tcPr>
          <w:p w14:paraId="5534384C" w14:textId="3AAF38C2" w:rsidR="00BB4832" w:rsidRPr="00F547A7" w:rsidRDefault="00BB4832" w:rsidP="00BB4832">
            <w:pPr>
              <w:spacing w:line="300" w:lineRule="exact"/>
              <w:jc w:val="both"/>
              <w:rPr>
                <w:lang w:val="en-CA" w:eastAsia="zh-CN"/>
              </w:rPr>
            </w:pPr>
            <w:r w:rsidRPr="00F547A7">
              <w:rPr>
                <w:lang w:val="en-CA" w:eastAsia="zh-CN"/>
              </w:rPr>
              <w:t>TCR-cold</w:t>
            </w:r>
          </w:p>
        </w:tc>
        <w:tc>
          <w:tcPr>
            <w:tcW w:w="2374" w:type="dxa"/>
          </w:tcPr>
          <w:p w14:paraId="4F609F6A" w14:textId="795123D5" w:rsidR="00BB4832" w:rsidRPr="00F547A7" w:rsidRDefault="00BB4832" w:rsidP="00BB4832">
            <w:pPr>
              <w:spacing w:line="300" w:lineRule="exact"/>
              <w:jc w:val="both"/>
              <w:rPr>
                <w:lang w:val="en-CA" w:eastAsia="zh-CN"/>
              </w:rPr>
            </w:pPr>
            <w:r w:rsidRPr="00F547A7">
              <w:rPr>
                <w:lang w:val="en-CA" w:eastAsia="zh-CN"/>
              </w:rPr>
              <w:t>0.987</w:t>
            </w:r>
          </w:p>
        </w:tc>
        <w:tc>
          <w:tcPr>
            <w:tcW w:w="2374" w:type="dxa"/>
          </w:tcPr>
          <w:p w14:paraId="48D07D40" w14:textId="7C9218F9" w:rsidR="00BB4832" w:rsidRPr="00F547A7" w:rsidRDefault="00BB4832" w:rsidP="00BB4832">
            <w:pPr>
              <w:spacing w:line="300" w:lineRule="exact"/>
              <w:jc w:val="both"/>
              <w:rPr>
                <w:lang w:val="en-CA" w:eastAsia="zh-CN"/>
              </w:rPr>
            </w:pPr>
            <w:r w:rsidRPr="00F547A7">
              <w:rPr>
                <w:lang w:val="en-CA" w:eastAsia="zh-CN"/>
              </w:rPr>
              <w:t>00989</w:t>
            </w:r>
          </w:p>
        </w:tc>
      </w:tr>
      <w:tr w:rsidR="00BB4832" w:rsidRPr="00F547A7" w14:paraId="6DD6D1E4" w14:textId="77777777" w:rsidTr="00BB4832">
        <w:tc>
          <w:tcPr>
            <w:tcW w:w="2373" w:type="dxa"/>
          </w:tcPr>
          <w:p w14:paraId="2040A9D1" w14:textId="7AAE5F6D" w:rsidR="00BB4832" w:rsidRPr="00F547A7" w:rsidRDefault="00BB4832" w:rsidP="00BB4832">
            <w:pPr>
              <w:spacing w:line="300" w:lineRule="exact"/>
              <w:jc w:val="both"/>
              <w:rPr>
                <w:lang w:val="en-CA" w:eastAsia="zh-CN"/>
              </w:rPr>
            </w:pPr>
            <w:proofErr w:type="spellStart"/>
            <w:r w:rsidRPr="00F547A7">
              <w:rPr>
                <w:lang w:val="en-CA" w:eastAsia="zh-CN"/>
              </w:rPr>
              <w:t>VDJdb</w:t>
            </w:r>
            <w:proofErr w:type="spellEnd"/>
          </w:p>
        </w:tc>
        <w:tc>
          <w:tcPr>
            <w:tcW w:w="2373" w:type="dxa"/>
          </w:tcPr>
          <w:p w14:paraId="6BBF7AA9" w14:textId="6F213ACC" w:rsidR="00BB4832" w:rsidRPr="00F547A7" w:rsidRDefault="00BB4832" w:rsidP="00BB4832">
            <w:pPr>
              <w:spacing w:line="300" w:lineRule="exact"/>
              <w:jc w:val="both"/>
              <w:rPr>
                <w:lang w:val="en-CA" w:eastAsia="zh-CN"/>
              </w:rPr>
            </w:pPr>
            <w:r w:rsidRPr="00F547A7">
              <w:rPr>
                <w:lang w:val="en-CA" w:eastAsia="zh-CN"/>
              </w:rPr>
              <w:t>Epitope-cold</w:t>
            </w:r>
          </w:p>
        </w:tc>
        <w:tc>
          <w:tcPr>
            <w:tcW w:w="2374" w:type="dxa"/>
          </w:tcPr>
          <w:p w14:paraId="2BD19287" w14:textId="18817CFD" w:rsidR="00BB4832" w:rsidRPr="00F547A7" w:rsidRDefault="00BB4832" w:rsidP="00BB4832">
            <w:pPr>
              <w:spacing w:line="300" w:lineRule="exact"/>
              <w:jc w:val="both"/>
              <w:rPr>
                <w:lang w:val="en-CA" w:eastAsia="zh-CN"/>
              </w:rPr>
            </w:pPr>
            <w:r w:rsidRPr="00F547A7">
              <w:rPr>
                <w:lang w:val="en-CA" w:eastAsia="zh-CN"/>
              </w:rPr>
              <w:t>0.856</w:t>
            </w:r>
          </w:p>
        </w:tc>
        <w:tc>
          <w:tcPr>
            <w:tcW w:w="2374" w:type="dxa"/>
          </w:tcPr>
          <w:p w14:paraId="21EF2122" w14:textId="052DEBF6" w:rsidR="00BB4832" w:rsidRPr="00F547A7" w:rsidRDefault="00BB4832" w:rsidP="00BB4832">
            <w:pPr>
              <w:spacing w:line="300" w:lineRule="exact"/>
              <w:jc w:val="both"/>
              <w:rPr>
                <w:lang w:val="en-CA" w:eastAsia="zh-CN"/>
              </w:rPr>
            </w:pPr>
            <w:r w:rsidRPr="00F547A7">
              <w:rPr>
                <w:lang w:val="en-CA" w:eastAsia="zh-CN"/>
              </w:rPr>
              <w:t>0.761</w:t>
            </w:r>
          </w:p>
        </w:tc>
      </w:tr>
      <w:tr w:rsidR="00BB4832" w:rsidRPr="00F547A7" w14:paraId="58698127" w14:textId="77777777" w:rsidTr="00BB4832">
        <w:tc>
          <w:tcPr>
            <w:tcW w:w="2373" w:type="dxa"/>
          </w:tcPr>
          <w:p w14:paraId="653F0F09" w14:textId="0E8FBF7A" w:rsidR="00BB4832" w:rsidRPr="00F547A7" w:rsidRDefault="00BB4832" w:rsidP="00BB4832">
            <w:pPr>
              <w:spacing w:line="300" w:lineRule="exact"/>
              <w:jc w:val="both"/>
              <w:rPr>
                <w:lang w:val="en-CA" w:eastAsia="zh-CN"/>
              </w:rPr>
            </w:pPr>
            <w:proofErr w:type="spellStart"/>
            <w:r w:rsidRPr="00F547A7">
              <w:rPr>
                <w:lang w:val="en-CA" w:eastAsia="zh-CN"/>
              </w:rPr>
              <w:t>VDJdb</w:t>
            </w:r>
            <w:proofErr w:type="spellEnd"/>
          </w:p>
        </w:tc>
        <w:tc>
          <w:tcPr>
            <w:tcW w:w="2373" w:type="dxa"/>
          </w:tcPr>
          <w:p w14:paraId="3F30CC2C" w14:textId="68D99985" w:rsidR="00BB4832" w:rsidRPr="00F547A7" w:rsidRDefault="00BB4832" w:rsidP="00BB4832">
            <w:pPr>
              <w:spacing w:line="300" w:lineRule="exact"/>
              <w:jc w:val="both"/>
              <w:rPr>
                <w:lang w:val="en-CA" w:eastAsia="zh-CN"/>
              </w:rPr>
            </w:pPr>
            <w:r w:rsidRPr="00F547A7">
              <w:rPr>
                <w:lang w:val="en-CA" w:eastAsia="zh-CN"/>
              </w:rPr>
              <w:t>Both-cold</w:t>
            </w:r>
          </w:p>
        </w:tc>
        <w:tc>
          <w:tcPr>
            <w:tcW w:w="2374" w:type="dxa"/>
          </w:tcPr>
          <w:p w14:paraId="4E159025" w14:textId="6A2BD3B7" w:rsidR="00BB4832" w:rsidRPr="00F547A7" w:rsidRDefault="00BB4832" w:rsidP="00BB4832">
            <w:pPr>
              <w:spacing w:line="300" w:lineRule="exact"/>
              <w:jc w:val="both"/>
              <w:rPr>
                <w:lang w:val="en-CA" w:eastAsia="zh-CN"/>
              </w:rPr>
            </w:pPr>
            <w:r w:rsidRPr="00F547A7">
              <w:rPr>
                <w:lang w:val="en-CA" w:eastAsia="zh-CN"/>
              </w:rPr>
              <w:t>0.691</w:t>
            </w:r>
          </w:p>
        </w:tc>
        <w:tc>
          <w:tcPr>
            <w:tcW w:w="2374" w:type="dxa"/>
          </w:tcPr>
          <w:p w14:paraId="2C47C551" w14:textId="710C7B73" w:rsidR="00BB4832" w:rsidRPr="00F547A7" w:rsidRDefault="00BB4832" w:rsidP="00BB4832">
            <w:pPr>
              <w:spacing w:line="300" w:lineRule="exact"/>
              <w:jc w:val="both"/>
              <w:rPr>
                <w:lang w:val="en-CA" w:eastAsia="zh-CN"/>
              </w:rPr>
            </w:pPr>
            <w:r w:rsidRPr="00F547A7">
              <w:rPr>
                <w:lang w:val="en-CA" w:eastAsia="zh-CN"/>
              </w:rPr>
              <w:t>0.647</w:t>
            </w:r>
          </w:p>
        </w:tc>
      </w:tr>
    </w:tbl>
    <w:p w14:paraId="59B65EF8" w14:textId="77777777" w:rsidR="00D750EF" w:rsidRDefault="00D750EF" w:rsidP="00032DF6">
      <w:pPr>
        <w:spacing w:line="300" w:lineRule="exact"/>
        <w:ind w:firstLine="357"/>
        <w:jc w:val="both"/>
        <w:rPr>
          <w:sz w:val="24"/>
          <w:szCs w:val="24"/>
          <w:lang w:val="en-CA" w:eastAsia="zh-CN"/>
        </w:rPr>
      </w:pPr>
    </w:p>
    <w:p w14:paraId="77D4ED33" w14:textId="4C7C5ADB" w:rsidR="00A808AA" w:rsidRDefault="00F81367" w:rsidP="00032DF6">
      <w:pPr>
        <w:spacing w:line="300" w:lineRule="exact"/>
        <w:ind w:firstLine="357"/>
        <w:jc w:val="both"/>
        <w:rPr>
          <w:sz w:val="24"/>
          <w:szCs w:val="24"/>
          <w:lang w:val="en-CA" w:eastAsia="zh-CN"/>
        </w:rPr>
      </w:pPr>
      <w:r w:rsidRPr="00F81367">
        <w:rPr>
          <w:sz w:val="24"/>
          <w:szCs w:val="24"/>
          <w:lang w:val="en-CA" w:eastAsia="zh-CN"/>
        </w:rPr>
        <w:t xml:space="preserve">The both-cold protocol was the most challenging, with </w:t>
      </w:r>
      <w:r w:rsidR="00032DF6" w:rsidRPr="00032DF6">
        <w:rPr>
          <w:sz w:val="24"/>
          <w:szCs w:val="24"/>
          <w:lang w:val="en-CA" w:eastAsia="zh-CN"/>
        </w:rPr>
        <w:t>performance declined and showed greater fold-to-fold variability</w:t>
      </w:r>
      <w:r w:rsidRPr="00F81367">
        <w:rPr>
          <w:sz w:val="24"/>
          <w:szCs w:val="24"/>
          <w:lang w:val="en-CA" w:eastAsia="zh-CN"/>
        </w:rPr>
        <w:t>. This instability may</w:t>
      </w:r>
      <w:r>
        <w:rPr>
          <w:sz w:val="24"/>
          <w:szCs w:val="24"/>
          <w:lang w:val="en-CA" w:eastAsia="zh-CN"/>
        </w:rPr>
        <w:t xml:space="preserve"> </w:t>
      </w:r>
      <w:r w:rsidRPr="00F81367">
        <w:rPr>
          <w:sz w:val="24"/>
          <w:szCs w:val="24"/>
          <w:lang w:val="en-CA" w:eastAsia="zh-CN"/>
        </w:rPr>
        <w:t xml:space="preserve">partly reflect the smaller evaluation sets, particularly for </w:t>
      </w:r>
      <w:proofErr w:type="spellStart"/>
      <w:r w:rsidRPr="00F81367">
        <w:rPr>
          <w:sz w:val="24"/>
          <w:szCs w:val="24"/>
          <w:lang w:val="en-CA" w:eastAsia="zh-CN"/>
        </w:rPr>
        <w:t>McPAS</w:t>
      </w:r>
      <w:proofErr w:type="spellEnd"/>
      <w:r>
        <w:rPr>
          <w:sz w:val="24"/>
          <w:szCs w:val="24"/>
          <w:lang w:val="en-CA" w:eastAsia="zh-CN"/>
        </w:rPr>
        <w:t>-TCR</w:t>
      </w:r>
      <w:r w:rsidRPr="00F81367">
        <w:rPr>
          <w:sz w:val="24"/>
          <w:szCs w:val="24"/>
          <w:lang w:val="en-CA" w:eastAsia="zh-CN"/>
        </w:rPr>
        <w:t>, where</w:t>
      </w:r>
      <w:r>
        <w:rPr>
          <w:sz w:val="24"/>
          <w:szCs w:val="24"/>
          <w:lang w:val="en-CA" w:eastAsia="zh-CN"/>
        </w:rPr>
        <w:t xml:space="preserve"> </w:t>
      </w:r>
      <w:r w:rsidRPr="00F81367">
        <w:rPr>
          <w:sz w:val="24"/>
          <w:szCs w:val="24"/>
          <w:lang w:val="en-CA" w:eastAsia="zh-CN"/>
        </w:rPr>
        <w:t>three folds were excluded. Nevertheless, the consistent ordering across datasets suggests that the model relies partly on information associated wit</w:t>
      </w:r>
      <w:r>
        <w:rPr>
          <w:sz w:val="24"/>
          <w:szCs w:val="24"/>
          <w:lang w:val="en-CA" w:eastAsia="zh-CN"/>
        </w:rPr>
        <w:t>h</w:t>
      </w:r>
      <w:r w:rsidRPr="00F81367">
        <w:rPr>
          <w:sz w:val="24"/>
          <w:szCs w:val="24"/>
          <w:lang w:val="en-CA" w:eastAsia="zh-CN"/>
        </w:rPr>
        <w:t xml:space="preserve"> interaction partners observed during training. The model is therefore better</w:t>
      </w:r>
      <w:r>
        <w:rPr>
          <w:sz w:val="24"/>
          <w:szCs w:val="24"/>
          <w:lang w:val="en-CA" w:eastAsia="zh-CN"/>
        </w:rPr>
        <w:t xml:space="preserve"> </w:t>
      </w:r>
      <w:r w:rsidRPr="00F81367">
        <w:rPr>
          <w:sz w:val="24"/>
          <w:szCs w:val="24"/>
          <w:lang w:val="en-CA" w:eastAsia="zh-CN"/>
        </w:rPr>
        <w:t>suited to screening new TCRs against known epitopes than to predicting interactions in which both sequences are novel.</w:t>
      </w:r>
    </w:p>
    <w:p w14:paraId="59219D0C" w14:textId="237D567C" w:rsidR="00A808AA" w:rsidRDefault="00A808AA" w:rsidP="00A808AA">
      <w:pPr>
        <w:pStyle w:val="Heading2"/>
      </w:pPr>
      <w:r>
        <w:t xml:space="preserve">Ablation </w:t>
      </w:r>
      <w:r w:rsidRPr="005E77B3">
        <w:t>s</w:t>
      </w:r>
      <w:r>
        <w:t>tudy</w:t>
      </w:r>
    </w:p>
    <w:p w14:paraId="44D7B750" w14:textId="507917C9" w:rsidR="00323B15" w:rsidRPr="00323B15" w:rsidRDefault="00323B15" w:rsidP="00323B15">
      <w:pPr>
        <w:spacing w:line="300" w:lineRule="exact"/>
        <w:jc w:val="both"/>
        <w:rPr>
          <w:sz w:val="24"/>
          <w:szCs w:val="24"/>
          <w:lang w:val="en-CA" w:eastAsia="zh-CN"/>
        </w:rPr>
      </w:pPr>
      <w:r w:rsidRPr="00323B15">
        <w:rPr>
          <w:sz w:val="24"/>
          <w:szCs w:val="24"/>
          <w:lang w:val="en-CA" w:eastAsia="zh-CN"/>
        </w:rPr>
        <w:t>We evaluated the global Mamba branch and LPE under the same cold-split protocols used</w:t>
      </w:r>
      <w:r>
        <w:rPr>
          <w:sz w:val="24"/>
          <w:szCs w:val="24"/>
          <w:lang w:val="en-CA" w:eastAsia="zh-CN"/>
        </w:rPr>
        <w:t xml:space="preserve"> </w:t>
      </w:r>
      <w:r w:rsidRPr="00323B15">
        <w:rPr>
          <w:sz w:val="24"/>
          <w:szCs w:val="24"/>
          <w:lang w:val="en-CA" w:eastAsia="zh-CN"/>
        </w:rPr>
        <w:t>for the generalization analysis. Each ablated model used the same folds, negative samples, hyperparameters, and inner-split checkpoint selection as the complete model</w:t>
      </w:r>
      <w:r w:rsidR="003D48D7">
        <w:rPr>
          <w:sz w:val="24"/>
          <w:szCs w:val="24"/>
          <w:lang w:val="en-CA" w:eastAsia="zh-CN"/>
        </w:rPr>
        <w:t xml:space="preserve"> (Table 2)</w:t>
      </w:r>
      <w:r w:rsidRPr="00323B15">
        <w:rPr>
          <w:sz w:val="24"/>
          <w:szCs w:val="24"/>
          <w:lang w:val="en-CA" w:eastAsia="zh-CN"/>
        </w:rPr>
        <w:t>.</w:t>
      </w:r>
    </w:p>
    <w:p w14:paraId="343B096B" w14:textId="24B6784A" w:rsidR="00323B15" w:rsidRPr="00323B15" w:rsidRDefault="00323B15" w:rsidP="008858AB">
      <w:pPr>
        <w:spacing w:line="300" w:lineRule="exact"/>
        <w:ind w:firstLine="357"/>
        <w:jc w:val="both"/>
        <w:rPr>
          <w:sz w:val="24"/>
          <w:szCs w:val="24"/>
          <w:lang w:val="en-CA" w:eastAsia="zh-CN"/>
        </w:rPr>
      </w:pPr>
      <w:r w:rsidRPr="00323B15">
        <w:rPr>
          <w:sz w:val="24"/>
          <w:szCs w:val="24"/>
          <w:lang w:val="en-CA" w:eastAsia="zh-CN"/>
        </w:rPr>
        <w:t xml:space="preserve">Removing LPE had little effect under the TCR-cold protocol but consistently reduced performance when epitopes were unseen. Under epitope-cold evaluation, removing LPE decreased </w:t>
      </w:r>
      <w:r w:rsidR="00EA0468">
        <w:rPr>
          <w:sz w:val="24"/>
          <w:szCs w:val="24"/>
          <w:lang w:val="en-CA" w:eastAsia="zh-CN"/>
        </w:rPr>
        <w:t>AUROC</w:t>
      </w:r>
      <w:r w:rsidRPr="00323B15">
        <w:rPr>
          <w:sz w:val="24"/>
          <w:szCs w:val="24"/>
          <w:lang w:val="en-CA" w:eastAsia="zh-CN"/>
        </w:rPr>
        <w:t xml:space="preserve"> by 0.096, 0.130, and 0.063 on IEDB, </w:t>
      </w:r>
      <w:proofErr w:type="spellStart"/>
      <w:r w:rsidRPr="00323B15">
        <w:rPr>
          <w:sz w:val="24"/>
          <w:szCs w:val="24"/>
          <w:lang w:val="en-CA" w:eastAsia="zh-CN"/>
        </w:rPr>
        <w:t>McPAS</w:t>
      </w:r>
      <w:proofErr w:type="spellEnd"/>
      <w:r w:rsidR="00EA0468">
        <w:rPr>
          <w:sz w:val="24"/>
          <w:szCs w:val="24"/>
          <w:lang w:val="en-CA" w:eastAsia="zh-CN"/>
        </w:rPr>
        <w:t>-TCR</w:t>
      </w:r>
      <w:r w:rsidRPr="00323B15">
        <w:rPr>
          <w:sz w:val="24"/>
          <w:szCs w:val="24"/>
          <w:lang w:val="en-CA" w:eastAsia="zh-CN"/>
        </w:rPr>
        <w:t xml:space="preserve">, and </w:t>
      </w:r>
      <w:proofErr w:type="spellStart"/>
      <w:r w:rsidRPr="00323B15">
        <w:rPr>
          <w:sz w:val="24"/>
          <w:szCs w:val="24"/>
          <w:lang w:val="en-CA" w:eastAsia="zh-CN"/>
        </w:rPr>
        <w:t>VDJdb</w:t>
      </w:r>
      <w:proofErr w:type="spellEnd"/>
      <w:r w:rsidRPr="00323B15">
        <w:rPr>
          <w:sz w:val="24"/>
          <w:szCs w:val="24"/>
          <w:lang w:val="en-CA" w:eastAsia="zh-CN"/>
        </w:rPr>
        <w:t>, respectively. The corresponding AUPR reductions were 0.081, 0.100, and 0.072. Performance also declined under the both-cold protocol, although these estimates had greater fold-to-fold variability.</w:t>
      </w:r>
    </w:p>
    <w:p w14:paraId="476CC799" w14:textId="7A34E869" w:rsidR="00A808AA" w:rsidRDefault="00323B15" w:rsidP="008858AB">
      <w:pPr>
        <w:spacing w:line="300" w:lineRule="exact"/>
        <w:ind w:firstLine="357"/>
        <w:jc w:val="both"/>
        <w:rPr>
          <w:sz w:val="24"/>
          <w:szCs w:val="24"/>
          <w:lang w:val="en-CA" w:eastAsia="zh-CN"/>
        </w:rPr>
      </w:pPr>
      <w:r w:rsidRPr="00323B15">
        <w:rPr>
          <w:sz w:val="24"/>
          <w:szCs w:val="24"/>
          <w:lang w:val="en-CA" w:eastAsia="zh-CN"/>
        </w:rPr>
        <w:t xml:space="preserve">The effect of the Mamba branch varied across datasets. Removing Mamba reduced epitope-cold </w:t>
      </w:r>
      <w:r w:rsidR="00EA0468">
        <w:rPr>
          <w:sz w:val="24"/>
          <w:szCs w:val="24"/>
          <w:lang w:val="en-CA" w:eastAsia="zh-CN"/>
        </w:rPr>
        <w:t>AUROC</w:t>
      </w:r>
      <w:r w:rsidRPr="00323B15">
        <w:rPr>
          <w:sz w:val="24"/>
          <w:szCs w:val="24"/>
          <w:lang w:val="en-CA" w:eastAsia="zh-CN"/>
        </w:rPr>
        <w:t xml:space="preserve"> and AUPR by 0.043 and 0.030 on </w:t>
      </w:r>
      <w:proofErr w:type="spellStart"/>
      <w:r w:rsidRPr="00323B15">
        <w:rPr>
          <w:sz w:val="24"/>
          <w:szCs w:val="24"/>
          <w:lang w:val="en-CA" w:eastAsia="zh-CN"/>
        </w:rPr>
        <w:t>McPAS</w:t>
      </w:r>
      <w:proofErr w:type="spellEnd"/>
      <w:r w:rsidR="00EA0468">
        <w:rPr>
          <w:sz w:val="24"/>
          <w:szCs w:val="24"/>
          <w:lang w:val="en-CA" w:eastAsia="zh-CN"/>
        </w:rPr>
        <w:t>-TCR</w:t>
      </w:r>
      <w:r w:rsidRPr="00323B15">
        <w:rPr>
          <w:sz w:val="24"/>
          <w:szCs w:val="24"/>
          <w:lang w:val="en-CA" w:eastAsia="zh-CN"/>
        </w:rPr>
        <w:t xml:space="preserve"> and by 0.058 and 0.025 on </w:t>
      </w:r>
      <w:proofErr w:type="spellStart"/>
      <w:r w:rsidRPr="00323B15">
        <w:rPr>
          <w:sz w:val="24"/>
          <w:szCs w:val="24"/>
          <w:lang w:val="en-CA" w:eastAsia="zh-CN"/>
        </w:rPr>
        <w:t>VDJdb</w:t>
      </w:r>
      <w:proofErr w:type="spellEnd"/>
      <w:r w:rsidRPr="00323B15">
        <w:rPr>
          <w:sz w:val="24"/>
          <w:szCs w:val="24"/>
          <w:lang w:val="en-CA" w:eastAsia="zh-CN"/>
        </w:rPr>
        <w:t>. In contrast, the same ablation modestly improved both metrics on IEDB.</w:t>
      </w:r>
      <w:r>
        <w:rPr>
          <w:sz w:val="24"/>
          <w:szCs w:val="24"/>
          <w:lang w:val="en-CA" w:eastAsia="zh-CN"/>
        </w:rPr>
        <w:t xml:space="preserve"> M</w:t>
      </w:r>
      <w:r w:rsidRPr="00323B15">
        <w:rPr>
          <w:sz w:val="24"/>
          <w:szCs w:val="24"/>
          <w:lang w:val="en-CA" w:eastAsia="zh-CN"/>
        </w:rPr>
        <w:t xml:space="preserve">amba removal had little effect on TCR-cold performance for IEDB and </w:t>
      </w:r>
      <w:proofErr w:type="spellStart"/>
      <w:r w:rsidRPr="00323B15">
        <w:rPr>
          <w:sz w:val="24"/>
          <w:szCs w:val="24"/>
          <w:lang w:val="en-CA" w:eastAsia="zh-CN"/>
        </w:rPr>
        <w:t>VDJdb</w:t>
      </w:r>
      <w:proofErr w:type="spellEnd"/>
      <w:r w:rsidRPr="00323B15">
        <w:rPr>
          <w:sz w:val="24"/>
          <w:szCs w:val="24"/>
          <w:lang w:val="en-CA" w:eastAsia="zh-CN"/>
        </w:rPr>
        <w:t xml:space="preserve">, while </w:t>
      </w:r>
      <w:proofErr w:type="spellStart"/>
      <w:r w:rsidRPr="00323B15">
        <w:rPr>
          <w:sz w:val="24"/>
          <w:szCs w:val="24"/>
          <w:lang w:val="en-CA" w:eastAsia="zh-CN"/>
        </w:rPr>
        <w:t>McPAS</w:t>
      </w:r>
      <w:proofErr w:type="spellEnd"/>
      <w:r w:rsidR="00EA0468">
        <w:rPr>
          <w:sz w:val="24"/>
          <w:szCs w:val="24"/>
          <w:lang w:val="en-CA" w:eastAsia="zh-CN"/>
        </w:rPr>
        <w:t>-TCR</w:t>
      </w:r>
      <w:r w:rsidRPr="00323B15">
        <w:rPr>
          <w:sz w:val="24"/>
          <w:szCs w:val="24"/>
          <w:lang w:val="en-CA" w:eastAsia="zh-CN"/>
        </w:rPr>
        <w:t xml:space="preserve"> improved. These results identify</w:t>
      </w:r>
      <w:r>
        <w:rPr>
          <w:sz w:val="24"/>
          <w:szCs w:val="24"/>
          <w:lang w:val="en-CA" w:eastAsia="zh-CN"/>
        </w:rPr>
        <w:t xml:space="preserve"> </w:t>
      </w:r>
      <w:r w:rsidRPr="00323B15">
        <w:rPr>
          <w:sz w:val="24"/>
          <w:szCs w:val="24"/>
          <w:lang w:val="en-CA" w:eastAsia="zh-CN"/>
        </w:rPr>
        <w:t xml:space="preserve">LPE as </w:t>
      </w:r>
      <w:r>
        <w:rPr>
          <w:sz w:val="24"/>
          <w:szCs w:val="24"/>
          <w:lang w:val="en-CA" w:eastAsia="zh-CN"/>
        </w:rPr>
        <w:t>a</w:t>
      </w:r>
      <w:r w:rsidRPr="00323B15">
        <w:rPr>
          <w:sz w:val="24"/>
          <w:szCs w:val="24"/>
          <w:lang w:val="en-CA" w:eastAsia="zh-CN"/>
        </w:rPr>
        <w:t xml:space="preserve"> consistent contributor to generalization. The Mamba branch provides additional benefit for unseen-epitope prediction on </w:t>
      </w:r>
      <w:proofErr w:type="spellStart"/>
      <w:r w:rsidRPr="00323B15">
        <w:rPr>
          <w:sz w:val="24"/>
          <w:szCs w:val="24"/>
          <w:lang w:val="en-CA" w:eastAsia="zh-CN"/>
        </w:rPr>
        <w:t>McPAS</w:t>
      </w:r>
      <w:proofErr w:type="spellEnd"/>
      <w:r w:rsidR="00EA0468">
        <w:rPr>
          <w:sz w:val="24"/>
          <w:szCs w:val="24"/>
          <w:lang w:val="en-CA" w:eastAsia="zh-CN"/>
        </w:rPr>
        <w:t>-TCR</w:t>
      </w:r>
      <w:r w:rsidRPr="00323B15">
        <w:rPr>
          <w:sz w:val="24"/>
          <w:szCs w:val="24"/>
          <w:lang w:val="en-CA" w:eastAsia="zh-CN"/>
        </w:rPr>
        <w:t xml:space="preserve"> and </w:t>
      </w:r>
      <w:proofErr w:type="spellStart"/>
      <w:r w:rsidRPr="00323B15">
        <w:rPr>
          <w:sz w:val="24"/>
          <w:szCs w:val="24"/>
          <w:lang w:val="en-CA" w:eastAsia="zh-CN"/>
        </w:rPr>
        <w:t>VDJdb</w:t>
      </w:r>
      <w:proofErr w:type="spellEnd"/>
      <w:r w:rsidRPr="00323B15">
        <w:rPr>
          <w:sz w:val="24"/>
          <w:szCs w:val="24"/>
          <w:lang w:val="en-CA" w:eastAsia="zh-CN"/>
        </w:rPr>
        <w:t>, but its effect is dataset dependent.</w:t>
      </w:r>
    </w:p>
    <w:p w14:paraId="2DAB717A" w14:textId="77777777" w:rsidR="003D48D7" w:rsidRDefault="003D48D7" w:rsidP="008858AB">
      <w:pPr>
        <w:spacing w:line="300" w:lineRule="exact"/>
        <w:ind w:firstLine="357"/>
        <w:jc w:val="both"/>
        <w:rPr>
          <w:sz w:val="24"/>
          <w:szCs w:val="24"/>
          <w:lang w:val="en-CA" w:eastAsia="zh-CN"/>
        </w:rPr>
      </w:pPr>
    </w:p>
    <w:p w14:paraId="448B73DB" w14:textId="77777777" w:rsidR="003C2117" w:rsidRDefault="003C2117" w:rsidP="008858AB">
      <w:pPr>
        <w:spacing w:line="300" w:lineRule="exact"/>
        <w:ind w:firstLine="357"/>
        <w:jc w:val="both"/>
        <w:rPr>
          <w:sz w:val="24"/>
          <w:szCs w:val="24"/>
          <w:lang w:val="en-CA" w:eastAsia="zh-CN"/>
        </w:rPr>
      </w:pPr>
    </w:p>
    <w:p w14:paraId="54F23F4B" w14:textId="77777777" w:rsidR="003C2117" w:rsidRDefault="003C2117" w:rsidP="008858AB">
      <w:pPr>
        <w:spacing w:line="300" w:lineRule="exact"/>
        <w:ind w:firstLine="357"/>
        <w:jc w:val="both"/>
        <w:rPr>
          <w:sz w:val="24"/>
          <w:szCs w:val="24"/>
          <w:lang w:val="en-CA" w:eastAsia="zh-CN"/>
        </w:rPr>
      </w:pPr>
    </w:p>
    <w:p w14:paraId="216C40B2" w14:textId="76F4E306" w:rsidR="007B3FC1" w:rsidRPr="003D48D7" w:rsidRDefault="007B3FC1" w:rsidP="003D48D7">
      <w:pPr>
        <w:spacing w:line="300" w:lineRule="exact"/>
        <w:jc w:val="center"/>
        <w:rPr>
          <w:lang w:val="en-CA" w:eastAsia="zh-CN"/>
        </w:rPr>
      </w:pPr>
      <w:r w:rsidRPr="003D48D7">
        <w:rPr>
          <w:lang w:val="en-CA" w:eastAsia="zh-CN"/>
        </w:rPr>
        <w:lastRenderedPageBreak/>
        <w:t xml:space="preserve">Table 2. Cold-split ablation of the Mamba branch and LPE. Values are mean </w:t>
      </w:r>
      <w:r w:rsidR="00EA0468">
        <w:rPr>
          <w:lang w:val="en-CA" w:eastAsia="zh-CN"/>
        </w:rPr>
        <w:t>AUROC</w:t>
      </w:r>
      <w:r w:rsidRPr="003D48D7">
        <w:rPr>
          <w:lang w:val="en-CA" w:eastAsia="zh-CN"/>
        </w:rPr>
        <w:t xml:space="preserve"> / mean AUPR across folds.</w:t>
      </w:r>
    </w:p>
    <w:tbl>
      <w:tblPr>
        <w:tblStyle w:val="TableGrid"/>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01"/>
        <w:gridCol w:w="2440"/>
        <w:gridCol w:w="1899"/>
        <w:gridCol w:w="1899"/>
      </w:tblGrid>
      <w:tr w:rsidR="008858AB" w:rsidRPr="003D48D7" w14:paraId="1AE52DE8" w14:textId="77777777" w:rsidTr="003D48D7">
        <w:tc>
          <w:tcPr>
            <w:tcW w:w="1555" w:type="dxa"/>
            <w:tcBorders>
              <w:top w:val="single" w:sz="2" w:space="0" w:color="auto"/>
              <w:bottom w:val="single" w:sz="2" w:space="0" w:color="auto"/>
            </w:tcBorders>
          </w:tcPr>
          <w:p w14:paraId="1518D200" w14:textId="5BADFB3F" w:rsidR="008858AB" w:rsidRPr="003D48D7" w:rsidRDefault="008858AB" w:rsidP="008858AB">
            <w:pPr>
              <w:spacing w:line="300" w:lineRule="exact"/>
              <w:jc w:val="both"/>
              <w:rPr>
                <w:lang w:val="en-CA" w:eastAsia="zh-CN"/>
              </w:rPr>
            </w:pPr>
            <w:r w:rsidRPr="003D48D7">
              <w:rPr>
                <w:lang w:val="en-CA" w:eastAsia="zh-CN"/>
              </w:rPr>
              <w:t>Dataset</w:t>
            </w:r>
          </w:p>
        </w:tc>
        <w:tc>
          <w:tcPr>
            <w:tcW w:w="1701" w:type="dxa"/>
            <w:tcBorders>
              <w:top w:val="single" w:sz="2" w:space="0" w:color="auto"/>
              <w:bottom w:val="single" w:sz="2" w:space="0" w:color="auto"/>
            </w:tcBorders>
          </w:tcPr>
          <w:p w14:paraId="743D1526" w14:textId="13F7FE29" w:rsidR="008858AB" w:rsidRPr="003D48D7" w:rsidRDefault="008858AB" w:rsidP="008858AB">
            <w:pPr>
              <w:spacing w:line="300" w:lineRule="exact"/>
              <w:jc w:val="both"/>
              <w:rPr>
                <w:lang w:val="en-CA" w:eastAsia="zh-CN"/>
              </w:rPr>
            </w:pPr>
            <w:r w:rsidRPr="003D48D7">
              <w:rPr>
                <w:lang w:val="en-CA" w:eastAsia="zh-CN"/>
              </w:rPr>
              <w:t>Protocol</w:t>
            </w:r>
          </w:p>
        </w:tc>
        <w:tc>
          <w:tcPr>
            <w:tcW w:w="2440" w:type="dxa"/>
            <w:tcBorders>
              <w:top w:val="single" w:sz="2" w:space="0" w:color="auto"/>
              <w:bottom w:val="single" w:sz="2" w:space="0" w:color="auto"/>
            </w:tcBorders>
          </w:tcPr>
          <w:p w14:paraId="66615A20" w14:textId="472A4942" w:rsidR="008858AB" w:rsidRPr="003D48D7" w:rsidRDefault="008858AB" w:rsidP="008858AB">
            <w:pPr>
              <w:spacing w:line="300" w:lineRule="exact"/>
              <w:jc w:val="both"/>
              <w:rPr>
                <w:lang w:val="en-CA" w:eastAsia="zh-CN"/>
              </w:rPr>
            </w:pPr>
            <w:r w:rsidRPr="003D48D7">
              <w:rPr>
                <w:lang w:val="en-CA" w:eastAsia="zh-CN"/>
              </w:rPr>
              <w:t>Full model</w:t>
            </w:r>
          </w:p>
        </w:tc>
        <w:tc>
          <w:tcPr>
            <w:tcW w:w="1899" w:type="dxa"/>
            <w:tcBorders>
              <w:top w:val="single" w:sz="2" w:space="0" w:color="auto"/>
              <w:bottom w:val="single" w:sz="2" w:space="0" w:color="auto"/>
            </w:tcBorders>
          </w:tcPr>
          <w:p w14:paraId="3FCB591D" w14:textId="3701B5B9" w:rsidR="008858AB" w:rsidRPr="003D48D7" w:rsidRDefault="008858AB" w:rsidP="008858AB">
            <w:pPr>
              <w:spacing w:line="300" w:lineRule="exact"/>
              <w:jc w:val="both"/>
              <w:rPr>
                <w:lang w:val="en-CA" w:eastAsia="zh-CN"/>
              </w:rPr>
            </w:pPr>
            <w:r w:rsidRPr="003D48D7">
              <w:rPr>
                <w:lang w:val="en-CA" w:eastAsia="zh-CN"/>
              </w:rPr>
              <w:t>Without Mamba</w:t>
            </w:r>
          </w:p>
        </w:tc>
        <w:tc>
          <w:tcPr>
            <w:tcW w:w="1899" w:type="dxa"/>
            <w:tcBorders>
              <w:top w:val="single" w:sz="2" w:space="0" w:color="auto"/>
              <w:bottom w:val="single" w:sz="2" w:space="0" w:color="auto"/>
            </w:tcBorders>
          </w:tcPr>
          <w:p w14:paraId="77267F0E" w14:textId="75897370" w:rsidR="008858AB" w:rsidRPr="003D48D7" w:rsidRDefault="008858AB" w:rsidP="008858AB">
            <w:pPr>
              <w:spacing w:line="300" w:lineRule="exact"/>
              <w:jc w:val="both"/>
              <w:rPr>
                <w:lang w:val="en-CA" w:eastAsia="zh-CN"/>
              </w:rPr>
            </w:pPr>
            <w:r w:rsidRPr="003D48D7">
              <w:rPr>
                <w:lang w:val="en-CA" w:eastAsia="zh-CN"/>
              </w:rPr>
              <w:t>Without LPE</w:t>
            </w:r>
          </w:p>
        </w:tc>
      </w:tr>
      <w:tr w:rsidR="008858AB" w:rsidRPr="003D48D7" w14:paraId="507A30CC" w14:textId="77777777" w:rsidTr="003D48D7">
        <w:tc>
          <w:tcPr>
            <w:tcW w:w="1555" w:type="dxa"/>
            <w:tcBorders>
              <w:top w:val="single" w:sz="2" w:space="0" w:color="auto"/>
            </w:tcBorders>
          </w:tcPr>
          <w:p w14:paraId="651ECD75" w14:textId="3CAE6362" w:rsidR="008858AB" w:rsidRPr="003D48D7" w:rsidRDefault="008858AB" w:rsidP="008858AB">
            <w:pPr>
              <w:spacing w:line="300" w:lineRule="exact"/>
              <w:jc w:val="both"/>
              <w:rPr>
                <w:lang w:val="en-CA" w:eastAsia="zh-CN"/>
              </w:rPr>
            </w:pPr>
            <w:r w:rsidRPr="003D48D7">
              <w:rPr>
                <w:lang w:val="en-CA" w:eastAsia="zh-CN"/>
              </w:rPr>
              <w:t>IEDB</w:t>
            </w:r>
          </w:p>
        </w:tc>
        <w:tc>
          <w:tcPr>
            <w:tcW w:w="1701" w:type="dxa"/>
            <w:tcBorders>
              <w:top w:val="single" w:sz="2" w:space="0" w:color="auto"/>
            </w:tcBorders>
          </w:tcPr>
          <w:p w14:paraId="69BCF9D6" w14:textId="4D724414" w:rsidR="008858AB" w:rsidRPr="003D48D7" w:rsidRDefault="008858AB" w:rsidP="008858AB">
            <w:pPr>
              <w:spacing w:line="300" w:lineRule="exact"/>
              <w:jc w:val="both"/>
              <w:rPr>
                <w:lang w:val="en-CA" w:eastAsia="zh-CN"/>
              </w:rPr>
            </w:pPr>
            <w:r w:rsidRPr="003D48D7">
              <w:rPr>
                <w:lang w:val="en-CA" w:eastAsia="zh-CN"/>
              </w:rPr>
              <w:t>TCR-cold</w:t>
            </w:r>
          </w:p>
        </w:tc>
        <w:tc>
          <w:tcPr>
            <w:tcW w:w="2440" w:type="dxa"/>
            <w:tcBorders>
              <w:top w:val="single" w:sz="2" w:space="0" w:color="auto"/>
            </w:tcBorders>
          </w:tcPr>
          <w:p w14:paraId="11C97C02" w14:textId="4E803FFB" w:rsidR="008858AB" w:rsidRPr="003D48D7" w:rsidRDefault="008858AB" w:rsidP="008858AB">
            <w:pPr>
              <w:spacing w:line="300" w:lineRule="exact"/>
              <w:jc w:val="both"/>
              <w:rPr>
                <w:lang w:val="en-CA" w:eastAsia="zh-CN"/>
              </w:rPr>
            </w:pPr>
            <w:r w:rsidRPr="003D48D7">
              <w:rPr>
                <w:lang w:val="en-CA" w:eastAsia="zh-CN"/>
              </w:rPr>
              <w:t>0.871 / 0.895</w:t>
            </w:r>
          </w:p>
        </w:tc>
        <w:tc>
          <w:tcPr>
            <w:tcW w:w="1899" w:type="dxa"/>
            <w:tcBorders>
              <w:top w:val="single" w:sz="2" w:space="0" w:color="auto"/>
            </w:tcBorders>
          </w:tcPr>
          <w:p w14:paraId="79A71677" w14:textId="42C88E2B" w:rsidR="008858AB" w:rsidRPr="003D48D7" w:rsidRDefault="008858AB" w:rsidP="008858AB">
            <w:pPr>
              <w:spacing w:line="300" w:lineRule="exact"/>
              <w:jc w:val="both"/>
              <w:rPr>
                <w:lang w:val="en-CA" w:eastAsia="zh-CN"/>
              </w:rPr>
            </w:pPr>
            <w:r w:rsidRPr="003D48D7">
              <w:rPr>
                <w:lang w:val="en-CA" w:eastAsia="zh-CN"/>
              </w:rPr>
              <w:t>0.871 / 0.893</w:t>
            </w:r>
          </w:p>
        </w:tc>
        <w:tc>
          <w:tcPr>
            <w:tcW w:w="1899" w:type="dxa"/>
            <w:tcBorders>
              <w:top w:val="single" w:sz="2" w:space="0" w:color="auto"/>
            </w:tcBorders>
          </w:tcPr>
          <w:p w14:paraId="1A15C6D9" w14:textId="39A83FA9" w:rsidR="008858AB" w:rsidRPr="003D48D7" w:rsidRDefault="008858AB" w:rsidP="008858AB">
            <w:pPr>
              <w:spacing w:line="300" w:lineRule="exact"/>
              <w:jc w:val="both"/>
              <w:rPr>
                <w:lang w:val="en-CA" w:eastAsia="zh-CN"/>
              </w:rPr>
            </w:pPr>
            <w:r w:rsidRPr="003D48D7">
              <w:rPr>
                <w:lang w:val="en-CA" w:eastAsia="zh-CN"/>
              </w:rPr>
              <w:t>0.865 / 0.891</w:t>
            </w:r>
          </w:p>
        </w:tc>
      </w:tr>
      <w:tr w:rsidR="008858AB" w:rsidRPr="003D48D7" w14:paraId="74915BDC" w14:textId="77777777" w:rsidTr="003D48D7">
        <w:tc>
          <w:tcPr>
            <w:tcW w:w="1555" w:type="dxa"/>
          </w:tcPr>
          <w:p w14:paraId="7AAEE443" w14:textId="0C244F2B" w:rsidR="008858AB" w:rsidRPr="003D48D7" w:rsidRDefault="008858AB" w:rsidP="008858AB">
            <w:pPr>
              <w:spacing w:line="300" w:lineRule="exact"/>
              <w:jc w:val="both"/>
              <w:rPr>
                <w:lang w:val="en-CA" w:eastAsia="zh-CN"/>
              </w:rPr>
            </w:pPr>
            <w:r w:rsidRPr="003D48D7">
              <w:rPr>
                <w:lang w:val="en-CA" w:eastAsia="zh-CN"/>
              </w:rPr>
              <w:t>IEDB</w:t>
            </w:r>
          </w:p>
        </w:tc>
        <w:tc>
          <w:tcPr>
            <w:tcW w:w="1701" w:type="dxa"/>
          </w:tcPr>
          <w:p w14:paraId="2277DC99" w14:textId="63924604" w:rsidR="008858AB" w:rsidRPr="003D48D7" w:rsidRDefault="008858AB" w:rsidP="008858AB">
            <w:pPr>
              <w:spacing w:line="300" w:lineRule="exact"/>
              <w:jc w:val="both"/>
              <w:rPr>
                <w:lang w:val="en-CA" w:eastAsia="zh-CN"/>
              </w:rPr>
            </w:pPr>
            <w:r w:rsidRPr="003D48D7">
              <w:rPr>
                <w:lang w:val="en-CA" w:eastAsia="zh-CN"/>
              </w:rPr>
              <w:t>Epitope-cold</w:t>
            </w:r>
          </w:p>
        </w:tc>
        <w:tc>
          <w:tcPr>
            <w:tcW w:w="2440" w:type="dxa"/>
          </w:tcPr>
          <w:p w14:paraId="6B568F9A" w14:textId="50092D3C" w:rsidR="008858AB" w:rsidRPr="003D48D7" w:rsidRDefault="007B3FC1" w:rsidP="008858AB">
            <w:pPr>
              <w:spacing w:line="300" w:lineRule="exact"/>
              <w:jc w:val="both"/>
              <w:rPr>
                <w:lang w:val="en-CA" w:eastAsia="zh-CN"/>
              </w:rPr>
            </w:pPr>
            <w:r w:rsidRPr="003D48D7">
              <w:rPr>
                <w:lang w:val="en-CA" w:eastAsia="zh-CN"/>
              </w:rPr>
              <w:t>0.717 / 0.638</w:t>
            </w:r>
          </w:p>
        </w:tc>
        <w:tc>
          <w:tcPr>
            <w:tcW w:w="1899" w:type="dxa"/>
          </w:tcPr>
          <w:p w14:paraId="72D005B9" w14:textId="083C5E4D" w:rsidR="008858AB" w:rsidRPr="003D48D7" w:rsidRDefault="007B3FC1" w:rsidP="008858AB">
            <w:pPr>
              <w:spacing w:line="300" w:lineRule="exact"/>
              <w:jc w:val="both"/>
              <w:rPr>
                <w:lang w:val="en-CA" w:eastAsia="zh-CN"/>
              </w:rPr>
            </w:pPr>
            <w:r w:rsidRPr="003D48D7">
              <w:rPr>
                <w:lang w:val="en-CA" w:eastAsia="zh-CN"/>
              </w:rPr>
              <w:t>0.735 / 0.663</w:t>
            </w:r>
          </w:p>
        </w:tc>
        <w:tc>
          <w:tcPr>
            <w:tcW w:w="1899" w:type="dxa"/>
          </w:tcPr>
          <w:p w14:paraId="317870EF" w14:textId="26B8184F" w:rsidR="008858AB" w:rsidRPr="003D48D7" w:rsidRDefault="007B3FC1" w:rsidP="008858AB">
            <w:pPr>
              <w:spacing w:line="300" w:lineRule="exact"/>
              <w:jc w:val="both"/>
              <w:rPr>
                <w:lang w:val="en-CA" w:eastAsia="zh-CN"/>
              </w:rPr>
            </w:pPr>
            <w:r w:rsidRPr="003D48D7">
              <w:rPr>
                <w:lang w:val="en-CA" w:eastAsia="zh-CN"/>
              </w:rPr>
              <w:t>0.622 / 0.558</w:t>
            </w:r>
          </w:p>
        </w:tc>
      </w:tr>
      <w:tr w:rsidR="008858AB" w:rsidRPr="003D48D7" w14:paraId="6B4D0551" w14:textId="77777777" w:rsidTr="003D48D7">
        <w:tc>
          <w:tcPr>
            <w:tcW w:w="1555" w:type="dxa"/>
          </w:tcPr>
          <w:p w14:paraId="077DFB5D" w14:textId="67FDE488" w:rsidR="008858AB" w:rsidRPr="003D48D7" w:rsidRDefault="008858AB" w:rsidP="008858AB">
            <w:pPr>
              <w:spacing w:line="300" w:lineRule="exact"/>
              <w:jc w:val="both"/>
              <w:rPr>
                <w:lang w:val="en-CA" w:eastAsia="zh-CN"/>
              </w:rPr>
            </w:pPr>
            <w:r w:rsidRPr="003D48D7">
              <w:rPr>
                <w:lang w:val="en-CA" w:eastAsia="zh-CN"/>
              </w:rPr>
              <w:t>IEDB</w:t>
            </w:r>
          </w:p>
        </w:tc>
        <w:tc>
          <w:tcPr>
            <w:tcW w:w="1701" w:type="dxa"/>
          </w:tcPr>
          <w:p w14:paraId="0720DC9B" w14:textId="6D1BEA7D" w:rsidR="008858AB" w:rsidRPr="003D48D7" w:rsidRDefault="008858AB" w:rsidP="008858AB">
            <w:pPr>
              <w:spacing w:line="300" w:lineRule="exact"/>
              <w:jc w:val="both"/>
              <w:rPr>
                <w:lang w:val="en-CA" w:eastAsia="zh-CN"/>
              </w:rPr>
            </w:pPr>
            <w:r w:rsidRPr="003D48D7">
              <w:rPr>
                <w:lang w:val="en-CA" w:eastAsia="zh-CN"/>
              </w:rPr>
              <w:t>Both-cold</w:t>
            </w:r>
          </w:p>
        </w:tc>
        <w:tc>
          <w:tcPr>
            <w:tcW w:w="2440" w:type="dxa"/>
          </w:tcPr>
          <w:p w14:paraId="12BBD42B" w14:textId="1C9631DF" w:rsidR="008858AB" w:rsidRPr="003D48D7" w:rsidRDefault="007B3FC1" w:rsidP="008858AB">
            <w:pPr>
              <w:spacing w:line="300" w:lineRule="exact"/>
              <w:jc w:val="both"/>
              <w:rPr>
                <w:lang w:val="en-CA" w:eastAsia="zh-CN"/>
              </w:rPr>
            </w:pPr>
            <w:r w:rsidRPr="003D48D7">
              <w:rPr>
                <w:lang w:val="en-CA" w:eastAsia="zh-CN"/>
              </w:rPr>
              <w:t>0.503 / 0.533</w:t>
            </w:r>
          </w:p>
        </w:tc>
        <w:tc>
          <w:tcPr>
            <w:tcW w:w="1899" w:type="dxa"/>
          </w:tcPr>
          <w:p w14:paraId="4AC72F64" w14:textId="24592741" w:rsidR="008858AB" w:rsidRPr="003D48D7" w:rsidRDefault="007B3FC1" w:rsidP="008858AB">
            <w:pPr>
              <w:spacing w:line="300" w:lineRule="exact"/>
              <w:jc w:val="both"/>
              <w:rPr>
                <w:lang w:val="en-CA" w:eastAsia="zh-CN"/>
              </w:rPr>
            </w:pPr>
            <w:r w:rsidRPr="003D48D7">
              <w:rPr>
                <w:lang w:val="en-CA" w:eastAsia="zh-CN"/>
              </w:rPr>
              <w:t>0.509 / 0.545</w:t>
            </w:r>
          </w:p>
        </w:tc>
        <w:tc>
          <w:tcPr>
            <w:tcW w:w="1899" w:type="dxa"/>
          </w:tcPr>
          <w:p w14:paraId="5671EAE4" w14:textId="041DDE10" w:rsidR="008858AB" w:rsidRPr="003D48D7" w:rsidRDefault="007B3FC1" w:rsidP="008858AB">
            <w:pPr>
              <w:spacing w:line="300" w:lineRule="exact"/>
              <w:jc w:val="both"/>
              <w:rPr>
                <w:lang w:val="en-CA" w:eastAsia="zh-CN"/>
              </w:rPr>
            </w:pPr>
            <w:r w:rsidRPr="003D48D7">
              <w:rPr>
                <w:lang w:val="en-CA" w:eastAsia="zh-CN"/>
              </w:rPr>
              <w:t>0.473 / 0.497</w:t>
            </w:r>
          </w:p>
        </w:tc>
      </w:tr>
      <w:tr w:rsidR="008858AB" w:rsidRPr="003D48D7" w14:paraId="52979489" w14:textId="77777777" w:rsidTr="003D48D7">
        <w:tc>
          <w:tcPr>
            <w:tcW w:w="1555" w:type="dxa"/>
          </w:tcPr>
          <w:p w14:paraId="04D1E220" w14:textId="5E0ADE64" w:rsidR="008858AB" w:rsidRPr="003D48D7" w:rsidRDefault="008858AB" w:rsidP="008858AB">
            <w:pPr>
              <w:spacing w:line="300" w:lineRule="exact"/>
              <w:jc w:val="both"/>
              <w:rPr>
                <w:lang w:val="en-CA" w:eastAsia="zh-CN"/>
              </w:rPr>
            </w:pPr>
            <w:proofErr w:type="spellStart"/>
            <w:r w:rsidRPr="003D48D7">
              <w:rPr>
                <w:lang w:val="en-CA" w:eastAsia="zh-CN"/>
              </w:rPr>
              <w:t>McPAS</w:t>
            </w:r>
            <w:proofErr w:type="spellEnd"/>
            <w:r w:rsidRPr="003D48D7">
              <w:rPr>
                <w:lang w:val="en-CA" w:eastAsia="zh-CN"/>
              </w:rPr>
              <w:t>-TCR</w:t>
            </w:r>
          </w:p>
        </w:tc>
        <w:tc>
          <w:tcPr>
            <w:tcW w:w="1701" w:type="dxa"/>
          </w:tcPr>
          <w:p w14:paraId="02DC961C" w14:textId="43472A8C" w:rsidR="008858AB" w:rsidRPr="003D48D7" w:rsidRDefault="008858AB" w:rsidP="008858AB">
            <w:pPr>
              <w:spacing w:line="300" w:lineRule="exact"/>
              <w:jc w:val="both"/>
              <w:rPr>
                <w:lang w:val="en-CA" w:eastAsia="zh-CN"/>
              </w:rPr>
            </w:pPr>
            <w:r w:rsidRPr="003D48D7">
              <w:rPr>
                <w:lang w:val="en-CA" w:eastAsia="zh-CN"/>
              </w:rPr>
              <w:t>TCR-cold</w:t>
            </w:r>
          </w:p>
        </w:tc>
        <w:tc>
          <w:tcPr>
            <w:tcW w:w="2440" w:type="dxa"/>
          </w:tcPr>
          <w:p w14:paraId="6377514A" w14:textId="3CF92B90" w:rsidR="008858AB" w:rsidRPr="003D48D7" w:rsidRDefault="007B3FC1" w:rsidP="008858AB">
            <w:pPr>
              <w:spacing w:line="300" w:lineRule="exact"/>
              <w:jc w:val="both"/>
              <w:rPr>
                <w:lang w:val="en-CA" w:eastAsia="zh-CN"/>
              </w:rPr>
            </w:pPr>
            <w:r w:rsidRPr="003D48D7">
              <w:rPr>
                <w:lang w:val="en-CA" w:eastAsia="zh-CN"/>
              </w:rPr>
              <w:t>0.920 / 0.901</w:t>
            </w:r>
          </w:p>
        </w:tc>
        <w:tc>
          <w:tcPr>
            <w:tcW w:w="1899" w:type="dxa"/>
          </w:tcPr>
          <w:p w14:paraId="737668A9" w14:textId="7662F854" w:rsidR="008858AB" w:rsidRPr="003D48D7" w:rsidRDefault="007B3FC1" w:rsidP="008858AB">
            <w:pPr>
              <w:spacing w:line="300" w:lineRule="exact"/>
              <w:jc w:val="both"/>
              <w:rPr>
                <w:lang w:val="en-CA" w:eastAsia="zh-CN"/>
              </w:rPr>
            </w:pPr>
            <w:r w:rsidRPr="003D48D7">
              <w:rPr>
                <w:lang w:val="en-CA" w:eastAsia="zh-CN"/>
              </w:rPr>
              <w:t>0.930 / 0.923</w:t>
            </w:r>
          </w:p>
        </w:tc>
        <w:tc>
          <w:tcPr>
            <w:tcW w:w="1899" w:type="dxa"/>
          </w:tcPr>
          <w:p w14:paraId="209A1801" w14:textId="29ACD048" w:rsidR="008858AB" w:rsidRPr="003D48D7" w:rsidRDefault="007B3FC1" w:rsidP="008858AB">
            <w:pPr>
              <w:spacing w:line="300" w:lineRule="exact"/>
              <w:jc w:val="both"/>
              <w:rPr>
                <w:lang w:val="en-CA" w:eastAsia="zh-CN"/>
              </w:rPr>
            </w:pPr>
            <w:r w:rsidRPr="003D48D7">
              <w:rPr>
                <w:lang w:val="en-CA" w:eastAsia="zh-CN"/>
              </w:rPr>
              <w:t>0.919 / 0.900</w:t>
            </w:r>
          </w:p>
        </w:tc>
      </w:tr>
      <w:tr w:rsidR="008858AB" w:rsidRPr="003D48D7" w14:paraId="4ABCFBCD" w14:textId="77777777" w:rsidTr="003D48D7">
        <w:tc>
          <w:tcPr>
            <w:tcW w:w="1555" w:type="dxa"/>
          </w:tcPr>
          <w:p w14:paraId="1C2A3220" w14:textId="068AF825" w:rsidR="008858AB" w:rsidRPr="003D48D7" w:rsidRDefault="008858AB" w:rsidP="008858AB">
            <w:pPr>
              <w:spacing w:line="300" w:lineRule="exact"/>
              <w:jc w:val="both"/>
              <w:rPr>
                <w:lang w:val="en-CA" w:eastAsia="zh-CN"/>
              </w:rPr>
            </w:pPr>
            <w:proofErr w:type="spellStart"/>
            <w:r w:rsidRPr="003D48D7">
              <w:rPr>
                <w:lang w:val="en-CA" w:eastAsia="zh-CN"/>
              </w:rPr>
              <w:t>McPAS</w:t>
            </w:r>
            <w:proofErr w:type="spellEnd"/>
            <w:r w:rsidRPr="003D48D7">
              <w:rPr>
                <w:lang w:val="en-CA" w:eastAsia="zh-CN"/>
              </w:rPr>
              <w:t>-TCR</w:t>
            </w:r>
          </w:p>
        </w:tc>
        <w:tc>
          <w:tcPr>
            <w:tcW w:w="1701" w:type="dxa"/>
          </w:tcPr>
          <w:p w14:paraId="19D1ADC0" w14:textId="1C38211E" w:rsidR="008858AB" w:rsidRPr="003D48D7" w:rsidRDefault="008858AB" w:rsidP="008858AB">
            <w:pPr>
              <w:spacing w:line="300" w:lineRule="exact"/>
              <w:jc w:val="both"/>
              <w:rPr>
                <w:lang w:val="en-CA" w:eastAsia="zh-CN"/>
              </w:rPr>
            </w:pPr>
            <w:r w:rsidRPr="003D48D7">
              <w:rPr>
                <w:lang w:val="en-CA" w:eastAsia="zh-CN"/>
              </w:rPr>
              <w:t>Epitope-cold</w:t>
            </w:r>
          </w:p>
        </w:tc>
        <w:tc>
          <w:tcPr>
            <w:tcW w:w="2440" w:type="dxa"/>
          </w:tcPr>
          <w:p w14:paraId="1C03541A" w14:textId="0788CF5D" w:rsidR="008858AB" w:rsidRPr="003D48D7" w:rsidRDefault="007B3FC1" w:rsidP="008858AB">
            <w:pPr>
              <w:spacing w:line="300" w:lineRule="exact"/>
              <w:jc w:val="both"/>
              <w:rPr>
                <w:lang w:val="en-CA" w:eastAsia="zh-CN"/>
              </w:rPr>
            </w:pPr>
            <w:r w:rsidRPr="003D48D7">
              <w:rPr>
                <w:lang w:val="en-CA" w:eastAsia="zh-CN"/>
              </w:rPr>
              <w:t>0.677 / 0.638</w:t>
            </w:r>
          </w:p>
        </w:tc>
        <w:tc>
          <w:tcPr>
            <w:tcW w:w="1899" w:type="dxa"/>
          </w:tcPr>
          <w:p w14:paraId="46BE2982" w14:textId="3578C0BE" w:rsidR="008858AB" w:rsidRPr="003D48D7" w:rsidRDefault="007B3FC1" w:rsidP="008858AB">
            <w:pPr>
              <w:spacing w:line="300" w:lineRule="exact"/>
              <w:jc w:val="both"/>
              <w:rPr>
                <w:lang w:val="en-CA" w:eastAsia="zh-CN"/>
              </w:rPr>
            </w:pPr>
            <w:r w:rsidRPr="003D48D7">
              <w:rPr>
                <w:lang w:val="en-CA" w:eastAsia="zh-CN"/>
              </w:rPr>
              <w:t>0.634 / 0.608</w:t>
            </w:r>
          </w:p>
        </w:tc>
        <w:tc>
          <w:tcPr>
            <w:tcW w:w="1899" w:type="dxa"/>
          </w:tcPr>
          <w:p w14:paraId="084B45AF" w14:textId="5BA79BA8" w:rsidR="008858AB" w:rsidRPr="003D48D7" w:rsidRDefault="007B3FC1" w:rsidP="008858AB">
            <w:pPr>
              <w:spacing w:line="300" w:lineRule="exact"/>
              <w:jc w:val="both"/>
              <w:rPr>
                <w:lang w:val="en-CA" w:eastAsia="zh-CN"/>
              </w:rPr>
            </w:pPr>
            <w:r w:rsidRPr="003D48D7">
              <w:rPr>
                <w:lang w:val="en-CA" w:eastAsia="zh-CN"/>
              </w:rPr>
              <w:t>0.547 / 0.538</w:t>
            </w:r>
          </w:p>
        </w:tc>
      </w:tr>
      <w:tr w:rsidR="008858AB" w:rsidRPr="003D48D7" w14:paraId="7304E2E1" w14:textId="77777777" w:rsidTr="003D48D7">
        <w:tc>
          <w:tcPr>
            <w:tcW w:w="1555" w:type="dxa"/>
          </w:tcPr>
          <w:p w14:paraId="4F14CE46" w14:textId="1C5E60E3" w:rsidR="008858AB" w:rsidRPr="003D48D7" w:rsidRDefault="008858AB" w:rsidP="008858AB">
            <w:pPr>
              <w:spacing w:line="300" w:lineRule="exact"/>
              <w:jc w:val="both"/>
              <w:rPr>
                <w:lang w:val="en-CA" w:eastAsia="zh-CN"/>
              </w:rPr>
            </w:pPr>
            <w:proofErr w:type="spellStart"/>
            <w:r w:rsidRPr="003D48D7">
              <w:rPr>
                <w:lang w:val="en-CA" w:eastAsia="zh-CN"/>
              </w:rPr>
              <w:t>McPAS</w:t>
            </w:r>
            <w:proofErr w:type="spellEnd"/>
            <w:r w:rsidRPr="003D48D7">
              <w:rPr>
                <w:lang w:val="en-CA" w:eastAsia="zh-CN"/>
              </w:rPr>
              <w:t>-TCR</w:t>
            </w:r>
          </w:p>
        </w:tc>
        <w:tc>
          <w:tcPr>
            <w:tcW w:w="1701" w:type="dxa"/>
          </w:tcPr>
          <w:p w14:paraId="6C3A355C" w14:textId="305B30B9" w:rsidR="008858AB" w:rsidRPr="003D48D7" w:rsidRDefault="008858AB" w:rsidP="008858AB">
            <w:pPr>
              <w:spacing w:line="300" w:lineRule="exact"/>
              <w:jc w:val="both"/>
              <w:rPr>
                <w:lang w:val="en-CA" w:eastAsia="zh-CN"/>
              </w:rPr>
            </w:pPr>
            <w:r w:rsidRPr="003D48D7">
              <w:rPr>
                <w:lang w:val="en-CA" w:eastAsia="zh-CN"/>
              </w:rPr>
              <w:t>Both-cold</w:t>
            </w:r>
          </w:p>
        </w:tc>
        <w:tc>
          <w:tcPr>
            <w:tcW w:w="2440" w:type="dxa"/>
          </w:tcPr>
          <w:p w14:paraId="101DF3C6" w14:textId="34D2EFAA" w:rsidR="008858AB" w:rsidRPr="003D48D7" w:rsidRDefault="007B3FC1" w:rsidP="008858AB">
            <w:pPr>
              <w:spacing w:line="300" w:lineRule="exact"/>
              <w:jc w:val="both"/>
              <w:rPr>
                <w:lang w:val="en-CA" w:eastAsia="zh-CN"/>
              </w:rPr>
            </w:pPr>
            <w:r w:rsidRPr="003D48D7">
              <w:rPr>
                <w:lang w:val="en-CA" w:eastAsia="zh-CN"/>
              </w:rPr>
              <w:t>0.568 / 0.629</w:t>
            </w:r>
          </w:p>
        </w:tc>
        <w:tc>
          <w:tcPr>
            <w:tcW w:w="1899" w:type="dxa"/>
          </w:tcPr>
          <w:p w14:paraId="681DB53D" w14:textId="32616749" w:rsidR="008858AB" w:rsidRPr="003D48D7" w:rsidRDefault="007B3FC1" w:rsidP="008858AB">
            <w:pPr>
              <w:spacing w:line="300" w:lineRule="exact"/>
              <w:jc w:val="both"/>
              <w:rPr>
                <w:lang w:val="en-CA" w:eastAsia="zh-CN"/>
              </w:rPr>
            </w:pPr>
            <w:r w:rsidRPr="003D48D7">
              <w:rPr>
                <w:lang w:val="en-CA" w:eastAsia="zh-CN"/>
              </w:rPr>
              <w:t>0.532 / 0.597</w:t>
            </w:r>
          </w:p>
        </w:tc>
        <w:tc>
          <w:tcPr>
            <w:tcW w:w="1899" w:type="dxa"/>
          </w:tcPr>
          <w:p w14:paraId="56BEDBD8" w14:textId="0A073576" w:rsidR="008858AB" w:rsidRPr="003D48D7" w:rsidRDefault="007B3FC1" w:rsidP="008858AB">
            <w:pPr>
              <w:spacing w:line="300" w:lineRule="exact"/>
              <w:jc w:val="both"/>
              <w:rPr>
                <w:lang w:val="en-CA" w:eastAsia="zh-CN"/>
              </w:rPr>
            </w:pPr>
            <w:r w:rsidRPr="003D48D7">
              <w:rPr>
                <w:lang w:val="en-CA" w:eastAsia="zh-CN"/>
              </w:rPr>
              <w:t>0.341 / 0.540</w:t>
            </w:r>
          </w:p>
        </w:tc>
      </w:tr>
      <w:tr w:rsidR="008858AB" w:rsidRPr="003D48D7" w14:paraId="3719E7CD" w14:textId="77777777" w:rsidTr="003D48D7">
        <w:tc>
          <w:tcPr>
            <w:tcW w:w="1555" w:type="dxa"/>
          </w:tcPr>
          <w:p w14:paraId="1D80C3C8" w14:textId="4464A311" w:rsidR="008858AB" w:rsidRPr="003D48D7" w:rsidRDefault="008858AB" w:rsidP="008858AB">
            <w:pPr>
              <w:spacing w:line="300" w:lineRule="exact"/>
              <w:jc w:val="both"/>
              <w:rPr>
                <w:lang w:val="en-CA" w:eastAsia="zh-CN"/>
              </w:rPr>
            </w:pPr>
            <w:proofErr w:type="spellStart"/>
            <w:r w:rsidRPr="003D48D7">
              <w:rPr>
                <w:lang w:val="en-CA" w:eastAsia="zh-CN"/>
              </w:rPr>
              <w:t>VDJdb</w:t>
            </w:r>
            <w:proofErr w:type="spellEnd"/>
          </w:p>
        </w:tc>
        <w:tc>
          <w:tcPr>
            <w:tcW w:w="1701" w:type="dxa"/>
          </w:tcPr>
          <w:p w14:paraId="6FE394AA" w14:textId="468B03F0" w:rsidR="008858AB" w:rsidRPr="003D48D7" w:rsidRDefault="008858AB" w:rsidP="008858AB">
            <w:pPr>
              <w:spacing w:line="300" w:lineRule="exact"/>
              <w:jc w:val="both"/>
              <w:rPr>
                <w:lang w:val="en-CA" w:eastAsia="zh-CN"/>
              </w:rPr>
            </w:pPr>
            <w:r w:rsidRPr="003D48D7">
              <w:rPr>
                <w:lang w:val="en-CA" w:eastAsia="zh-CN"/>
              </w:rPr>
              <w:t>TCR-cold</w:t>
            </w:r>
          </w:p>
        </w:tc>
        <w:tc>
          <w:tcPr>
            <w:tcW w:w="2440" w:type="dxa"/>
          </w:tcPr>
          <w:p w14:paraId="08CB22C4" w14:textId="21E334B7" w:rsidR="008858AB" w:rsidRPr="003D48D7" w:rsidRDefault="007B3FC1" w:rsidP="008858AB">
            <w:pPr>
              <w:spacing w:line="300" w:lineRule="exact"/>
              <w:jc w:val="both"/>
              <w:rPr>
                <w:lang w:val="en-CA" w:eastAsia="zh-CN"/>
              </w:rPr>
            </w:pPr>
            <w:r w:rsidRPr="003D48D7">
              <w:rPr>
                <w:lang w:val="en-CA" w:eastAsia="zh-CN"/>
              </w:rPr>
              <w:t>0.987 / 0.989</w:t>
            </w:r>
          </w:p>
        </w:tc>
        <w:tc>
          <w:tcPr>
            <w:tcW w:w="1899" w:type="dxa"/>
          </w:tcPr>
          <w:p w14:paraId="740166FB" w14:textId="1DC42AF3" w:rsidR="008858AB" w:rsidRPr="003D48D7" w:rsidRDefault="007B3FC1" w:rsidP="008858AB">
            <w:pPr>
              <w:spacing w:line="300" w:lineRule="exact"/>
              <w:jc w:val="both"/>
              <w:rPr>
                <w:lang w:val="en-CA" w:eastAsia="zh-CN"/>
              </w:rPr>
            </w:pPr>
            <w:r w:rsidRPr="003D48D7">
              <w:rPr>
                <w:lang w:val="en-CA" w:eastAsia="zh-CN"/>
              </w:rPr>
              <w:t>0.987 / 0.989</w:t>
            </w:r>
          </w:p>
        </w:tc>
        <w:tc>
          <w:tcPr>
            <w:tcW w:w="1899" w:type="dxa"/>
          </w:tcPr>
          <w:p w14:paraId="74D8AAB5" w14:textId="77747BE1" w:rsidR="008858AB" w:rsidRPr="003D48D7" w:rsidRDefault="007B3FC1" w:rsidP="008858AB">
            <w:pPr>
              <w:spacing w:line="300" w:lineRule="exact"/>
              <w:jc w:val="both"/>
              <w:rPr>
                <w:lang w:val="en-CA" w:eastAsia="zh-CN"/>
              </w:rPr>
            </w:pPr>
            <w:r w:rsidRPr="003D48D7">
              <w:rPr>
                <w:lang w:val="en-CA" w:eastAsia="zh-CN"/>
              </w:rPr>
              <w:t>0.984 / 0.987</w:t>
            </w:r>
          </w:p>
        </w:tc>
      </w:tr>
      <w:tr w:rsidR="008858AB" w:rsidRPr="003D48D7" w14:paraId="7DF2F81F" w14:textId="77777777" w:rsidTr="003D48D7">
        <w:tc>
          <w:tcPr>
            <w:tcW w:w="1555" w:type="dxa"/>
          </w:tcPr>
          <w:p w14:paraId="77DE7BA9" w14:textId="4586431A" w:rsidR="008858AB" w:rsidRPr="003D48D7" w:rsidRDefault="008858AB" w:rsidP="008858AB">
            <w:pPr>
              <w:spacing w:line="300" w:lineRule="exact"/>
              <w:jc w:val="both"/>
              <w:rPr>
                <w:lang w:val="en-CA" w:eastAsia="zh-CN"/>
              </w:rPr>
            </w:pPr>
            <w:proofErr w:type="spellStart"/>
            <w:r w:rsidRPr="003D48D7">
              <w:rPr>
                <w:lang w:val="en-CA" w:eastAsia="zh-CN"/>
              </w:rPr>
              <w:t>VDJdb</w:t>
            </w:r>
            <w:proofErr w:type="spellEnd"/>
          </w:p>
        </w:tc>
        <w:tc>
          <w:tcPr>
            <w:tcW w:w="1701" w:type="dxa"/>
          </w:tcPr>
          <w:p w14:paraId="2D3AFA95" w14:textId="5E22DE49" w:rsidR="008858AB" w:rsidRPr="003D48D7" w:rsidRDefault="008858AB" w:rsidP="008858AB">
            <w:pPr>
              <w:spacing w:line="300" w:lineRule="exact"/>
              <w:jc w:val="both"/>
              <w:rPr>
                <w:lang w:val="en-CA" w:eastAsia="zh-CN"/>
              </w:rPr>
            </w:pPr>
            <w:r w:rsidRPr="003D48D7">
              <w:rPr>
                <w:lang w:val="en-CA" w:eastAsia="zh-CN"/>
              </w:rPr>
              <w:t>Epitope-cold</w:t>
            </w:r>
          </w:p>
        </w:tc>
        <w:tc>
          <w:tcPr>
            <w:tcW w:w="2440" w:type="dxa"/>
          </w:tcPr>
          <w:p w14:paraId="4AABE717" w14:textId="014CB963" w:rsidR="008858AB" w:rsidRPr="003D48D7" w:rsidRDefault="007B3FC1" w:rsidP="008858AB">
            <w:pPr>
              <w:spacing w:line="300" w:lineRule="exact"/>
              <w:jc w:val="both"/>
              <w:rPr>
                <w:lang w:val="en-CA" w:eastAsia="zh-CN"/>
              </w:rPr>
            </w:pPr>
            <w:r w:rsidRPr="003D48D7">
              <w:rPr>
                <w:lang w:val="en-CA" w:eastAsia="zh-CN"/>
              </w:rPr>
              <w:t>0.856 / 0.761</w:t>
            </w:r>
          </w:p>
        </w:tc>
        <w:tc>
          <w:tcPr>
            <w:tcW w:w="1899" w:type="dxa"/>
          </w:tcPr>
          <w:p w14:paraId="3FCD49B4" w14:textId="6C28E492" w:rsidR="008858AB" w:rsidRPr="003D48D7" w:rsidRDefault="007B3FC1" w:rsidP="008858AB">
            <w:pPr>
              <w:spacing w:line="300" w:lineRule="exact"/>
              <w:jc w:val="both"/>
              <w:rPr>
                <w:lang w:val="en-CA" w:eastAsia="zh-CN"/>
              </w:rPr>
            </w:pPr>
            <w:r w:rsidRPr="003D48D7">
              <w:rPr>
                <w:lang w:val="en-CA" w:eastAsia="zh-CN"/>
              </w:rPr>
              <w:t>0.798 / 0.736</w:t>
            </w:r>
          </w:p>
        </w:tc>
        <w:tc>
          <w:tcPr>
            <w:tcW w:w="1899" w:type="dxa"/>
          </w:tcPr>
          <w:p w14:paraId="41914AE5" w14:textId="38B4734B" w:rsidR="008858AB" w:rsidRPr="003D48D7" w:rsidRDefault="007B3FC1" w:rsidP="008858AB">
            <w:pPr>
              <w:spacing w:line="300" w:lineRule="exact"/>
              <w:jc w:val="both"/>
              <w:rPr>
                <w:lang w:val="en-CA" w:eastAsia="zh-CN"/>
              </w:rPr>
            </w:pPr>
            <w:r w:rsidRPr="003D48D7">
              <w:rPr>
                <w:lang w:val="en-CA" w:eastAsia="zh-CN"/>
              </w:rPr>
              <w:t>0.793 / 0.689</w:t>
            </w:r>
          </w:p>
        </w:tc>
      </w:tr>
      <w:tr w:rsidR="008858AB" w:rsidRPr="003D48D7" w14:paraId="7E9D8A80" w14:textId="77777777" w:rsidTr="003D48D7">
        <w:tc>
          <w:tcPr>
            <w:tcW w:w="1555" w:type="dxa"/>
          </w:tcPr>
          <w:p w14:paraId="6D25C1A8" w14:textId="115579A4" w:rsidR="008858AB" w:rsidRPr="003D48D7" w:rsidRDefault="008858AB" w:rsidP="008858AB">
            <w:pPr>
              <w:spacing w:line="300" w:lineRule="exact"/>
              <w:jc w:val="both"/>
              <w:rPr>
                <w:lang w:val="en-CA" w:eastAsia="zh-CN"/>
              </w:rPr>
            </w:pPr>
            <w:proofErr w:type="spellStart"/>
            <w:r w:rsidRPr="003D48D7">
              <w:rPr>
                <w:lang w:val="en-CA" w:eastAsia="zh-CN"/>
              </w:rPr>
              <w:t>VDJdb</w:t>
            </w:r>
            <w:proofErr w:type="spellEnd"/>
          </w:p>
        </w:tc>
        <w:tc>
          <w:tcPr>
            <w:tcW w:w="1701" w:type="dxa"/>
          </w:tcPr>
          <w:p w14:paraId="5C8348BC" w14:textId="7AB67706" w:rsidR="008858AB" w:rsidRPr="003D48D7" w:rsidRDefault="008858AB" w:rsidP="008858AB">
            <w:pPr>
              <w:spacing w:line="300" w:lineRule="exact"/>
              <w:jc w:val="both"/>
              <w:rPr>
                <w:lang w:val="en-CA" w:eastAsia="zh-CN"/>
              </w:rPr>
            </w:pPr>
            <w:r w:rsidRPr="003D48D7">
              <w:rPr>
                <w:lang w:val="en-CA" w:eastAsia="zh-CN"/>
              </w:rPr>
              <w:t>Both-cold</w:t>
            </w:r>
          </w:p>
        </w:tc>
        <w:tc>
          <w:tcPr>
            <w:tcW w:w="2440" w:type="dxa"/>
          </w:tcPr>
          <w:p w14:paraId="338A3422" w14:textId="31B447FA" w:rsidR="008858AB" w:rsidRPr="003D48D7" w:rsidRDefault="007B3FC1" w:rsidP="008858AB">
            <w:pPr>
              <w:spacing w:line="300" w:lineRule="exact"/>
              <w:jc w:val="both"/>
              <w:rPr>
                <w:lang w:val="en-CA" w:eastAsia="zh-CN"/>
              </w:rPr>
            </w:pPr>
            <w:r w:rsidRPr="003D48D7">
              <w:rPr>
                <w:lang w:val="en-CA" w:eastAsia="zh-CN"/>
              </w:rPr>
              <w:t>0.691 / 0.647</w:t>
            </w:r>
          </w:p>
        </w:tc>
        <w:tc>
          <w:tcPr>
            <w:tcW w:w="1899" w:type="dxa"/>
          </w:tcPr>
          <w:p w14:paraId="57FEBC0A" w14:textId="3BDBBF20" w:rsidR="008858AB" w:rsidRPr="003D48D7" w:rsidRDefault="007B3FC1" w:rsidP="008858AB">
            <w:pPr>
              <w:spacing w:line="300" w:lineRule="exact"/>
              <w:jc w:val="both"/>
              <w:rPr>
                <w:lang w:val="en-CA" w:eastAsia="zh-CN"/>
              </w:rPr>
            </w:pPr>
            <w:r w:rsidRPr="003D48D7">
              <w:rPr>
                <w:lang w:val="en-CA" w:eastAsia="zh-CN"/>
              </w:rPr>
              <w:t>0.676 / 0.640</w:t>
            </w:r>
          </w:p>
        </w:tc>
        <w:tc>
          <w:tcPr>
            <w:tcW w:w="1899" w:type="dxa"/>
          </w:tcPr>
          <w:p w14:paraId="6280B49B" w14:textId="5FCD4423" w:rsidR="008858AB" w:rsidRPr="003D48D7" w:rsidRDefault="007B3FC1" w:rsidP="008858AB">
            <w:pPr>
              <w:spacing w:line="300" w:lineRule="exact"/>
              <w:jc w:val="both"/>
              <w:rPr>
                <w:lang w:val="en-CA" w:eastAsia="zh-CN"/>
              </w:rPr>
            </w:pPr>
            <w:r w:rsidRPr="003D48D7">
              <w:rPr>
                <w:lang w:val="en-CA" w:eastAsia="zh-CN"/>
              </w:rPr>
              <w:t>0.635 / 0.584</w:t>
            </w:r>
          </w:p>
        </w:tc>
      </w:tr>
    </w:tbl>
    <w:p w14:paraId="1A33BBA3" w14:textId="6FD09D17" w:rsidR="00E21DD0" w:rsidRPr="00CC5434" w:rsidRDefault="00E21DD0" w:rsidP="00E21DD0">
      <w:pPr>
        <w:pStyle w:val="Heading1"/>
      </w:pPr>
      <w:r>
        <w:t>Conclusion</w:t>
      </w:r>
    </w:p>
    <w:p w14:paraId="24680FD4" w14:textId="5DD3FDAC" w:rsidR="00AF3311" w:rsidRPr="00AF3311" w:rsidRDefault="00BA2DD1" w:rsidP="00BA2DD1">
      <w:pPr>
        <w:spacing w:line="300" w:lineRule="exact"/>
        <w:jc w:val="both"/>
        <w:rPr>
          <w:sz w:val="24"/>
          <w:szCs w:val="24"/>
          <w:lang w:val="en-CA" w:eastAsia="zh-CN"/>
        </w:rPr>
      </w:pPr>
      <w:r w:rsidRPr="00BA2DD1">
        <w:rPr>
          <w:sz w:val="24"/>
          <w:szCs w:val="24"/>
          <w:lang w:val="en-CA" w:eastAsia="zh-CN"/>
        </w:rPr>
        <w:t xml:space="preserve">We introduced </w:t>
      </w:r>
      <w:proofErr w:type="spellStart"/>
      <w:r w:rsidRPr="00BA2DD1">
        <w:rPr>
          <w:sz w:val="24"/>
          <w:szCs w:val="24"/>
          <w:lang w:val="en-CA" w:eastAsia="zh-CN"/>
        </w:rPr>
        <w:t>GraphTCR</w:t>
      </w:r>
      <w:proofErr w:type="spellEnd"/>
      <w:r w:rsidRPr="00BA2DD1">
        <w:rPr>
          <w:sz w:val="24"/>
          <w:szCs w:val="24"/>
          <w:lang w:val="en-CA" w:eastAsia="zh-CN"/>
        </w:rPr>
        <w:t xml:space="preserve">-Mamba, a heterogeneous graph framework that combines relational message passing with Mamba-based global node modeling for TCR-epitope binding prediction. Across the IEDB, </w:t>
      </w:r>
      <w:proofErr w:type="spellStart"/>
      <w:r w:rsidRPr="00BA2DD1">
        <w:rPr>
          <w:sz w:val="24"/>
          <w:szCs w:val="24"/>
          <w:lang w:val="en-CA" w:eastAsia="zh-CN"/>
        </w:rPr>
        <w:t>McPAS</w:t>
      </w:r>
      <w:proofErr w:type="spellEnd"/>
      <w:r w:rsidRPr="00BA2DD1">
        <w:rPr>
          <w:sz w:val="24"/>
          <w:szCs w:val="24"/>
          <w:lang w:val="en-CA" w:eastAsia="zh-CN"/>
        </w:rPr>
        <w:t xml:space="preserve">-TCR, and </w:t>
      </w:r>
      <w:proofErr w:type="spellStart"/>
      <w:r w:rsidRPr="00BA2DD1">
        <w:rPr>
          <w:sz w:val="24"/>
          <w:szCs w:val="24"/>
          <w:lang w:val="en-CA" w:eastAsia="zh-CN"/>
        </w:rPr>
        <w:t>VDJdb</w:t>
      </w:r>
      <w:proofErr w:type="spellEnd"/>
      <w:r w:rsidRPr="00BA2DD1">
        <w:rPr>
          <w:sz w:val="24"/>
          <w:szCs w:val="24"/>
          <w:lang w:val="en-CA" w:eastAsia="zh-CN"/>
        </w:rPr>
        <w:t xml:space="preserve"> datasets, </w:t>
      </w:r>
      <w:proofErr w:type="spellStart"/>
      <w:r w:rsidRPr="00BA2DD1">
        <w:rPr>
          <w:sz w:val="24"/>
          <w:szCs w:val="24"/>
          <w:lang w:val="en-CA" w:eastAsia="zh-CN"/>
        </w:rPr>
        <w:t>GraphTCR</w:t>
      </w:r>
      <w:proofErr w:type="spellEnd"/>
      <w:r w:rsidRPr="00BA2DD1">
        <w:rPr>
          <w:sz w:val="24"/>
          <w:szCs w:val="24"/>
          <w:lang w:val="en-CA" w:eastAsia="zh-CN"/>
        </w:rPr>
        <w:t>-Mamba achieved consistently strong performance, outperforming the evaluated baseline methods. Cold-start evaluation showed that the model generalized more effectively to previously unseen TCRs than to unseen epitopes, while prediction for pairs containing both unseen TCRs and epitopes remained challenging.</w:t>
      </w:r>
      <w:r>
        <w:rPr>
          <w:sz w:val="24"/>
          <w:szCs w:val="24"/>
          <w:lang w:val="en-CA" w:eastAsia="zh-CN"/>
        </w:rPr>
        <w:t xml:space="preserve"> </w:t>
      </w:r>
      <w:r w:rsidRPr="00BA2DD1">
        <w:rPr>
          <w:sz w:val="24"/>
          <w:szCs w:val="24"/>
          <w:lang w:val="en-CA" w:eastAsia="zh-CN"/>
        </w:rPr>
        <w:t xml:space="preserve">Ablation analysis further demonstrated the importance of Laplacian positional encoding for cold-start prediction and showed that the Mamba branch can improve generalization to unseen epitopes. Overall, </w:t>
      </w:r>
      <w:proofErr w:type="spellStart"/>
      <w:r w:rsidRPr="00BA2DD1">
        <w:rPr>
          <w:sz w:val="24"/>
          <w:szCs w:val="24"/>
          <w:lang w:val="en-CA" w:eastAsia="zh-CN"/>
        </w:rPr>
        <w:t>GraphTCR</w:t>
      </w:r>
      <w:proofErr w:type="spellEnd"/>
      <w:r w:rsidRPr="00BA2DD1">
        <w:rPr>
          <w:sz w:val="24"/>
          <w:szCs w:val="24"/>
          <w:lang w:val="en-CA" w:eastAsia="zh-CN"/>
        </w:rPr>
        <w:t>-Mamba provides an effective framework for integrating sequence-derived relationships with selective state</w:t>
      </w:r>
      <w:r w:rsidR="005D7D1A">
        <w:rPr>
          <w:sz w:val="24"/>
          <w:szCs w:val="24"/>
          <w:lang w:val="en-CA" w:eastAsia="zh-CN"/>
        </w:rPr>
        <w:t>-</w:t>
      </w:r>
      <w:r w:rsidRPr="00BA2DD1">
        <w:rPr>
          <w:sz w:val="24"/>
          <w:szCs w:val="24"/>
          <w:lang w:val="en-CA" w:eastAsia="zh-CN"/>
        </w:rPr>
        <w:t>space modeling and offers a promising approach for prioritizing candidate TCR-epitope interactions.</w:t>
      </w:r>
    </w:p>
    <w:p w14:paraId="7CF61F44" w14:textId="77777777" w:rsidR="00D83844" w:rsidRPr="00D83844" w:rsidRDefault="00D83844" w:rsidP="00D83844"/>
    <w:p w14:paraId="0780FACE" w14:textId="223EFD7E" w:rsidR="003E7893" w:rsidRDefault="003E7893" w:rsidP="00235A41">
      <w:pPr>
        <w:pStyle w:val="NonumHead-1"/>
      </w:pPr>
      <w:r>
        <w:t>References</w:t>
      </w:r>
    </w:p>
    <w:p w14:paraId="69A337AA" w14:textId="77777777" w:rsidR="0041577C" w:rsidRPr="0041577C" w:rsidRDefault="00D718BA" w:rsidP="0041577C">
      <w:pPr>
        <w:pStyle w:val="Bibliography"/>
        <w:spacing w:line="300" w:lineRule="exact"/>
        <w:ind w:left="266" w:hanging="266"/>
        <w:rPr>
          <w:sz w:val="24"/>
        </w:rPr>
      </w:pPr>
      <w:r>
        <w:fldChar w:fldCharType="begin"/>
      </w:r>
      <w:r w:rsidR="003B12CD">
        <w:instrText xml:space="preserve"> ADDIN ZOTERO_BIBL {"uncited":[],"omitted":[],"custom":[]} CSL_BIBLIOGRAPHY </w:instrText>
      </w:r>
      <w:r>
        <w:fldChar w:fldCharType="separate"/>
      </w:r>
      <w:r w:rsidR="0041577C" w:rsidRPr="0041577C">
        <w:rPr>
          <w:sz w:val="24"/>
        </w:rPr>
        <w:t>1.</w:t>
      </w:r>
      <w:r w:rsidR="0041577C" w:rsidRPr="0041577C">
        <w:rPr>
          <w:sz w:val="24"/>
        </w:rPr>
        <w:tab/>
        <w:t xml:space="preserve">Attaf, M., Legut, M., Cole, D. K. &amp; Sewell, A. K. The T cell antigen receptor: the Swiss army knife of the immune system. </w:t>
      </w:r>
      <w:r w:rsidR="0041577C" w:rsidRPr="0041577C">
        <w:rPr>
          <w:i/>
          <w:iCs/>
          <w:sz w:val="24"/>
        </w:rPr>
        <w:t>Clin. Exp. Immunol.</w:t>
      </w:r>
      <w:r w:rsidR="0041577C" w:rsidRPr="0041577C">
        <w:rPr>
          <w:sz w:val="24"/>
        </w:rPr>
        <w:t xml:space="preserve"> </w:t>
      </w:r>
      <w:r w:rsidR="0041577C" w:rsidRPr="0041577C">
        <w:rPr>
          <w:b/>
          <w:bCs/>
          <w:sz w:val="24"/>
        </w:rPr>
        <w:t>181</w:t>
      </w:r>
      <w:r w:rsidR="0041577C" w:rsidRPr="0041577C">
        <w:rPr>
          <w:sz w:val="24"/>
        </w:rPr>
        <w:t>, 1–18 (2015).</w:t>
      </w:r>
    </w:p>
    <w:p w14:paraId="359B6514" w14:textId="77777777" w:rsidR="0041577C" w:rsidRPr="0041577C" w:rsidRDefault="0041577C" w:rsidP="0041577C">
      <w:pPr>
        <w:pStyle w:val="Bibliography"/>
        <w:spacing w:line="300" w:lineRule="exact"/>
        <w:ind w:left="266" w:hanging="266"/>
        <w:rPr>
          <w:sz w:val="24"/>
        </w:rPr>
      </w:pPr>
      <w:r w:rsidRPr="0041577C">
        <w:rPr>
          <w:sz w:val="24"/>
        </w:rPr>
        <w:t>2.</w:t>
      </w:r>
      <w:r w:rsidRPr="0041577C">
        <w:rPr>
          <w:sz w:val="24"/>
        </w:rPr>
        <w:tab/>
        <w:t xml:space="preserve">Springer, I., Besser, H., Tickotsky-Moskovitz, N., Dvorkin, S. &amp; Louzoun, Y. Prediction of Specific TCR-Peptide Binding From Large Dictionaries of TCR-Peptide Pairs. </w:t>
      </w:r>
      <w:r w:rsidRPr="0041577C">
        <w:rPr>
          <w:i/>
          <w:iCs/>
          <w:sz w:val="24"/>
        </w:rPr>
        <w:t>Front. Immunol.</w:t>
      </w:r>
      <w:r w:rsidRPr="0041577C">
        <w:rPr>
          <w:sz w:val="24"/>
        </w:rPr>
        <w:t xml:space="preserve"> </w:t>
      </w:r>
      <w:r w:rsidRPr="0041577C">
        <w:rPr>
          <w:b/>
          <w:bCs/>
          <w:sz w:val="24"/>
        </w:rPr>
        <w:t>11</w:t>
      </w:r>
      <w:r w:rsidRPr="0041577C">
        <w:rPr>
          <w:sz w:val="24"/>
        </w:rPr>
        <w:t>, (2020).</w:t>
      </w:r>
    </w:p>
    <w:p w14:paraId="25816E75" w14:textId="77777777" w:rsidR="0041577C" w:rsidRPr="0041577C" w:rsidRDefault="0041577C" w:rsidP="0041577C">
      <w:pPr>
        <w:pStyle w:val="Bibliography"/>
        <w:spacing w:line="300" w:lineRule="exact"/>
        <w:ind w:left="266" w:hanging="266"/>
        <w:rPr>
          <w:sz w:val="24"/>
        </w:rPr>
      </w:pPr>
      <w:r w:rsidRPr="0041577C">
        <w:rPr>
          <w:sz w:val="24"/>
        </w:rPr>
        <w:t>3.</w:t>
      </w:r>
      <w:r w:rsidRPr="0041577C">
        <w:rPr>
          <w:sz w:val="24"/>
        </w:rPr>
        <w:tab/>
        <w:t xml:space="preserve">Vita, R. </w:t>
      </w:r>
      <w:r w:rsidRPr="0041577C">
        <w:rPr>
          <w:i/>
          <w:iCs/>
          <w:sz w:val="24"/>
        </w:rPr>
        <w:t>et al.</w:t>
      </w:r>
      <w:r w:rsidRPr="0041577C">
        <w:rPr>
          <w:sz w:val="24"/>
        </w:rPr>
        <w:t xml:space="preserve"> The Immune Epitope Database (IEDB): 2024 update. </w:t>
      </w:r>
      <w:r w:rsidRPr="0041577C">
        <w:rPr>
          <w:i/>
          <w:iCs/>
          <w:sz w:val="24"/>
        </w:rPr>
        <w:t>Nucleic Acids Res.</w:t>
      </w:r>
      <w:r w:rsidRPr="0041577C">
        <w:rPr>
          <w:sz w:val="24"/>
        </w:rPr>
        <w:t xml:space="preserve"> </w:t>
      </w:r>
      <w:r w:rsidRPr="0041577C">
        <w:rPr>
          <w:b/>
          <w:bCs/>
          <w:sz w:val="24"/>
        </w:rPr>
        <w:t>53</w:t>
      </w:r>
      <w:r w:rsidRPr="0041577C">
        <w:rPr>
          <w:sz w:val="24"/>
        </w:rPr>
        <w:t>, D436–D443 (2025).</w:t>
      </w:r>
    </w:p>
    <w:p w14:paraId="71774F33" w14:textId="77777777" w:rsidR="0041577C" w:rsidRPr="0041577C" w:rsidRDefault="0041577C" w:rsidP="0041577C">
      <w:pPr>
        <w:pStyle w:val="Bibliography"/>
        <w:spacing w:line="300" w:lineRule="exact"/>
        <w:ind w:left="266" w:hanging="266"/>
        <w:rPr>
          <w:sz w:val="24"/>
        </w:rPr>
      </w:pPr>
      <w:r w:rsidRPr="0041577C">
        <w:rPr>
          <w:sz w:val="24"/>
        </w:rPr>
        <w:t>4.</w:t>
      </w:r>
      <w:r w:rsidRPr="0041577C">
        <w:rPr>
          <w:sz w:val="24"/>
        </w:rPr>
        <w:tab/>
        <w:t xml:space="preserve">Shugay, M. </w:t>
      </w:r>
      <w:r w:rsidRPr="0041577C">
        <w:rPr>
          <w:i/>
          <w:iCs/>
          <w:sz w:val="24"/>
        </w:rPr>
        <w:t>et al.</w:t>
      </w:r>
      <w:r w:rsidRPr="0041577C">
        <w:rPr>
          <w:sz w:val="24"/>
        </w:rPr>
        <w:t xml:space="preserve"> VDJdb: a curated database of T-cell receptor sequences with known antigen specificity. </w:t>
      </w:r>
      <w:r w:rsidRPr="0041577C">
        <w:rPr>
          <w:i/>
          <w:iCs/>
          <w:sz w:val="24"/>
        </w:rPr>
        <w:t>Nucleic Acids Res.</w:t>
      </w:r>
      <w:r w:rsidRPr="0041577C">
        <w:rPr>
          <w:sz w:val="24"/>
        </w:rPr>
        <w:t xml:space="preserve"> </w:t>
      </w:r>
      <w:r w:rsidRPr="0041577C">
        <w:rPr>
          <w:b/>
          <w:bCs/>
          <w:sz w:val="24"/>
        </w:rPr>
        <w:t>46</w:t>
      </w:r>
      <w:r w:rsidRPr="0041577C">
        <w:rPr>
          <w:sz w:val="24"/>
        </w:rPr>
        <w:t>, D419–D427 (2018).</w:t>
      </w:r>
    </w:p>
    <w:p w14:paraId="0926496C" w14:textId="77777777" w:rsidR="0041577C" w:rsidRPr="0041577C" w:rsidRDefault="0041577C" w:rsidP="0041577C">
      <w:pPr>
        <w:pStyle w:val="Bibliography"/>
        <w:spacing w:line="300" w:lineRule="exact"/>
        <w:ind w:left="266" w:hanging="266"/>
        <w:rPr>
          <w:sz w:val="24"/>
        </w:rPr>
      </w:pPr>
      <w:r w:rsidRPr="0041577C">
        <w:rPr>
          <w:sz w:val="24"/>
        </w:rPr>
        <w:t>5.</w:t>
      </w:r>
      <w:r w:rsidRPr="0041577C">
        <w:rPr>
          <w:sz w:val="24"/>
        </w:rPr>
        <w:tab/>
        <w:t xml:space="preserve">Tickotsky, N., Sagiv, T., Prilusky, J., Shifrut, E. &amp; Friedman, N. McPAS-TCR: a manually curated catalogue of pathology-associated T cell receptor sequences. </w:t>
      </w:r>
      <w:r w:rsidRPr="0041577C">
        <w:rPr>
          <w:i/>
          <w:iCs/>
          <w:sz w:val="24"/>
        </w:rPr>
        <w:t>Bioinformatics</w:t>
      </w:r>
      <w:r w:rsidRPr="0041577C">
        <w:rPr>
          <w:sz w:val="24"/>
        </w:rPr>
        <w:t xml:space="preserve"> </w:t>
      </w:r>
      <w:r w:rsidRPr="0041577C">
        <w:rPr>
          <w:b/>
          <w:bCs/>
          <w:sz w:val="24"/>
        </w:rPr>
        <w:t>33</w:t>
      </w:r>
      <w:r w:rsidRPr="0041577C">
        <w:rPr>
          <w:sz w:val="24"/>
        </w:rPr>
        <w:t>, 2924–2929 (2017).</w:t>
      </w:r>
    </w:p>
    <w:p w14:paraId="1CDB6B4F" w14:textId="77777777" w:rsidR="0041577C" w:rsidRPr="0041577C" w:rsidRDefault="0041577C" w:rsidP="0041577C">
      <w:pPr>
        <w:pStyle w:val="Bibliography"/>
        <w:spacing w:line="300" w:lineRule="exact"/>
        <w:ind w:left="266" w:hanging="266"/>
        <w:rPr>
          <w:sz w:val="24"/>
        </w:rPr>
      </w:pPr>
      <w:r w:rsidRPr="0041577C">
        <w:rPr>
          <w:sz w:val="24"/>
        </w:rPr>
        <w:lastRenderedPageBreak/>
        <w:t>6.</w:t>
      </w:r>
      <w:r w:rsidRPr="0041577C">
        <w:rPr>
          <w:sz w:val="24"/>
        </w:rPr>
        <w:tab/>
        <w:t xml:space="preserve">Wang, C., Tsepa, O., Ma, J. &amp; Wang, B. Graph-Mamba: Towards Long-Range Graph Sequence Modeling with Selective State Spaces. </w:t>
      </w:r>
      <w:r w:rsidRPr="0041577C">
        <w:rPr>
          <w:i/>
          <w:iCs/>
          <w:sz w:val="24"/>
        </w:rPr>
        <w:t>arXiv.org</w:t>
      </w:r>
      <w:r w:rsidRPr="0041577C">
        <w:rPr>
          <w:sz w:val="24"/>
        </w:rPr>
        <w:t xml:space="preserve"> https://arxiv.org/abs/2402.00789v1 (2024).</w:t>
      </w:r>
    </w:p>
    <w:p w14:paraId="28B07C95" w14:textId="77777777" w:rsidR="0041577C" w:rsidRPr="0041577C" w:rsidRDefault="0041577C" w:rsidP="0041577C">
      <w:pPr>
        <w:pStyle w:val="Bibliography"/>
        <w:spacing w:line="300" w:lineRule="exact"/>
        <w:ind w:left="266" w:hanging="266"/>
        <w:rPr>
          <w:sz w:val="24"/>
        </w:rPr>
      </w:pPr>
      <w:r w:rsidRPr="0041577C">
        <w:rPr>
          <w:sz w:val="24"/>
        </w:rPr>
        <w:t>7.</w:t>
      </w:r>
      <w:r w:rsidRPr="0041577C">
        <w:rPr>
          <w:sz w:val="24"/>
        </w:rPr>
        <w:tab/>
        <w:t>Gu, A. &amp; Dao, T. Mamba: Linear-Time Sequence Modeling with Selective State Spaces. Preprint at https://doi.org/10.48550/arXiv.2312.00752 (2024).</w:t>
      </w:r>
    </w:p>
    <w:p w14:paraId="15A83387" w14:textId="77777777" w:rsidR="0041577C" w:rsidRPr="0041577C" w:rsidRDefault="0041577C" w:rsidP="0041577C">
      <w:pPr>
        <w:pStyle w:val="Bibliography"/>
        <w:spacing w:line="300" w:lineRule="exact"/>
        <w:ind w:left="266" w:hanging="266"/>
        <w:rPr>
          <w:sz w:val="24"/>
        </w:rPr>
      </w:pPr>
      <w:r w:rsidRPr="0041577C">
        <w:rPr>
          <w:sz w:val="24"/>
        </w:rPr>
        <w:t>8.</w:t>
      </w:r>
      <w:r w:rsidRPr="0041577C">
        <w:rPr>
          <w:sz w:val="24"/>
        </w:rPr>
        <w:tab/>
        <w:t xml:space="preserve">Zhang, M. </w:t>
      </w:r>
      <w:r w:rsidRPr="0041577C">
        <w:rPr>
          <w:i/>
          <w:iCs/>
          <w:sz w:val="24"/>
        </w:rPr>
        <w:t>et al.</w:t>
      </w:r>
      <w:r w:rsidRPr="0041577C">
        <w:rPr>
          <w:sz w:val="24"/>
        </w:rPr>
        <w:t xml:space="preserve"> BertTCR: a Bert-based deep learning framework for predicting cancer-related immune status based on T cell receptor repertoire. </w:t>
      </w:r>
      <w:r w:rsidRPr="0041577C">
        <w:rPr>
          <w:i/>
          <w:iCs/>
          <w:sz w:val="24"/>
        </w:rPr>
        <w:t>Brief. Bioinform.</w:t>
      </w:r>
      <w:r w:rsidRPr="0041577C">
        <w:rPr>
          <w:sz w:val="24"/>
        </w:rPr>
        <w:t xml:space="preserve"> </w:t>
      </w:r>
      <w:r w:rsidRPr="0041577C">
        <w:rPr>
          <w:b/>
          <w:bCs/>
          <w:sz w:val="24"/>
        </w:rPr>
        <w:t>25</w:t>
      </w:r>
      <w:r w:rsidRPr="0041577C">
        <w:rPr>
          <w:sz w:val="24"/>
        </w:rPr>
        <w:t>, bbae420 (2024).</w:t>
      </w:r>
    </w:p>
    <w:p w14:paraId="70CD7BE3" w14:textId="77777777" w:rsidR="0041577C" w:rsidRPr="0041577C" w:rsidRDefault="0041577C" w:rsidP="0041577C">
      <w:pPr>
        <w:pStyle w:val="Bibliography"/>
        <w:spacing w:line="300" w:lineRule="exact"/>
        <w:ind w:left="266" w:hanging="266"/>
        <w:rPr>
          <w:sz w:val="24"/>
        </w:rPr>
      </w:pPr>
      <w:r w:rsidRPr="0041577C">
        <w:rPr>
          <w:sz w:val="24"/>
        </w:rPr>
        <w:t>9.</w:t>
      </w:r>
      <w:r w:rsidRPr="0041577C">
        <w:rPr>
          <w:sz w:val="24"/>
        </w:rPr>
        <w:tab/>
        <w:t xml:space="preserve">Lin, Z. </w:t>
      </w:r>
      <w:r w:rsidRPr="0041577C">
        <w:rPr>
          <w:i/>
          <w:iCs/>
          <w:sz w:val="24"/>
        </w:rPr>
        <w:t>et al.</w:t>
      </w:r>
      <w:r w:rsidRPr="0041577C">
        <w:rPr>
          <w:sz w:val="24"/>
        </w:rPr>
        <w:t xml:space="preserve"> Evolutionary-scale prediction of atomic-level protein structure with a language model. </w:t>
      </w:r>
      <w:r w:rsidRPr="0041577C">
        <w:rPr>
          <w:i/>
          <w:iCs/>
          <w:sz w:val="24"/>
        </w:rPr>
        <w:t>Science</w:t>
      </w:r>
      <w:r w:rsidRPr="0041577C">
        <w:rPr>
          <w:sz w:val="24"/>
        </w:rPr>
        <w:t xml:space="preserve"> </w:t>
      </w:r>
      <w:r w:rsidRPr="0041577C">
        <w:rPr>
          <w:b/>
          <w:bCs/>
          <w:sz w:val="24"/>
        </w:rPr>
        <w:t>379</w:t>
      </w:r>
      <w:r w:rsidRPr="0041577C">
        <w:rPr>
          <w:sz w:val="24"/>
        </w:rPr>
        <w:t>, 1123–1130 (2023).</w:t>
      </w:r>
    </w:p>
    <w:p w14:paraId="16169600" w14:textId="77777777" w:rsidR="0041577C" w:rsidRPr="0041577C" w:rsidRDefault="0041577C" w:rsidP="0041577C">
      <w:pPr>
        <w:pStyle w:val="Bibliography"/>
        <w:spacing w:line="300" w:lineRule="exact"/>
        <w:ind w:left="266" w:hanging="266"/>
        <w:rPr>
          <w:sz w:val="24"/>
        </w:rPr>
      </w:pPr>
      <w:r w:rsidRPr="0041577C">
        <w:rPr>
          <w:sz w:val="24"/>
        </w:rPr>
        <w:t>10.</w:t>
      </w:r>
      <w:r w:rsidRPr="0041577C">
        <w:rPr>
          <w:sz w:val="24"/>
        </w:rPr>
        <w:tab/>
        <w:t xml:space="preserve">Kawashima, S. &amp; Kanehisa, M. AAindex: Amino Acid index database. </w:t>
      </w:r>
      <w:r w:rsidRPr="0041577C">
        <w:rPr>
          <w:i/>
          <w:iCs/>
          <w:sz w:val="24"/>
        </w:rPr>
        <w:t>Nucleic Acids Res.</w:t>
      </w:r>
      <w:r w:rsidRPr="0041577C">
        <w:rPr>
          <w:sz w:val="24"/>
        </w:rPr>
        <w:t xml:space="preserve"> </w:t>
      </w:r>
      <w:r w:rsidRPr="0041577C">
        <w:rPr>
          <w:b/>
          <w:bCs/>
          <w:sz w:val="24"/>
        </w:rPr>
        <w:t>28</w:t>
      </w:r>
      <w:r w:rsidRPr="0041577C">
        <w:rPr>
          <w:sz w:val="24"/>
        </w:rPr>
        <w:t>, 374 (2000).</w:t>
      </w:r>
    </w:p>
    <w:p w14:paraId="7B852C14" w14:textId="77777777" w:rsidR="0041577C" w:rsidRPr="0041577C" w:rsidRDefault="0041577C" w:rsidP="0041577C">
      <w:pPr>
        <w:pStyle w:val="Bibliography"/>
        <w:spacing w:line="300" w:lineRule="exact"/>
        <w:ind w:left="266" w:hanging="266"/>
        <w:rPr>
          <w:sz w:val="24"/>
        </w:rPr>
      </w:pPr>
      <w:r w:rsidRPr="0041577C">
        <w:rPr>
          <w:sz w:val="24"/>
        </w:rPr>
        <w:t>11.</w:t>
      </w:r>
      <w:r w:rsidRPr="0041577C">
        <w:rPr>
          <w:sz w:val="24"/>
        </w:rPr>
        <w:tab/>
        <w:t xml:space="preserve">Maskey, S. </w:t>
      </w:r>
      <w:r w:rsidRPr="0041577C">
        <w:rPr>
          <w:i/>
          <w:iCs/>
          <w:sz w:val="24"/>
        </w:rPr>
        <w:t>et al.</w:t>
      </w:r>
      <w:r w:rsidRPr="0041577C">
        <w:rPr>
          <w:sz w:val="24"/>
        </w:rPr>
        <w:t xml:space="preserve"> Generalized Laplacian Positional Encoding for Graph Representation Learning. Preprint at https://doi.org/10.48550/arXiv.2210.15956 (2022).</w:t>
      </w:r>
    </w:p>
    <w:p w14:paraId="3EF8F04E" w14:textId="77777777" w:rsidR="0041577C" w:rsidRPr="0041577C" w:rsidRDefault="0041577C" w:rsidP="0041577C">
      <w:pPr>
        <w:pStyle w:val="Bibliography"/>
        <w:spacing w:line="300" w:lineRule="exact"/>
        <w:ind w:left="266" w:hanging="266"/>
        <w:rPr>
          <w:sz w:val="24"/>
        </w:rPr>
      </w:pPr>
      <w:r w:rsidRPr="0041577C">
        <w:rPr>
          <w:sz w:val="24"/>
        </w:rPr>
        <w:t>12.</w:t>
      </w:r>
      <w:r w:rsidRPr="0041577C">
        <w:rPr>
          <w:sz w:val="24"/>
        </w:rPr>
        <w:tab/>
        <w:t xml:space="preserve">Montemurro, A. </w:t>
      </w:r>
      <w:r w:rsidRPr="0041577C">
        <w:rPr>
          <w:i/>
          <w:iCs/>
          <w:sz w:val="24"/>
        </w:rPr>
        <w:t>et al.</w:t>
      </w:r>
      <w:r w:rsidRPr="0041577C">
        <w:rPr>
          <w:sz w:val="24"/>
        </w:rPr>
        <w:t xml:space="preserve"> NetTCR-2.0 enables accurate prediction of TCR-peptide binding by using paired TCRα and β sequence data. </w:t>
      </w:r>
      <w:r w:rsidRPr="0041577C">
        <w:rPr>
          <w:i/>
          <w:iCs/>
          <w:sz w:val="24"/>
        </w:rPr>
        <w:t>Commun. Biol.</w:t>
      </w:r>
      <w:r w:rsidRPr="0041577C">
        <w:rPr>
          <w:sz w:val="24"/>
        </w:rPr>
        <w:t xml:space="preserve"> </w:t>
      </w:r>
      <w:r w:rsidRPr="0041577C">
        <w:rPr>
          <w:b/>
          <w:bCs/>
          <w:sz w:val="24"/>
        </w:rPr>
        <w:t>4</w:t>
      </w:r>
      <w:r w:rsidRPr="0041577C">
        <w:rPr>
          <w:sz w:val="24"/>
        </w:rPr>
        <w:t>, 1060 (2021).</w:t>
      </w:r>
    </w:p>
    <w:p w14:paraId="6F27AF88" w14:textId="77777777" w:rsidR="0041577C" w:rsidRPr="0041577C" w:rsidRDefault="0041577C" w:rsidP="0041577C">
      <w:pPr>
        <w:pStyle w:val="Bibliography"/>
        <w:spacing w:line="300" w:lineRule="exact"/>
        <w:ind w:left="266" w:hanging="266"/>
        <w:rPr>
          <w:sz w:val="24"/>
        </w:rPr>
      </w:pPr>
      <w:r w:rsidRPr="0041577C">
        <w:rPr>
          <w:sz w:val="24"/>
        </w:rPr>
        <w:t>13.</w:t>
      </w:r>
      <w:r w:rsidRPr="0041577C">
        <w:rPr>
          <w:sz w:val="24"/>
        </w:rPr>
        <w:tab/>
        <w:t xml:space="preserve">Yu, Z., Jiang, M. &amp; Lan, X. HeteroTCR: A heterogeneous graph neural network-based method for predicting peptide-TCR interaction. </w:t>
      </w:r>
      <w:r w:rsidRPr="0041577C">
        <w:rPr>
          <w:i/>
          <w:iCs/>
          <w:sz w:val="24"/>
        </w:rPr>
        <w:t>Commun. Biol.</w:t>
      </w:r>
      <w:r w:rsidRPr="0041577C">
        <w:rPr>
          <w:sz w:val="24"/>
        </w:rPr>
        <w:t xml:space="preserve"> </w:t>
      </w:r>
      <w:r w:rsidRPr="0041577C">
        <w:rPr>
          <w:b/>
          <w:bCs/>
          <w:sz w:val="24"/>
        </w:rPr>
        <w:t>7</w:t>
      </w:r>
      <w:r w:rsidRPr="0041577C">
        <w:rPr>
          <w:sz w:val="24"/>
        </w:rPr>
        <w:t>, 684 (2024).</w:t>
      </w:r>
    </w:p>
    <w:p w14:paraId="6085F462" w14:textId="77777777" w:rsidR="0041577C" w:rsidRPr="0041577C" w:rsidRDefault="0041577C" w:rsidP="0041577C">
      <w:pPr>
        <w:pStyle w:val="Bibliography"/>
        <w:spacing w:line="300" w:lineRule="exact"/>
        <w:ind w:left="266" w:hanging="266"/>
        <w:rPr>
          <w:sz w:val="24"/>
        </w:rPr>
      </w:pPr>
      <w:r w:rsidRPr="0041577C">
        <w:rPr>
          <w:sz w:val="24"/>
        </w:rPr>
        <w:t>14.</w:t>
      </w:r>
      <w:r w:rsidRPr="0041577C">
        <w:rPr>
          <w:sz w:val="24"/>
        </w:rPr>
        <w:tab/>
        <w:t xml:space="preserve">Fu, X. </w:t>
      </w:r>
      <w:r w:rsidRPr="0041577C">
        <w:rPr>
          <w:i/>
          <w:iCs/>
          <w:sz w:val="24"/>
        </w:rPr>
        <w:t>et al.</w:t>
      </w:r>
      <w:r w:rsidRPr="0041577C">
        <w:rPr>
          <w:sz w:val="24"/>
        </w:rPr>
        <w:t xml:space="preserve"> GRAPE: graph-regularized protein language modeling unlocks TCR-epitope binding specificity. </w:t>
      </w:r>
      <w:r w:rsidRPr="0041577C">
        <w:rPr>
          <w:i/>
          <w:iCs/>
          <w:sz w:val="24"/>
        </w:rPr>
        <w:t>Brief. Bioinform.</w:t>
      </w:r>
      <w:r w:rsidRPr="0041577C">
        <w:rPr>
          <w:sz w:val="24"/>
        </w:rPr>
        <w:t xml:space="preserve"> </w:t>
      </w:r>
      <w:r w:rsidRPr="0041577C">
        <w:rPr>
          <w:b/>
          <w:bCs/>
          <w:sz w:val="24"/>
        </w:rPr>
        <w:t>26</w:t>
      </w:r>
      <w:r w:rsidRPr="0041577C">
        <w:rPr>
          <w:sz w:val="24"/>
        </w:rPr>
        <w:t>, bbaf522 (2025).</w:t>
      </w:r>
    </w:p>
    <w:p w14:paraId="0DFD36BC" w14:textId="77777777" w:rsidR="0041577C" w:rsidRPr="0041577C" w:rsidRDefault="0041577C" w:rsidP="0041577C">
      <w:pPr>
        <w:pStyle w:val="Bibliography"/>
        <w:spacing w:line="300" w:lineRule="exact"/>
        <w:ind w:left="266" w:hanging="266"/>
        <w:rPr>
          <w:sz w:val="24"/>
        </w:rPr>
      </w:pPr>
      <w:r w:rsidRPr="0041577C">
        <w:rPr>
          <w:sz w:val="24"/>
        </w:rPr>
        <w:t>15.</w:t>
      </w:r>
      <w:r w:rsidRPr="0041577C">
        <w:rPr>
          <w:sz w:val="24"/>
        </w:rPr>
        <w:tab/>
        <w:t xml:space="preserve">Jiang, F. </w:t>
      </w:r>
      <w:r w:rsidRPr="0041577C">
        <w:rPr>
          <w:i/>
          <w:iCs/>
          <w:sz w:val="24"/>
        </w:rPr>
        <w:t>et al.</w:t>
      </w:r>
      <w:r w:rsidRPr="0041577C">
        <w:rPr>
          <w:sz w:val="24"/>
        </w:rPr>
        <w:t xml:space="preserve"> GTE: a graph learning framework for prediction of T-cell receptors and epitopes binding specificity. </w:t>
      </w:r>
      <w:r w:rsidRPr="0041577C">
        <w:rPr>
          <w:i/>
          <w:iCs/>
          <w:sz w:val="24"/>
        </w:rPr>
        <w:t>Brief. Bioinform.</w:t>
      </w:r>
      <w:r w:rsidRPr="0041577C">
        <w:rPr>
          <w:sz w:val="24"/>
        </w:rPr>
        <w:t xml:space="preserve"> </w:t>
      </w:r>
      <w:r w:rsidRPr="0041577C">
        <w:rPr>
          <w:b/>
          <w:bCs/>
          <w:sz w:val="24"/>
        </w:rPr>
        <w:t>25</w:t>
      </w:r>
      <w:r w:rsidRPr="0041577C">
        <w:rPr>
          <w:sz w:val="24"/>
        </w:rPr>
        <w:t>, bbae343 (2024).</w:t>
      </w:r>
    </w:p>
    <w:p w14:paraId="51DF04EB" w14:textId="462989B0" w:rsidR="00B9507C" w:rsidRDefault="00D718BA" w:rsidP="0041577C">
      <w:pPr>
        <w:pStyle w:val="Bibliography"/>
      </w:pPr>
      <w:r>
        <w:fldChar w:fldCharType="end"/>
      </w:r>
    </w:p>
    <w:sectPr w:rsidR="00B9507C" w:rsidSect="003C2117">
      <w:footnotePr>
        <w:numFmt w:val="lowerLetter"/>
        <w:numRestart w:val="eachSect"/>
      </w:footnotePr>
      <w:pgSz w:w="12240" w:h="15840"/>
      <w:pgMar w:top="2074" w:right="1195" w:bottom="2074" w:left="1210" w:header="1627" w:footer="1603" w:gutter="0"/>
      <w:pgNumType w:start="1"/>
      <w:cols w:space="432"/>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F1729D" w14:textId="77777777" w:rsidR="009F177B" w:rsidRDefault="009F177B">
      <w:r>
        <w:separator/>
      </w:r>
    </w:p>
  </w:endnote>
  <w:endnote w:type="continuationSeparator" w:id="0">
    <w:p w14:paraId="605133DC" w14:textId="77777777" w:rsidR="009F177B" w:rsidRDefault="009F1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IG5黑体">
    <w:altName w:val="Arial Unicode MS"/>
    <w:panose1 w:val="020B0604020202020204"/>
    <w:charset w:val="86"/>
    <w:family w:val="roman"/>
    <w:pitch w:val="variable"/>
    <w:sig w:usb0="00000001" w:usb1="080E0000" w:usb2="00000010" w:usb3="00000000" w:csb0="00040000"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7536A" w14:textId="77777777" w:rsidR="00944CCE" w:rsidRDefault="00944CCE" w:rsidP="00A969C4">
    <w:pPr>
      <w:pStyle w:val="Footer"/>
      <w:spacing w:before="2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F1B6C1" w14:textId="77777777" w:rsidR="009F177B" w:rsidRDefault="009F177B">
      <w:r>
        <w:separator/>
      </w:r>
    </w:p>
  </w:footnote>
  <w:footnote w:type="continuationSeparator" w:id="0">
    <w:p w14:paraId="66256FB9" w14:textId="77777777" w:rsidR="009F177B" w:rsidRDefault="009F177B">
      <w:r>
        <w:continuationSeparator/>
      </w:r>
    </w:p>
  </w:footnote>
  <w:footnote w:id="1">
    <w:p w14:paraId="076A2D84" w14:textId="59FC36DD" w:rsidR="0081717E" w:rsidRDefault="0081717E" w:rsidP="0081717E">
      <w:pPr>
        <w:pStyle w:val="FootnoteText"/>
        <w:rPr>
          <w:sz w:val="22"/>
          <w:szCs w:val="22"/>
        </w:rPr>
      </w:pPr>
      <w:r w:rsidRPr="00334A70">
        <w:rPr>
          <w:rStyle w:val="FootnoteReference"/>
          <w:sz w:val="22"/>
          <w:szCs w:val="22"/>
        </w:rPr>
        <w:t>†</w:t>
      </w:r>
      <w:r w:rsidRPr="00334A70">
        <w:rPr>
          <w:sz w:val="22"/>
          <w:szCs w:val="22"/>
        </w:rPr>
        <w:t xml:space="preserve"> </w:t>
      </w:r>
      <w:r>
        <w:rPr>
          <w:sz w:val="22"/>
          <w:szCs w:val="22"/>
        </w:rPr>
        <w:t>This w</w:t>
      </w:r>
      <w:r w:rsidRPr="00334A70">
        <w:rPr>
          <w:sz w:val="22"/>
          <w:szCs w:val="22"/>
        </w:rPr>
        <w:t xml:space="preserve">ork </w:t>
      </w:r>
      <w:r>
        <w:rPr>
          <w:sz w:val="22"/>
          <w:szCs w:val="22"/>
        </w:rPr>
        <w:t>is</w:t>
      </w:r>
      <w:r w:rsidRPr="00334A70">
        <w:rPr>
          <w:sz w:val="22"/>
          <w:szCs w:val="22"/>
        </w:rPr>
        <w:t xml:space="preserve"> supported by </w:t>
      </w:r>
      <w:r>
        <w:rPr>
          <w:sz w:val="22"/>
          <w:szCs w:val="22"/>
        </w:rPr>
        <w:t>the Algoma University Research Fund</w:t>
      </w:r>
      <w:r w:rsidRPr="00334A70">
        <w:rPr>
          <w:sz w:val="22"/>
          <w:szCs w:val="22"/>
        </w:rPr>
        <w:t>.</w:t>
      </w:r>
    </w:p>
    <w:p w14:paraId="6F97A92C" w14:textId="1C9E82FB" w:rsidR="00D750EF" w:rsidRPr="00334A70" w:rsidRDefault="00D750EF" w:rsidP="00D750EF">
      <w:pPr>
        <w:pStyle w:val="FootnoteText"/>
        <w:rPr>
          <w:sz w:val="22"/>
          <w:szCs w:val="22"/>
        </w:rPr>
      </w:pPr>
      <w:r w:rsidRPr="00D750EF">
        <w:rPr>
          <w:sz w:val="22"/>
          <w:szCs w:val="22"/>
          <w:vertAlign w:val="superscript"/>
        </w:rPr>
        <w:t>*</w:t>
      </w:r>
      <w:r>
        <w:rPr>
          <w:sz w:val="22"/>
          <w:szCs w:val="22"/>
        </w:rPr>
        <w:t xml:space="preserve"> Corresponding author:</w:t>
      </w:r>
      <w:r w:rsidRPr="00D750EF">
        <w:t xml:space="preserve"> </w:t>
      </w:r>
      <w:r w:rsidRPr="00D750EF">
        <w:rPr>
          <w:sz w:val="22"/>
          <w:szCs w:val="22"/>
        </w:rPr>
        <w:t>ping.luo@algomau.ca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927FF" w14:textId="77777777" w:rsidR="00944CCE" w:rsidRDefault="00944CCE">
    <w:pPr>
      <w:pStyle w:val="Header"/>
      <w:framePr w:wrap="around" w:vAnchor="text" w:hAnchor="margin" w:xAlign="outside" w:y="1"/>
      <w:rPr>
        <w:rStyle w:val="PageNumber"/>
      </w:rPr>
    </w:pPr>
  </w:p>
  <w:p w14:paraId="14105075" w14:textId="77777777" w:rsidR="00944CCE" w:rsidRDefault="00944CCE">
    <w:pPr>
      <w:pStyle w:val="Header"/>
      <w:ind w:right="360" w:firstLine="360"/>
    </w:pPr>
  </w:p>
  <w:p w14:paraId="50EB64C8" w14:textId="77777777" w:rsidR="00944CCE" w:rsidRDefault="00944CCE">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FB6DC2" w14:textId="77777777" w:rsidR="00944CCE" w:rsidRDefault="00944CCE">
    <w:pPr>
      <w:pStyle w:val="Header"/>
      <w:framePr w:wrap="around" w:vAnchor="text" w:hAnchor="margin" w:xAlign="outside" w:y="1"/>
      <w:rPr>
        <w:rStyle w:val="PageNumber"/>
      </w:rPr>
    </w:pPr>
  </w:p>
  <w:p w14:paraId="65AE829E" w14:textId="77777777" w:rsidR="00944CCE" w:rsidRDefault="00944CCE">
    <w:pPr>
      <w:pStyle w:val="Header"/>
      <w:ind w:right="360" w:firstLine="360"/>
    </w:pPr>
  </w:p>
  <w:p w14:paraId="72D5CAC0" w14:textId="77777777" w:rsidR="00944CCE" w:rsidRDefault="00944CCE" w:rsidP="00AF08B6">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934AA"/>
    <w:multiLevelType w:val="multilevel"/>
    <w:tmpl w:val="96362DF0"/>
    <w:lvl w:ilvl="0">
      <w:start w:val="1"/>
      <w:numFmt w:val="decimal"/>
      <w:suff w:val="nothing"/>
      <w:lvlText w:val="%1.  "/>
      <w:lvlJc w:val="left"/>
      <w:pPr>
        <w:ind w:left="360" w:hanging="360"/>
      </w:pPr>
      <w:rPr>
        <w:rFonts w:ascii="Times New Roman" w:hAnsi="Times New Roman" w:hint="default"/>
        <w:b/>
        <w:i w:val="0"/>
        <w:sz w:val="20"/>
        <w:szCs w:val="20"/>
      </w:rPr>
    </w:lvl>
    <w:lvl w:ilvl="1">
      <w:start w:val="1"/>
      <w:numFmt w:val="decimal"/>
      <w:suff w:val="nothing"/>
      <w:lvlText w:val="%1.%2.  "/>
      <w:lvlJc w:val="left"/>
      <w:pPr>
        <w:ind w:left="0" w:firstLine="0"/>
      </w:pPr>
      <w:rPr>
        <w:rFonts w:ascii="Times New Roman" w:hAnsi="Times New Roman" w:hint="default"/>
        <w:b/>
        <w:i w:val="0"/>
        <w:sz w:val="20"/>
        <w:szCs w:val="20"/>
      </w:rPr>
    </w:lvl>
    <w:lvl w:ilvl="2">
      <w:start w:val="1"/>
      <w:numFmt w:val="decimal"/>
      <w:suff w:val="nothing"/>
      <w:lvlText w:val="%1.%2.%3.  "/>
      <w:lvlJc w:val="left"/>
      <w:pPr>
        <w:ind w:left="0" w:firstLine="0"/>
      </w:pPr>
      <w:rPr>
        <w:rFonts w:ascii="Times New Roman" w:hAnsi="Times New Roman" w:cs="Arial" w:hint="default"/>
        <w:b w:val="0"/>
        <w:i w:val="0"/>
        <w:sz w:val="20"/>
        <w:szCs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BBD7526"/>
    <w:multiLevelType w:val="singleLevel"/>
    <w:tmpl w:val="02502414"/>
    <w:lvl w:ilvl="0">
      <w:start w:val="1"/>
      <w:numFmt w:val="decimal"/>
      <w:lvlText w:val="%1."/>
      <w:legacy w:legacy="1" w:legacySpace="0" w:legacyIndent="360"/>
      <w:lvlJc w:val="left"/>
      <w:pPr>
        <w:ind w:left="360" w:hanging="360"/>
      </w:pPr>
    </w:lvl>
  </w:abstractNum>
  <w:abstractNum w:abstractNumId="2" w15:restartNumberingAfterBreak="0">
    <w:nsid w:val="0C93220D"/>
    <w:multiLevelType w:val="singleLevel"/>
    <w:tmpl w:val="52F63B22"/>
    <w:lvl w:ilvl="0">
      <w:start w:val="1"/>
      <w:numFmt w:val="decimal"/>
      <w:pStyle w:val="bibitem"/>
      <w:lvlText w:val="%1."/>
      <w:lvlJc w:val="left"/>
      <w:pPr>
        <w:tabs>
          <w:tab w:val="num" w:pos="360"/>
        </w:tabs>
        <w:ind w:left="360" w:hanging="360"/>
      </w:pPr>
      <w:rPr>
        <w:sz w:val="20"/>
      </w:rPr>
    </w:lvl>
  </w:abstractNum>
  <w:abstractNum w:abstractNumId="3" w15:restartNumberingAfterBreak="0">
    <w:nsid w:val="1F441FB6"/>
    <w:multiLevelType w:val="hybridMultilevel"/>
    <w:tmpl w:val="BF0823B2"/>
    <w:lvl w:ilvl="0" w:tplc="D07CD6DE">
      <w:start w:val="1"/>
      <w:numFmt w:val="lowerLetter"/>
      <w:pStyle w:val="AList"/>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9F0355"/>
    <w:multiLevelType w:val="singleLevel"/>
    <w:tmpl w:val="B330B8E8"/>
    <w:lvl w:ilvl="0">
      <w:start w:val="1"/>
      <w:numFmt w:val="decimal"/>
      <w:pStyle w:val="ListNumber"/>
      <w:lvlText w:val="%1."/>
      <w:legacy w:legacy="1" w:legacySpace="0" w:legacyIndent="360"/>
      <w:lvlJc w:val="left"/>
      <w:pPr>
        <w:ind w:left="360" w:hanging="360"/>
      </w:pPr>
    </w:lvl>
  </w:abstractNum>
  <w:abstractNum w:abstractNumId="5" w15:restartNumberingAfterBreak="0">
    <w:nsid w:val="2CD35C99"/>
    <w:multiLevelType w:val="multilevel"/>
    <w:tmpl w:val="27AC7C5E"/>
    <w:lvl w:ilvl="0">
      <w:start w:val="1"/>
      <w:numFmt w:val="decimal"/>
      <w:pStyle w:val="StyleHeading1SectionBefore0pt"/>
      <w:lvlText w:val="%1.  "/>
      <w:lvlJc w:val="left"/>
      <w:pPr>
        <w:tabs>
          <w:tab w:val="num" w:pos="0"/>
        </w:tabs>
        <w:ind w:left="360" w:hanging="360"/>
      </w:pPr>
      <w:rPr>
        <w:rFonts w:hint="default"/>
      </w:rPr>
    </w:lvl>
    <w:lvl w:ilvl="1">
      <w:start w:val="1"/>
      <w:numFmt w:val="decimal"/>
      <w:pStyle w:val="StyleHeading2SubsectionBefore0pt"/>
      <w:lvlText w:val="%1.%2.  "/>
      <w:lvlJc w:val="left"/>
      <w:pPr>
        <w:tabs>
          <w:tab w:val="num" w:pos="360"/>
        </w:tabs>
        <w:ind w:left="360" w:hanging="360"/>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409790F"/>
    <w:multiLevelType w:val="multilevel"/>
    <w:tmpl w:val="3BC8C28C"/>
    <w:lvl w:ilvl="0">
      <w:start w:val="1"/>
      <w:numFmt w:val="decimal"/>
      <w:suff w:val="nothing"/>
      <w:lvlText w:val="%1.  "/>
      <w:lvlJc w:val="left"/>
      <w:pPr>
        <w:ind w:left="360" w:hanging="360"/>
      </w:pPr>
      <w:rPr>
        <w:rFonts w:ascii="Times New Roman" w:hAnsi="Times New Roman" w:hint="default"/>
        <w:b/>
        <w:i w:val="0"/>
        <w:sz w:val="24"/>
        <w:szCs w:val="20"/>
      </w:rPr>
    </w:lvl>
    <w:lvl w:ilvl="1">
      <w:start w:val="1"/>
      <w:numFmt w:val="decimal"/>
      <w:suff w:val="nothing"/>
      <w:lvlText w:val="%1.%2.  "/>
      <w:lvlJc w:val="left"/>
      <w:pPr>
        <w:ind w:left="0" w:firstLine="0"/>
      </w:pPr>
      <w:rPr>
        <w:rFonts w:ascii="Times New Roman" w:hAnsi="Times New Roman" w:hint="default"/>
        <w:b/>
        <w:i w:val="0"/>
        <w:sz w:val="20"/>
        <w:szCs w:val="20"/>
      </w:rPr>
    </w:lvl>
    <w:lvl w:ilvl="2">
      <w:start w:val="1"/>
      <w:numFmt w:val="decimal"/>
      <w:suff w:val="nothing"/>
      <w:lvlText w:val="%1.%2.%3.  "/>
      <w:lvlJc w:val="left"/>
      <w:pPr>
        <w:ind w:left="0" w:firstLine="0"/>
      </w:pPr>
      <w:rPr>
        <w:rFonts w:ascii="Times New Roman" w:hAnsi="Times New Roman" w:cs="Arial" w:hint="default"/>
        <w:b w:val="0"/>
        <w:i w:val="0"/>
        <w:sz w:val="20"/>
        <w:szCs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B1B1FE3"/>
    <w:multiLevelType w:val="singleLevel"/>
    <w:tmpl w:val="02502414"/>
    <w:lvl w:ilvl="0">
      <w:start w:val="1"/>
      <w:numFmt w:val="decimal"/>
      <w:lvlText w:val="%1."/>
      <w:legacy w:legacy="1" w:legacySpace="0" w:legacyIndent="360"/>
      <w:lvlJc w:val="left"/>
      <w:pPr>
        <w:ind w:left="360" w:hanging="360"/>
      </w:pPr>
    </w:lvl>
  </w:abstractNum>
  <w:abstractNum w:abstractNumId="8" w15:restartNumberingAfterBreak="0">
    <w:nsid w:val="501C1B5A"/>
    <w:multiLevelType w:val="multilevel"/>
    <w:tmpl w:val="F83CCB86"/>
    <w:lvl w:ilvl="0">
      <w:start w:val="1"/>
      <w:numFmt w:val="decimal"/>
      <w:suff w:val="nothing"/>
      <w:lvlText w:val="%1.  "/>
      <w:lvlJc w:val="left"/>
      <w:pPr>
        <w:ind w:left="360" w:hanging="360"/>
      </w:pPr>
      <w:rPr>
        <w:rFonts w:ascii="Times New Roman" w:hAnsi="Times New Roman" w:hint="default"/>
        <w:b/>
        <w:i w:val="0"/>
        <w:sz w:val="24"/>
        <w:szCs w:val="20"/>
      </w:rPr>
    </w:lvl>
    <w:lvl w:ilvl="1">
      <w:start w:val="1"/>
      <w:numFmt w:val="decimal"/>
      <w:suff w:val="nothing"/>
      <w:lvlText w:val="%1.%2.  "/>
      <w:lvlJc w:val="left"/>
      <w:pPr>
        <w:ind w:left="0" w:firstLine="0"/>
      </w:pPr>
      <w:rPr>
        <w:rFonts w:ascii="Times New Roman" w:hAnsi="Times New Roman" w:hint="default"/>
        <w:b/>
        <w:i w:val="0"/>
        <w:sz w:val="24"/>
        <w:szCs w:val="20"/>
      </w:rPr>
    </w:lvl>
    <w:lvl w:ilvl="2">
      <w:start w:val="1"/>
      <w:numFmt w:val="decimal"/>
      <w:suff w:val="nothing"/>
      <w:lvlText w:val="%1.%2.%3.  "/>
      <w:lvlJc w:val="left"/>
      <w:pPr>
        <w:ind w:left="0" w:firstLine="0"/>
      </w:pPr>
      <w:rPr>
        <w:rFonts w:ascii="Times New Roman" w:hAnsi="Times New Roman" w:cs="Arial" w:hint="default"/>
        <w:b w:val="0"/>
        <w:i w:val="0"/>
        <w:sz w:val="20"/>
        <w:szCs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5DE742EB"/>
    <w:multiLevelType w:val="singleLevel"/>
    <w:tmpl w:val="02502414"/>
    <w:lvl w:ilvl="0">
      <w:start w:val="1"/>
      <w:numFmt w:val="decimal"/>
      <w:lvlText w:val="%1."/>
      <w:legacy w:legacy="1" w:legacySpace="0" w:legacyIndent="360"/>
      <w:lvlJc w:val="left"/>
      <w:pPr>
        <w:ind w:left="360" w:hanging="360"/>
      </w:pPr>
    </w:lvl>
  </w:abstractNum>
  <w:abstractNum w:abstractNumId="10" w15:restartNumberingAfterBreak="0">
    <w:nsid w:val="67D22FAB"/>
    <w:multiLevelType w:val="multilevel"/>
    <w:tmpl w:val="77B03DC6"/>
    <w:lvl w:ilvl="0">
      <w:start w:val="1"/>
      <w:numFmt w:val="decimal"/>
      <w:pStyle w:val="Heading1"/>
      <w:suff w:val="nothing"/>
      <w:lvlText w:val="%1.  "/>
      <w:lvlJc w:val="left"/>
      <w:pPr>
        <w:ind w:left="360" w:hanging="360"/>
      </w:pPr>
      <w:rPr>
        <w:rFonts w:ascii="Times New Roman" w:hAnsi="Times New Roman" w:hint="default"/>
        <w:b/>
        <w:i w:val="0"/>
        <w:sz w:val="24"/>
        <w:szCs w:val="20"/>
      </w:rPr>
    </w:lvl>
    <w:lvl w:ilvl="1">
      <w:start w:val="1"/>
      <w:numFmt w:val="decimal"/>
      <w:pStyle w:val="Heading2"/>
      <w:suff w:val="nothing"/>
      <w:lvlText w:val="%1.%2.  "/>
      <w:lvlJc w:val="left"/>
      <w:pPr>
        <w:ind w:left="283" w:firstLine="0"/>
      </w:pPr>
      <w:rPr>
        <w:rFonts w:ascii="Times New Roman" w:hAnsi="Times New Roman" w:hint="default"/>
        <w:b/>
        <w:i w:val="0"/>
        <w:sz w:val="24"/>
        <w:szCs w:val="20"/>
      </w:rPr>
    </w:lvl>
    <w:lvl w:ilvl="2">
      <w:start w:val="1"/>
      <w:numFmt w:val="decimal"/>
      <w:pStyle w:val="Heading3"/>
      <w:suff w:val="nothing"/>
      <w:lvlText w:val="%1.%2.%3.  "/>
      <w:lvlJc w:val="left"/>
      <w:pPr>
        <w:ind w:left="0" w:firstLine="0"/>
      </w:pPr>
      <w:rPr>
        <w:rFonts w:ascii="Times New Roman" w:hAnsi="Times New Roman" w:cs="Arial" w:hint="default"/>
        <w:b w:val="0"/>
        <w:i w:val="0"/>
        <w:sz w:val="24"/>
        <w:szCs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691C1652"/>
    <w:multiLevelType w:val="singleLevel"/>
    <w:tmpl w:val="02502414"/>
    <w:lvl w:ilvl="0">
      <w:start w:val="1"/>
      <w:numFmt w:val="decimal"/>
      <w:lvlText w:val="%1."/>
      <w:legacy w:legacy="1" w:legacySpace="0" w:legacyIndent="360"/>
      <w:lvlJc w:val="left"/>
      <w:pPr>
        <w:ind w:left="360" w:hanging="360"/>
      </w:pPr>
    </w:lvl>
  </w:abstractNum>
  <w:abstractNum w:abstractNumId="12" w15:restartNumberingAfterBreak="0">
    <w:nsid w:val="71C14162"/>
    <w:multiLevelType w:val="hybridMultilevel"/>
    <w:tmpl w:val="3C90F40E"/>
    <w:lvl w:ilvl="0" w:tplc="D9C4B10A">
      <w:start w:val="1"/>
      <w:numFmt w:val="bullet"/>
      <w:pStyle w:val="ListBullet"/>
      <w:lvlText w:val=""/>
      <w:lvlJc w:val="left"/>
      <w:pPr>
        <w:tabs>
          <w:tab w:val="num" w:pos="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7A5AB2"/>
    <w:multiLevelType w:val="hybridMultilevel"/>
    <w:tmpl w:val="433CD84E"/>
    <w:lvl w:ilvl="0" w:tplc="F96EA9F2">
      <w:start w:val="20"/>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5024349">
    <w:abstractNumId w:val="5"/>
  </w:num>
  <w:num w:numId="2" w16cid:durableId="2010133419">
    <w:abstractNumId w:val="2"/>
  </w:num>
  <w:num w:numId="3" w16cid:durableId="696661778">
    <w:abstractNumId w:val="12"/>
  </w:num>
  <w:num w:numId="4" w16cid:durableId="1999535534">
    <w:abstractNumId w:val="3"/>
  </w:num>
  <w:num w:numId="5" w16cid:durableId="193690181">
    <w:abstractNumId w:val="4"/>
  </w:num>
  <w:num w:numId="6" w16cid:durableId="1571815522">
    <w:abstractNumId w:val="10"/>
  </w:num>
  <w:num w:numId="7" w16cid:durableId="1423525215">
    <w:abstractNumId w:val="1"/>
  </w:num>
  <w:num w:numId="8" w16cid:durableId="281574728">
    <w:abstractNumId w:val="7"/>
  </w:num>
  <w:num w:numId="9" w16cid:durableId="494614579">
    <w:abstractNumId w:val="11"/>
  </w:num>
  <w:num w:numId="10" w16cid:durableId="1233585848">
    <w:abstractNumId w:val="9"/>
  </w:num>
  <w:num w:numId="11" w16cid:durableId="503596848">
    <w:abstractNumId w:val="0"/>
  </w:num>
  <w:num w:numId="12" w16cid:durableId="1889340314">
    <w:abstractNumId w:val="6"/>
  </w:num>
  <w:num w:numId="13" w16cid:durableId="471140339">
    <w:abstractNumId w:val="8"/>
  </w:num>
  <w:num w:numId="14" w16cid:durableId="865945086">
    <w:abstractNumId w:val="3"/>
  </w:num>
  <w:num w:numId="15" w16cid:durableId="1886211809">
    <w:abstractNumId w:val="4"/>
  </w:num>
  <w:num w:numId="16" w16cid:durableId="1286086318">
    <w:abstractNumId w:val="2"/>
  </w:num>
  <w:num w:numId="17" w16cid:durableId="248202040">
    <w:abstractNumId w:val="10"/>
  </w:num>
  <w:num w:numId="18" w16cid:durableId="81689215">
    <w:abstractNumId w:val="10"/>
  </w:num>
  <w:num w:numId="19" w16cid:durableId="2136101640">
    <w:abstractNumId w:val="10"/>
  </w:num>
  <w:num w:numId="20" w16cid:durableId="1717045384">
    <w:abstractNumId w:val="12"/>
  </w:num>
  <w:num w:numId="21" w16cid:durableId="109326651">
    <w:abstractNumId w:val="5"/>
  </w:num>
  <w:num w:numId="22" w16cid:durableId="1322388248">
    <w:abstractNumId w:val="5"/>
  </w:num>
  <w:num w:numId="23" w16cid:durableId="1263607282">
    <w:abstractNumId w:val="13"/>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4"/>
  <w:hyphenationZone w:val="425"/>
  <w:doNotHyphenateCaps/>
  <w:evenAndOddHeaders/>
  <w:drawingGridHorizontalSpacing w:val="100"/>
  <w:displayHorizontalDrawingGridEvery w:val="0"/>
  <w:displayVerticalDrawingGridEvery w:val="0"/>
  <w:doNotShadeFormData/>
  <w:noPunctuationKerning/>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0C7"/>
    <w:rsid w:val="00012884"/>
    <w:rsid w:val="00032DF6"/>
    <w:rsid w:val="000606C7"/>
    <w:rsid w:val="000618AA"/>
    <w:rsid w:val="0006209D"/>
    <w:rsid w:val="00083527"/>
    <w:rsid w:val="00090F5A"/>
    <w:rsid w:val="00093A7A"/>
    <w:rsid w:val="000A221C"/>
    <w:rsid w:val="000B5865"/>
    <w:rsid w:val="000B77D5"/>
    <w:rsid w:val="000D516B"/>
    <w:rsid w:val="000D777E"/>
    <w:rsid w:val="000E032A"/>
    <w:rsid w:val="000F63B2"/>
    <w:rsid w:val="00103557"/>
    <w:rsid w:val="00113163"/>
    <w:rsid w:val="001331C1"/>
    <w:rsid w:val="00136952"/>
    <w:rsid w:val="00147DF9"/>
    <w:rsid w:val="001550E3"/>
    <w:rsid w:val="0016548E"/>
    <w:rsid w:val="0016591B"/>
    <w:rsid w:val="0016641F"/>
    <w:rsid w:val="0017315E"/>
    <w:rsid w:val="0017435E"/>
    <w:rsid w:val="00184C23"/>
    <w:rsid w:val="001867CE"/>
    <w:rsid w:val="00187AEB"/>
    <w:rsid w:val="001918CB"/>
    <w:rsid w:val="001A0213"/>
    <w:rsid w:val="001A6C40"/>
    <w:rsid w:val="001C1E84"/>
    <w:rsid w:val="001D0D93"/>
    <w:rsid w:val="001D1C0D"/>
    <w:rsid w:val="001D31E4"/>
    <w:rsid w:val="001D4C91"/>
    <w:rsid w:val="001D5176"/>
    <w:rsid w:val="001E0B3F"/>
    <w:rsid w:val="001E1DF0"/>
    <w:rsid w:val="001E2A27"/>
    <w:rsid w:val="001E7307"/>
    <w:rsid w:val="001F7D5E"/>
    <w:rsid w:val="00201CC7"/>
    <w:rsid w:val="002117EB"/>
    <w:rsid w:val="002134CA"/>
    <w:rsid w:val="0022019A"/>
    <w:rsid w:val="00230FF8"/>
    <w:rsid w:val="00233A56"/>
    <w:rsid w:val="00235A41"/>
    <w:rsid w:val="002459D8"/>
    <w:rsid w:val="002521AE"/>
    <w:rsid w:val="00273FEF"/>
    <w:rsid w:val="0027452C"/>
    <w:rsid w:val="00287BF3"/>
    <w:rsid w:val="002933C2"/>
    <w:rsid w:val="002969BB"/>
    <w:rsid w:val="002A3EEA"/>
    <w:rsid w:val="002A6BE4"/>
    <w:rsid w:val="002B0E11"/>
    <w:rsid w:val="002B1FC8"/>
    <w:rsid w:val="002C30EF"/>
    <w:rsid w:val="002D24E5"/>
    <w:rsid w:val="00301CEF"/>
    <w:rsid w:val="00323B15"/>
    <w:rsid w:val="00325F2D"/>
    <w:rsid w:val="003328F8"/>
    <w:rsid w:val="00332D78"/>
    <w:rsid w:val="00334A70"/>
    <w:rsid w:val="00336D91"/>
    <w:rsid w:val="00337ADA"/>
    <w:rsid w:val="003508EB"/>
    <w:rsid w:val="00351BDE"/>
    <w:rsid w:val="0036468D"/>
    <w:rsid w:val="00364A65"/>
    <w:rsid w:val="00365D6C"/>
    <w:rsid w:val="003816F1"/>
    <w:rsid w:val="003862FB"/>
    <w:rsid w:val="00391483"/>
    <w:rsid w:val="00392D03"/>
    <w:rsid w:val="003932CD"/>
    <w:rsid w:val="003940CD"/>
    <w:rsid w:val="003A29A7"/>
    <w:rsid w:val="003A2D82"/>
    <w:rsid w:val="003B12CD"/>
    <w:rsid w:val="003B2271"/>
    <w:rsid w:val="003C2117"/>
    <w:rsid w:val="003C5B06"/>
    <w:rsid w:val="003D02AB"/>
    <w:rsid w:val="003D215A"/>
    <w:rsid w:val="003D26DF"/>
    <w:rsid w:val="003D48D7"/>
    <w:rsid w:val="003E12EC"/>
    <w:rsid w:val="003E57F3"/>
    <w:rsid w:val="003E7893"/>
    <w:rsid w:val="003F1508"/>
    <w:rsid w:val="003F68C9"/>
    <w:rsid w:val="004012D1"/>
    <w:rsid w:val="0040580E"/>
    <w:rsid w:val="0041577C"/>
    <w:rsid w:val="00420A44"/>
    <w:rsid w:val="004213D0"/>
    <w:rsid w:val="00421D36"/>
    <w:rsid w:val="00422056"/>
    <w:rsid w:val="0043661A"/>
    <w:rsid w:val="00440068"/>
    <w:rsid w:val="004404E6"/>
    <w:rsid w:val="004467DE"/>
    <w:rsid w:val="004539FA"/>
    <w:rsid w:val="004548DE"/>
    <w:rsid w:val="00454B37"/>
    <w:rsid w:val="004556EF"/>
    <w:rsid w:val="00456315"/>
    <w:rsid w:val="0046076E"/>
    <w:rsid w:val="00463DB5"/>
    <w:rsid w:val="00473E35"/>
    <w:rsid w:val="00474ADC"/>
    <w:rsid w:val="00483476"/>
    <w:rsid w:val="00484E70"/>
    <w:rsid w:val="004850E0"/>
    <w:rsid w:val="00486616"/>
    <w:rsid w:val="00492250"/>
    <w:rsid w:val="004A325D"/>
    <w:rsid w:val="004B41C3"/>
    <w:rsid w:val="004B47E4"/>
    <w:rsid w:val="004C4A1E"/>
    <w:rsid w:val="004D50DF"/>
    <w:rsid w:val="004E1696"/>
    <w:rsid w:val="004E5B4B"/>
    <w:rsid w:val="0051104D"/>
    <w:rsid w:val="005142F0"/>
    <w:rsid w:val="0052130E"/>
    <w:rsid w:val="0052432A"/>
    <w:rsid w:val="005247D7"/>
    <w:rsid w:val="00534AEE"/>
    <w:rsid w:val="00535F40"/>
    <w:rsid w:val="00536A41"/>
    <w:rsid w:val="00537831"/>
    <w:rsid w:val="00554BE3"/>
    <w:rsid w:val="00570FF4"/>
    <w:rsid w:val="00573711"/>
    <w:rsid w:val="00594F58"/>
    <w:rsid w:val="005A206D"/>
    <w:rsid w:val="005A551B"/>
    <w:rsid w:val="005A6FF3"/>
    <w:rsid w:val="005B742A"/>
    <w:rsid w:val="005C15F5"/>
    <w:rsid w:val="005C2351"/>
    <w:rsid w:val="005D01ED"/>
    <w:rsid w:val="005D2C06"/>
    <w:rsid w:val="005D3A64"/>
    <w:rsid w:val="005D7D1A"/>
    <w:rsid w:val="005E29BD"/>
    <w:rsid w:val="005E29D2"/>
    <w:rsid w:val="005E77B3"/>
    <w:rsid w:val="005F0383"/>
    <w:rsid w:val="005F1C22"/>
    <w:rsid w:val="006034B5"/>
    <w:rsid w:val="00606DA5"/>
    <w:rsid w:val="006070A7"/>
    <w:rsid w:val="0061251E"/>
    <w:rsid w:val="00615AFA"/>
    <w:rsid w:val="00616EBF"/>
    <w:rsid w:val="006266EB"/>
    <w:rsid w:val="00646B0F"/>
    <w:rsid w:val="00651E65"/>
    <w:rsid w:val="006524C1"/>
    <w:rsid w:val="00674244"/>
    <w:rsid w:val="006746BD"/>
    <w:rsid w:val="006756F0"/>
    <w:rsid w:val="006922AC"/>
    <w:rsid w:val="00692FFD"/>
    <w:rsid w:val="00693312"/>
    <w:rsid w:val="006A1027"/>
    <w:rsid w:val="006B557C"/>
    <w:rsid w:val="006C3C86"/>
    <w:rsid w:val="006D4F01"/>
    <w:rsid w:val="006D6524"/>
    <w:rsid w:val="006E2B1E"/>
    <w:rsid w:val="006F0D8D"/>
    <w:rsid w:val="006F2D30"/>
    <w:rsid w:val="00701707"/>
    <w:rsid w:val="00722162"/>
    <w:rsid w:val="00724A0F"/>
    <w:rsid w:val="00726982"/>
    <w:rsid w:val="00731DF6"/>
    <w:rsid w:val="00732736"/>
    <w:rsid w:val="00733FC6"/>
    <w:rsid w:val="00740690"/>
    <w:rsid w:val="00743521"/>
    <w:rsid w:val="007531CA"/>
    <w:rsid w:val="007608C3"/>
    <w:rsid w:val="0077318A"/>
    <w:rsid w:val="00775627"/>
    <w:rsid w:val="007B1889"/>
    <w:rsid w:val="007B3824"/>
    <w:rsid w:val="007B3FC1"/>
    <w:rsid w:val="007B6C06"/>
    <w:rsid w:val="007C4BC0"/>
    <w:rsid w:val="007D115F"/>
    <w:rsid w:val="007D1395"/>
    <w:rsid w:val="007D594C"/>
    <w:rsid w:val="007E3151"/>
    <w:rsid w:val="007E40E3"/>
    <w:rsid w:val="007F150F"/>
    <w:rsid w:val="007F5CAA"/>
    <w:rsid w:val="00813502"/>
    <w:rsid w:val="00815B76"/>
    <w:rsid w:val="0081717E"/>
    <w:rsid w:val="00826AC4"/>
    <w:rsid w:val="00832790"/>
    <w:rsid w:val="00852644"/>
    <w:rsid w:val="008636FD"/>
    <w:rsid w:val="008675A1"/>
    <w:rsid w:val="008678B5"/>
    <w:rsid w:val="00874AE8"/>
    <w:rsid w:val="00877A84"/>
    <w:rsid w:val="008858AB"/>
    <w:rsid w:val="008878A9"/>
    <w:rsid w:val="00896C08"/>
    <w:rsid w:val="008A59CD"/>
    <w:rsid w:val="008B1B18"/>
    <w:rsid w:val="008B6351"/>
    <w:rsid w:val="008C04BF"/>
    <w:rsid w:val="008C7757"/>
    <w:rsid w:val="008D4AE9"/>
    <w:rsid w:val="008D6145"/>
    <w:rsid w:val="008E1C90"/>
    <w:rsid w:val="00906D18"/>
    <w:rsid w:val="00913512"/>
    <w:rsid w:val="0091726F"/>
    <w:rsid w:val="00917A66"/>
    <w:rsid w:val="00920712"/>
    <w:rsid w:val="00924575"/>
    <w:rsid w:val="00930DC0"/>
    <w:rsid w:val="0094187A"/>
    <w:rsid w:val="00944CCE"/>
    <w:rsid w:val="00944D8E"/>
    <w:rsid w:val="00947102"/>
    <w:rsid w:val="00947DB8"/>
    <w:rsid w:val="00954ADD"/>
    <w:rsid w:val="00955E78"/>
    <w:rsid w:val="00961CF4"/>
    <w:rsid w:val="00964231"/>
    <w:rsid w:val="00976998"/>
    <w:rsid w:val="00980513"/>
    <w:rsid w:val="009840A4"/>
    <w:rsid w:val="009851AF"/>
    <w:rsid w:val="009875CF"/>
    <w:rsid w:val="00991830"/>
    <w:rsid w:val="009A63F8"/>
    <w:rsid w:val="009B0CB7"/>
    <w:rsid w:val="009C22D6"/>
    <w:rsid w:val="009D29F4"/>
    <w:rsid w:val="009D6254"/>
    <w:rsid w:val="009D76DC"/>
    <w:rsid w:val="009F177B"/>
    <w:rsid w:val="009F72A1"/>
    <w:rsid w:val="009F7785"/>
    <w:rsid w:val="00A254FD"/>
    <w:rsid w:val="00A32895"/>
    <w:rsid w:val="00A3596D"/>
    <w:rsid w:val="00A5115D"/>
    <w:rsid w:val="00A70D25"/>
    <w:rsid w:val="00A77C6C"/>
    <w:rsid w:val="00A77FE2"/>
    <w:rsid w:val="00A808AA"/>
    <w:rsid w:val="00A969C4"/>
    <w:rsid w:val="00AA2F97"/>
    <w:rsid w:val="00AA6B50"/>
    <w:rsid w:val="00AB1A3C"/>
    <w:rsid w:val="00AB37C0"/>
    <w:rsid w:val="00AB542F"/>
    <w:rsid w:val="00AC2592"/>
    <w:rsid w:val="00AD7C40"/>
    <w:rsid w:val="00AE164B"/>
    <w:rsid w:val="00AE2370"/>
    <w:rsid w:val="00AE3A01"/>
    <w:rsid w:val="00AE4C82"/>
    <w:rsid w:val="00AE7AF8"/>
    <w:rsid w:val="00AF08B6"/>
    <w:rsid w:val="00AF3311"/>
    <w:rsid w:val="00AF3938"/>
    <w:rsid w:val="00AF4FC5"/>
    <w:rsid w:val="00AF6BDA"/>
    <w:rsid w:val="00B03273"/>
    <w:rsid w:val="00B06FC5"/>
    <w:rsid w:val="00B10EF7"/>
    <w:rsid w:val="00B217E4"/>
    <w:rsid w:val="00B2573E"/>
    <w:rsid w:val="00B3297C"/>
    <w:rsid w:val="00B4000D"/>
    <w:rsid w:val="00B60729"/>
    <w:rsid w:val="00B91402"/>
    <w:rsid w:val="00B9507C"/>
    <w:rsid w:val="00BA01D4"/>
    <w:rsid w:val="00BA2DD1"/>
    <w:rsid w:val="00BA3D45"/>
    <w:rsid w:val="00BB2694"/>
    <w:rsid w:val="00BB2AD4"/>
    <w:rsid w:val="00BB4832"/>
    <w:rsid w:val="00BC4710"/>
    <w:rsid w:val="00BC5C7B"/>
    <w:rsid w:val="00BC5CC9"/>
    <w:rsid w:val="00BC5EAC"/>
    <w:rsid w:val="00BC618E"/>
    <w:rsid w:val="00BD0E7F"/>
    <w:rsid w:val="00BD1D78"/>
    <w:rsid w:val="00BD4462"/>
    <w:rsid w:val="00BE1CA0"/>
    <w:rsid w:val="00BE32D8"/>
    <w:rsid w:val="00BE587B"/>
    <w:rsid w:val="00BF2342"/>
    <w:rsid w:val="00C11827"/>
    <w:rsid w:val="00C14221"/>
    <w:rsid w:val="00C16038"/>
    <w:rsid w:val="00C2091E"/>
    <w:rsid w:val="00C27761"/>
    <w:rsid w:val="00C31C61"/>
    <w:rsid w:val="00C460C7"/>
    <w:rsid w:val="00C46845"/>
    <w:rsid w:val="00C527CA"/>
    <w:rsid w:val="00C54030"/>
    <w:rsid w:val="00C61D6B"/>
    <w:rsid w:val="00C63474"/>
    <w:rsid w:val="00C651B9"/>
    <w:rsid w:val="00C739DA"/>
    <w:rsid w:val="00C82399"/>
    <w:rsid w:val="00C854A6"/>
    <w:rsid w:val="00C930B6"/>
    <w:rsid w:val="00CB02F2"/>
    <w:rsid w:val="00CB34A2"/>
    <w:rsid w:val="00CC2486"/>
    <w:rsid w:val="00CC5434"/>
    <w:rsid w:val="00CD6449"/>
    <w:rsid w:val="00CE2642"/>
    <w:rsid w:val="00CE349E"/>
    <w:rsid w:val="00CF4F23"/>
    <w:rsid w:val="00D1192E"/>
    <w:rsid w:val="00D16BE5"/>
    <w:rsid w:val="00D277A3"/>
    <w:rsid w:val="00D31258"/>
    <w:rsid w:val="00D3399D"/>
    <w:rsid w:val="00D54C80"/>
    <w:rsid w:val="00D61151"/>
    <w:rsid w:val="00D663F0"/>
    <w:rsid w:val="00D718BA"/>
    <w:rsid w:val="00D71915"/>
    <w:rsid w:val="00D74D40"/>
    <w:rsid w:val="00D750EF"/>
    <w:rsid w:val="00D83844"/>
    <w:rsid w:val="00D857DE"/>
    <w:rsid w:val="00D85E23"/>
    <w:rsid w:val="00D86366"/>
    <w:rsid w:val="00D87CBC"/>
    <w:rsid w:val="00D93254"/>
    <w:rsid w:val="00D9769B"/>
    <w:rsid w:val="00DA23BB"/>
    <w:rsid w:val="00DC60E0"/>
    <w:rsid w:val="00DC7750"/>
    <w:rsid w:val="00DC79B8"/>
    <w:rsid w:val="00DD01C0"/>
    <w:rsid w:val="00DD1EF2"/>
    <w:rsid w:val="00DD2A12"/>
    <w:rsid w:val="00DD508C"/>
    <w:rsid w:val="00DF1C3C"/>
    <w:rsid w:val="00DF3C2C"/>
    <w:rsid w:val="00DF4934"/>
    <w:rsid w:val="00E053BE"/>
    <w:rsid w:val="00E14591"/>
    <w:rsid w:val="00E1666B"/>
    <w:rsid w:val="00E17174"/>
    <w:rsid w:val="00E21DD0"/>
    <w:rsid w:val="00E370FA"/>
    <w:rsid w:val="00E37F02"/>
    <w:rsid w:val="00E4022A"/>
    <w:rsid w:val="00E77E77"/>
    <w:rsid w:val="00E8306D"/>
    <w:rsid w:val="00E8583A"/>
    <w:rsid w:val="00E87582"/>
    <w:rsid w:val="00E96573"/>
    <w:rsid w:val="00EA0468"/>
    <w:rsid w:val="00EA17CB"/>
    <w:rsid w:val="00EB7D07"/>
    <w:rsid w:val="00EC151B"/>
    <w:rsid w:val="00EE3DEE"/>
    <w:rsid w:val="00F004A7"/>
    <w:rsid w:val="00F055DD"/>
    <w:rsid w:val="00F114C7"/>
    <w:rsid w:val="00F22E13"/>
    <w:rsid w:val="00F242CF"/>
    <w:rsid w:val="00F245DF"/>
    <w:rsid w:val="00F4102C"/>
    <w:rsid w:val="00F44337"/>
    <w:rsid w:val="00F446C9"/>
    <w:rsid w:val="00F547A7"/>
    <w:rsid w:val="00F72170"/>
    <w:rsid w:val="00F81367"/>
    <w:rsid w:val="00F90AB3"/>
    <w:rsid w:val="00F940C7"/>
    <w:rsid w:val="00FA0FF3"/>
    <w:rsid w:val="00FA40C1"/>
    <w:rsid w:val="00FA7F36"/>
    <w:rsid w:val="00FB29EF"/>
    <w:rsid w:val="00FB500D"/>
    <w:rsid w:val="00FC2C08"/>
    <w:rsid w:val="00FD38B0"/>
    <w:rsid w:val="00FD7B80"/>
    <w:rsid w:val="00FE0F5E"/>
    <w:rsid w:val="00FE69E5"/>
    <w:rsid w:val="00FE77C7"/>
    <w:rsid w:val="00FF0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519B9"/>
  <w15:chartTrackingRefBased/>
  <w15:docId w15:val="{7B0533C6-FEE7-4F91-B611-0BE39C9B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HTML Code"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0468"/>
  </w:style>
  <w:style w:type="paragraph" w:styleId="Heading1">
    <w:name w:val="heading 1"/>
    <w:aliases w:val="Section"/>
    <w:basedOn w:val="Normal"/>
    <w:next w:val="spara"/>
    <w:qFormat/>
    <w:rsid w:val="00F940C7"/>
    <w:pPr>
      <w:keepNext/>
      <w:keepLines/>
      <w:numPr>
        <w:numId w:val="19"/>
      </w:numPr>
      <w:suppressAutoHyphens/>
      <w:spacing w:before="280" w:after="140"/>
      <w:ind w:right="360"/>
      <w:outlineLvl w:val="0"/>
    </w:pPr>
    <w:rPr>
      <w:b/>
      <w:kern w:val="28"/>
      <w:sz w:val="24"/>
    </w:rPr>
  </w:style>
  <w:style w:type="paragraph" w:styleId="Heading2">
    <w:name w:val="heading 2"/>
    <w:aliases w:val="Subsection"/>
    <w:basedOn w:val="Normal"/>
    <w:next w:val="spara"/>
    <w:qFormat/>
    <w:rsid w:val="00F940C7"/>
    <w:pPr>
      <w:keepNext/>
      <w:numPr>
        <w:ilvl w:val="1"/>
        <w:numId w:val="19"/>
      </w:numPr>
      <w:spacing w:before="280" w:after="140"/>
      <w:ind w:left="0" w:right="360"/>
      <w:outlineLvl w:val="1"/>
    </w:pPr>
    <w:rPr>
      <w:b/>
      <w:i/>
      <w:sz w:val="24"/>
    </w:rPr>
  </w:style>
  <w:style w:type="paragraph" w:styleId="Heading3">
    <w:name w:val="heading 3"/>
    <w:aliases w:val="Subsubsection"/>
    <w:basedOn w:val="Normal"/>
    <w:next w:val="spara"/>
    <w:qFormat/>
    <w:rsid w:val="00F940C7"/>
    <w:pPr>
      <w:keepNext/>
      <w:keepLines/>
      <w:numPr>
        <w:ilvl w:val="2"/>
        <w:numId w:val="19"/>
      </w:numPr>
      <w:suppressAutoHyphens/>
      <w:spacing w:before="280" w:after="140"/>
      <w:ind w:left="2835" w:right="360"/>
      <w:outlineLvl w:val="2"/>
    </w:pPr>
    <w:rPr>
      <w:i/>
      <w:sz w:val="24"/>
    </w:rPr>
  </w:style>
  <w:style w:type="paragraph" w:styleId="Heading4">
    <w:name w:val="heading 4"/>
    <w:basedOn w:val="Normal"/>
    <w:next w:val="Normal"/>
    <w:qFormat/>
    <w:rsid w:val="00F940C7"/>
    <w:pPr>
      <w:keepNext/>
      <w:spacing w:before="240" w:after="60"/>
      <w:outlineLvl w:val="3"/>
    </w:pPr>
  </w:style>
  <w:style w:type="paragraph" w:styleId="Heading5">
    <w:name w:val="heading 5"/>
    <w:basedOn w:val="Normal"/>
    <w:next w:val="Normal"/>
    <w:qFormat/>
    <w:rsid w:val="00F940C7"/>
    <w:pPr>
      <w:spacing w:before="240" w:after="60"/>
      <w:outlineLvl w:val="4"/>
    </w:pPr>
  </w:style>
  <w:style w:type="paragraph" w:styleId="Heading6">
    <w:name w:val="heading 6"/>
    <w:basedOn w:val="Normal"/>
    <w:next w:val="Normal"/>
    <w:qFormat/>
    <w:rsid w:val="00F940C7"/>
    <w:pPr>
      <w:spacing w:before="240" w:after="60"/>
      <w:outlineLvl w:val="5"/>
    </w:pPr>
    <w:rPr>
      <w:i/>
      <w:sz w:val="22"/>
    </w:rPr>
  </w:style>
  <w:style w:type="paragraph" w:styleId="Heading7">
    <w:name w:val="heading 7"/>
    <w:basedOn w:val="Normal"/>
    <w:next w:val="Normal"/>
    <w:qFormat/>
    <w:rsid w:val="00F940C7"/>
    <w:pPr>
      <w:spacing w:before="240" w:after="60"/>
      <w:outlineLvl w:val="6"/>
    </w:pPr>
  </w:style>
  <w:style w:type="paragraph" w:styleId="Heading8">
    <w:name w:val="heading 8"/>
    <w:basedOn w:val="Normal"/>
    <w:next w:val="Normal"/>
    <w:qFormat/>
    <w:rsid w:val="00F940C7"/>
    <w:pPr>
      <w:spacing w:before="240" w:after="60"/>
      <w:outlineLvl w:val="7"/>
    </w:pPr>
  </w:style>
  <w:style w:type="paragraph" w:styleId="Heading9">
    <w:name w:val="heading 9"/>
    <w:basedOn w:val="Normal"/>
    <w:next w:val="Normal"/>
    <w:qFormat/>
    <w:rsid w:val="00F940C7"/>
    <w:p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para">
    <w:name w:val="spara"/>
    <w:basedOn w:val="Normal"/>
    <w:next w:val="Normal"/>
    <w:rsid w:val="00F940C7"/>
    <w:pPr>
      <w:spacing w:line="300" w:lineRule="exact"/>
      <w:jc w:val="both"/>
    </w:pPr>
    <w:rPr>
      <w:sz w:val="24"/>
    </w:rPr>
  </w:style>
  <w:style w:type="paragraph" w:customStyle="1" w:styleId="TableCaption">
    <w:name w:val="Table Caption"/>
    <w:basedOn w:val="Normal"/>
    <w:autoRedefine/>
    <w:rsid w:val="00F940C7"/>
    <w:pPr>
      <w:spacing w:before="240" w:after="160" w:line="220" w:lineRule="exact"/>
      <w:jc w:val="center"/>
    </w:pPr>
    <w:rPr>
      <w:sz w:val="18"/>
    </w:rPr>
  </w:style>
  <w:style w:type="paragraph" w:styleId="MessageHeader">
    <w:name w:val="Message Header"/>
    <w:basedOn w:val="Normal"/>
    <w:rsid w:val="00F940C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customStyle="1" w:styleId="Author">
    <w:name w:val="Author"/>
    <w:basedOn w:val="Normal"/>
    <w:next w:val="Affiliation"/>
    <w:rsid w:val="00F940C7"/>
    <w:pPr>
      <w:keepNext/>
      <w:keepLines/>
      <w:suppressAutoHyphens/>
      <w:jc w:val="center"/>
    </w:pPr>
    <w:rPr>
      <w:sz w:val="22"/>
    </w:rPr>
  </w:style>
  <w:style w:type="paragraph" w:customStyle="1" w:styleId="Affiliation">
    <w:name w:val="Affiliation"/>
    <w:basedOn w:val="Normal"/>
    <w:next w:val="Abstract"/>
    <w:rsid w:val="00F940C7"/>
    <w:pPr>
      <w:spacing w:before="60" w:after="320"/>
      <w:jc w:val="center"/>
    </w:pPr>
    <w:rPr>
      <w:i/>
      <w:sz w:val="22"/>
    </w:rPr>
  </w:style>
  <w:style w:type="paragraph" w:customStyle="1" w:styleId="Abstract">
    <w:name w:val="Abstract"/>
    <w:basedOn w:val="Normal"/>
    <w:next w:val="Heading1"/>
    <w:rsid w:val="00F940C7"/>
    <w:pPr>
      <w:spacing w:before="120" w:after="120" w:line="260" w:lineRule="atLeast"/>
      <w:ind w:left="360" w:right="360"/>
      <w:jc w:val="both"/>
    </w:pPr>
    <w:rPr>
      <w:sz w:val="22"/>
    </w:rPr>
  </w:style>
  <w:style w:type="paragraph" w:styleId="Title">
    <w:name w:val="Title"/>
    <w:basedOn w:val="Normal"/>
    <w:next w:val="Author"/>
    <w:qFormat/>
    <w:rsid w:val="00F940C7"/>
    <w:pPr>
      <w:keepNext/>
      <w:keepLines/>
      <w:pageBreakBefore/>
      <w:suppressAutoHyphens/>
      <w:spacing w:before="240" w:after="400"/>
      <w:jc w:val="center"/>
    </w:pPr>
    <w:rPr>
      <w:b/>
      <w:caps/>
      <w:kern w:val="28"/>
      <w:sz w:val="24"/>
    </w:rPr>
  </w:style>
  <w:style w:type="paragraph" w:styleId="ListNumber">
    <w:name w:val="List Number"/>
    <w:basedOn w:val="Normal"/>
    <w:autoRedefine/>
    <w:rsid w:val="00F940C7"/>
    <w:pPr>
      <w:numPr>
        <w:numId w:val="15"/>
      </w:numPr>
      <w:spacing w:line="300" w:lineRule="exact"/>
      <w:jc w:val="both"/>
    </w:pPr>
    <w:rPr>
      <w:sz w:val="24"/>
    </w:rPr>
  </w:style>
  <w:style w:type="paragraph" w:styleId="ListBullet">
    <w:name w:val="List Bullet"/>
    <w:basedOn w:val="Normal"/>
    <w:autoRedefine/>
    <w:rsid w:val="00F940C7"/>
    <w:pPr>
      <w:widowControl w:val="0"/>
      <w:numPr>
        <w:numId w:val="20"/>
      </w:numPr>
      <w:tabs>
        <w:tab w:val="clear" w:pos="0"/>
        <w:tab w:val="num" w:pos="360"/>
      </w:tabs>
      <w:spacing w:line="300" w:lineRule="exact"/>
      <w:jc w:val="both"/>
    </w:pPr>
    <w:rPr>
      <w:sz w:val="24"/>
    </w:rPr>
  </w:style>
  <w:style w:type="paragraph" w:styleId="Caption">
    <w:name w:val="caption"/>
    <w:basedOn w:val="Normal"/>
    <w:next w:val="Normal"/>
    <w:qFormat/>
    <w:rsid w:val="00F940C7"/>
    <w:pPr>
      <w:tabs>
        <w:tab w:val="left" w:pos="5490"/>
      </w:tabs>
      <w:spacing w:after="80" w:line="260" w:lineRule="exact"/>
      <w:ind w:left="446" w:right="490"/>
      <w:jc w:val="both"/>
    </w:pPr>
  </w:style>
  <w:style w:type="paragraph" w:styleId="ListNumber2">
    <w:name w:val="List Number 2"/>
    <w:basedOn w:val="Normal"/>
    <w:rsid w:val="00F940C7"/>
    <w:pPr>
      <w:ind w:left="720" w:hanging="360"/>
    </w:pPr>
  </w:style>
  <w:style w:type="paragraph" w:styleId="ListContinue">
    <w:name w:val="List Continue"/>
    <w:basedOn w:val="Normal"/>
    <w:rsid w:val="00F940C7"/>
    <w:pPr>
      <w:ind w:left="360"/>
    </w:pPr>
  </w:style>
  <w:style w:type="paragraph" w:customStyle="1" w:styleId="NonumHead-1">
    <w:name w:val="NonumHead-1"/>
    <w:basedOn w:val="Normal"/>
    <w:next w:val="Normal"/>
    <w:autoRedefine/>
    <w:rsid w:val="00F940C7"/>
    <w:pPr>
      <w:keepNext/>
      <w:suppressAutoHyphens/>
      <w:spacing w:before="240" w:after="120"/>
      <w:ind w:right="360"/>
    </w:pPr>
    <w:rPr>
      <w:b/>
      <w:sz w:val="24"/>
    </w:rPr>
  </w:style>
  <w:style w:type="paragraph" w:customStyle="1" w:styleId="bibitem">
    <w:name w:val="bibitem"/>
    <w:basedOn w:val="ListNumber"/>
    <w:rsid w:val="00F940C7"/>
    <w:pPr>
      <w:numPr>
        <w:numId w:val="16"/>
      </w:numPr>
    </w:pPr>
  </w:style>
  <w:style w:type="paragraph" w:styleId="NormalIndent">
    <w:name w:val="Normal Indent"/>
    <w:basedOn w:val="Normal"/>
    <w:rsid w:val="00F940C7"/>
    <w:pPr>
      <w:ind w:left="720"/>
    </w:pPr>
  </w:style>
  <w:style w:type="paragraph" w:styleId="Header">
    <w:name w:val="header"/>
    <w:basedOn w:val="Normal"/>
    <w:rsid w:val="00F940C7"/>
    <w:pPr>
      <w:tabs>
        <w:tab w:val="center" w:pos="4320"/>
        <w:tab w:val="right" w:pos="8640"/>
      </w:tabs>
    </w:pPr>
  </w:style>
  <w:style w:type="paragraph" w:styleId="Footer">
    <w:name w:val="footer"/>
    <w:basedOn w:val="Normal"/>
    <w:rsid w:val="00F940C7"/>
    <w:pPr>
      <w:tabs>
        <w:tab w:val="center" w:pos="4320"/>
        <w:tab w:val="right" w:pos="8640"/>
      </w:tabs>
    </w:pPr>
  </w:style>
  <w:style w:type="paragraph" w:styleId="PlainText">
    <w:name w:val="Plain Text"/>
    <w:basedOn w:val="Normal"/>
    <w:rsid w:val="00F940C7"/>
    <w:rPr>
      <w:rFonts w:ascii="Courier New" w:hAnsi="Courier New"/>
    </w:rPr>
  </w:style>
  <w:style w:type="paragraph" w:styleId="FootnoteText">
    <w:name w:val="footnote text"/>
    <w:basedOn w:val="Normal"/>
    <w:autoRedefine/>
    <w:semiHidden/>
    <w:rsid w:val="00F940C7"/>
    <w:pPr>
      <w:ind w:left="144" w:hanging="144"/>
    </w:pPr>
  </w:style>
  <w:style w:type="character" w:styleId="FootnoteReference">
    <w:name w:val="footnote reference"/>
    <w:semiHidden/>
    <w:rsid w:val="00F940C7"/>
    <w:rPr>
      <w:vertAlign w:val="superscript"/>
    </w:rPr>
  </w:style>
  <w:style w:type="character" w:styleId="Hyperlink">
    <w:name w:val="Hyperlink"/>
    <w:rsid w:val="00F940C7"/>
    <w:rPr>
      <w:color w:val="0000FF"/>
      <w:u w:val="single"/>
    </w:rPr>
  </w:style>
  <w:style w:type="character" w:styleId="FollowedHyperlink">
    <w:name w:val="FollowedHyperlink"/>
    <w:rsid w:val="00F940C7"/>
    <w:rPr>
      <w:color w:val="800080"/>
      <w:u w:val="single"/>
    </w:rPr>
  </w:style>
  <w:style w:type="character" w:styleId="PageNumber">
    <w:name w:val="page number"/>
    <w:basedOn w:val="DefaultParagraphFont"/>
    <w:rsid w:val="00F940C7"/>
  </w:style>
  <w:style w:type="paragraph" w:styleId="BlockText">
    <w:name w:val="Block Text"/>
    <w:basedOn w:val="Normal"/>
    <w:rsid w:val="00F940C7"/>
    <w:pPr>
      <w:spacing w:after="120"/>
      <w:ind w:left="1440" w:right="1440"/>
    </w:pPr>
  </w:style>
  <w:style w:type="paragraph" w:styleId="BodyText">
    <w:name w:val="Body Text"/>
    <w:basedOn w:val="Normal"/>
    <w:rsid w:val="00F940C7"/>
    <w:pPr>
      <w:spacing w:after="120"/>
    </w:pPr>
  </w:style>
  <w:style w:type="paragraph" w:styleId="BodyTextIndent">
    <w:name w:val="Body Text Indent"/>
    <w:basedOn w:val="Normal"/>
    <w:rsid w:val="00F940C7"/>
    <w:pPr>
      <w:spacing w:after="120"/>
      <w:ind w:left="360"/>
    </w:pPr>
  </w:style>
  <w:style w:type="paragraph" w:styleId="CommentText">
    <w:name w:val="annotation text"/>
    <w:basedOn w:val="Normal"/>
    <w:semiHidden/>
    <w:rsid w:val="00F940C7"/>
  </w:style>
  <w:style w:type="paragraph" w:styleId="Date">
    <w:name w:val="Date"/>
    <w:basedOn w:val="Normal"/>
    <w:next w:val="Normal"/>
    <w:rsid w:val="00F940C7"/>
  </w:style>
  <w:style w:type="paragraph" w:styleId="DocumentMap">
    <w:name w:val="Document Map"/>
    <w:basedOn w:val="Normal"/>
    <w:semiHidden/>
    <w:rsid w:val="00F940C7"/>
    <w:pPr>
      <w:shd w:val="clear" w:color="auto" w:fill="000080"/>
    </w:pPr>
    <w:rPr>
      <w:rFonts w:ascii="Tahoma" w:hAnsi="Tahoma"/>
    </w:rPr>
  </w:style>
  <w:style w:type="paragraph" w:styleId="EndnoteText">
    <w:name w:val="endnote text"/>
    <w:basedOn w:val="Normal"/>
    <w:semiHidden/>
    <w:rsid w:val="00F940C7"/>
  </w:style>
  <w:style w:type="paragraph" w:styleId="Index1">
    <w:name w:val="index 1"/>
    <w:basedOn w:val="Normal"/>
    <w:next w:val="Normal"/>
    <w:autoRedefine/>
    <w:semiHidden/>
    <w:rsid w:val="00F940C7"/>
    <w:pPr>
      <w:ind w:left="200" w:hanging="200"/>
    </w:pPr>
  </w:style>
  <w:style w:type="paragraph" w:styleId="Index2">
    <w:name w:val="index 2"/>
    <w:basedOn w:val="Normal"/>
    <w:next w:val="Normal"/>
    <w:autoRedefine/>
    <w:semiHidden/>
    <w:rsid w:val="00F940C7"/>
    <w:pPr>
      <w:ind w:left="400" w:hanging="200"/>
    </w:pPr>
  </w:style>
  <w:style w:type="paragraph" w:styleId="Index3">
    <w:name w:val="index 3"/>
    <w:basedOn w:val="Normal"/>
    <w:next w:val="Normal"/>
    <w:autoRedefine/>
    <w:semiHidden/>
    <w:rsid w:val="00F940C7"/>
    <w:pPr>
      <w:ind w:left="600" w:hanging="200"/>
    </w:pPr>
  </w:style>
  <w:style w:type="paragraph" w:styleId="Index4">
    <w:name w:val="index 4"/>
    <w:basedOn w:val="Normal"/>
    <w:next w:val="Normal"/>
    <w:autoRedefine/>
    <w:semiHidden/>
    <w:rsid w:val="00F940C7"/>
    <w:pPr>
      <w:ind w:left="800" w:hanging="200"/>
    </w:pPr>
  </w:style>
  <w:style w:type="paragraph" w:styleId="Index5">
    <w:name w:val="index 5"/>
    <w:basedOn w:val="Normal"/>
    <w:next w:val="Normal"/>
    <w:autoRedefine/>
    <w:semiHidden/>
    <w:rsid w:val="00F940C7"/>
    <w:pPr>
      <w:ind w:left="1000" w:hanging="200"/>
    </w:pPr>
  </w:style>
  <w:style w:type="paragraph" w:styleId="Index6">
    <w:name w:val="index 6"/>
    <w:basedOn w:val="Normal"/>
    <w:next w:val="Normal"/>
    <w:autoRedefine/>
    <w:semiHidden/>
    <w:rsid w:val="00F940C7"/>
    <w:pPr>
      <w:ind w:left="1200" w:hanging="200"/>
    </w:pPr>
  </w:style>
  <w:style w:type="paragraph" w:styleId="Index7">
    <w:name w:val="index 7"/>
    <w:basedOn w:val="Normal"/>
    <w:next w:val="Normal"/>
    <w:autoRedefine/>
    <w:semiHidden/>
    <w:rsid w:val="00F940C7"/>
    <w:pPr>
      <w:ind w:left="1400" w:hanging="200"/>
    </w:pPr>
  </w:style>
  <w:style w:type="paragraph" w:styleId="Index8">
    <w:name w:val="index 8"/>
    <w:basedOn w:val="Normal"/>
    <w:next w:val="Normal"/>
    <w:autoRedefine/>
    <w:semiHidden/>
    <w:rsid w:val="00F940C7"/>
    <w:pPr>
      <w:ind w:left="1600" w:hanging="200"/>
    </w:pPr>
  </w:style>
  <w:style w:type="paragraph" w:styleId="Index9">
    <w:name w:val="index 9"/>
    <w:basedOn w:val="Normal"/>
    <w:next w:val="Normal"/>
    <w:autoRedefine/>
    <w:semiHidden/>
    <w:rsid w:val="00F940C7"/>
    <w:pPr>
      <w:ind w:left="1800" w:hanging="200"/>
    </w:pPr>
  </w:style>
  <w:style w:type="paragraph" w:styleId="IndexHeading">
    <w:name w:val="index heading"/>
    <w:basedOn w:val="Normal"/>
    <w:next w:val="Index1"/>
    <w:semiHidden/>
    <w:rsid w:val="00F940C7"/>
    <w:rPr>
      <w:rFonts w:ascii="Arial" w:hAnsi="Arial"/>
      <w:b/>
    </w:rPr>
  </w:style>
  <w:style w:type="paragraph" w:customStyle="1" w:styleId="StyleHeading1SectionBefore0pt">
    <w:name w:val="Style Heading 1Section + Before:  0 pt"/>
    <w:basedOn w:val="Heading1"/>
    <w:autoRedefine/>
    <w:rsid w:val="00F940C7"/>
    <w:pPr>
      <w:numPr>
        <w:numId w:val="22"/>
      </w:numPr>
      <w:spacing w:before="0"/>
    </w:pPr>
    <w:rPr>
      <w:bCs/>
    </w:rPr>
  </w:style>
  <w:style w:type="paragraph" w:styleId="MacroText">
    <w:name w:val="macro"/>
    <w:semiHidden/>
    <w:rsid w:val="00F940C7"/>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oteHeading">
    <w:name w:val="Note Heading"/>
    <w:basedOn w:val="Normal"/>
    <w:next w:val="Normal"/>
    <w:rsid w:val="00F940C7"/>
  </w:style>
  <w:style w:type="paragraph" w:styleId="TableofAuthorities">
    <w:name w:val="table of authorities"/>
    <w:basedOn w:val="Normal"/>
    <w:next w:val="Normal"/>
    <w:semiHidden/>
    <w:rsid w:val="00F940C7"/>
    <w:pPr>
      <w:ind w:left="200" w:hanging="200"/>
    </w:pPr>
  </w:style>
  <w:style w:type="paragraph" w:styleId="TableofFigures">
    <w:name w:val="table of figures"/>
    <w:basedOn w:val="Normal"/>
    <w:next w:val="Normal"/>
    <w:semiHidden/>
    <w:rsid w:val="00F940C7"/>
    <w:pPr>
      <w:ind w:left="400" w:hanging="400"/>
    </w:pPr>
  </w:style>
  <w:style w:type="paragraph" w:styleId="TOAHeading">
    <w:name w:val="toa heading"/>
    <w:basedOn w:val="Normal"/>
    <w:next w:val="Normal"/>
    <w:semiHidden/>
    <w:rsid w:val="00F940C7"/>
    <w:pPr>
      <w:spacing w:before="120"/>
    </w:pPr>
    <w:rPr>
      <w:rFonts w:ascii="Arial" w:hAnsi="Arial"/>
      <w:b/>
      <w:sz w:val="24"/>
    </w:rPr>
  </w:style>
  <w:style w:type="paragraph" w:styleId="TOC1">
    <w:name w:val="toc 1"/>
    <w:basedOn w:val="Normal"/>
    <w:next w:val="Normal"/>
    <w:autoRedefine/>
    <w:semiHidden/>
    <w:rsid w:val="00F940C7"/>
  </w:style>
  <w:style w:type="paragraph" w:styleId="TOC2">
    <w:name w:val="toc 2"/>
    <w:basedOn w:val="Normal"/>
    <w:next w:val="Normal"/>
    <w:autoRedefine/>
    <w:semiHidden/>
    <w:rsid w:val="00F940C7"/>
    <w:pPr>
      <w:ind w:left="200"/>
    </w:pPr>
  </w:style>
  <w:style w:type="paragraph" w:styleId="TOC3">
    <w:name w:val="toc 3"/>
    <w:basedOn w:val="Normal"/>
    <w:next w:val="Normal"/>
    <w:autoRedefine/>
    <w:semiHidden/>
    <w:rsid w:val="00F940C7"/>
    <w:pPr>
      <w:ind w:left="400"/>
    </w:pPr>
  </w:style>
  <w:style w:type="paragraph" w:customStyle="1" w:styleId="Equation">
    <w:name w:val="Equation"/>
    <w:basedOn w:val="Normal"/>
    <w:next w:val="Normal"/>
    <w:autoRedefine/>
    <w:qFormat/>
    <w:rsid w:val="00F940C7"/>
    <w:pPr>
      <w:tabs>
        <w:tab w:val="center" w:pos="4752"/>
        <w:tab w:val="right" w:pos="9504"/>
      </w:tabs>
      <w:autoSpaceDE w:val="0"/>
      <w:autoSpaceDN w:val="0"/>
      <w:spacing w:before="140" w:after="140"/>
    </w:pPr>
    <w:rPr>
      <w:sz w:val="24"/>
    </w:rPr>
  </w:style>
  <w:style w:type="paragraph" w:customStyle="1" w:styleId="TextIndent">
    <w:name w:val="Text Indent"/>
    <w:rsid w:val="00F940C7"/>
    <w:pPr>
      <w:spacing w:line="300" w:lineRule="exact"/>
      <w:ind w:firstLine="360"/>
      <w:jc w:val="both"/>
    </w:pPr>
    <w:rPr>
      <w:sz w:val="24"/>
    </w:rPr>
  </w:style>
  <w:style w:type="paragraph" w:customStyle="1" w:styleId="Table">
    <w:name w:val="Table"/>
    <w:basedOn w:val="Normal"/>
    <w:autoRedefine/>
    <w:rsid w:val="00F940C7"/>
    <w:pPr>
      <w:spacing w:line="240" w:lineRule="exact"/>
      <w:ind w:left="-86" w:right="-144"/>
    </w:pPr>
  </w:style>
  <w:style w:type="paragraph" w:customStyle="1" w:styleId="Text">
    <w:name w:val="Text"/>
    <w:basedOn w:val="Normal"/>
    <w:autoRedefine/>
    <w:rsid w:val="00F940C7"/>
    <w:pPr>
      <w:tabs>
        <w:tab w:val="right" w:pos="4500"/>
      </w:tabs>
      <w:spacing w:line="260" w:lineRule="exact"/>
      <w:jc w:val="both"/>
    </w:pPr>
  </w:style>
  <w:style w:type="paragraph" w:customStyle="1" w:styleId="AList">
    <w:name w:val="AList"/>
    <w:basedOn w:val="Normal"/>
    <w:autoRedefine/>
    <w:rsid w:val="00F940C7"/>
    <w:pPr>
      <w:numPr>
        <w:numId w:val="14"/>
      </w:numPr>
      <w:tabs>
        <w:tab w:val="clear" w:pos="0"/>
        <w:tab w:val="left" w:pos="360"/>
      </w:tabs>
      <w:spacing w:line="260" w:lineRule="exact"/>
      <w:jc w:val="both"/>
    </w:pPr>
    <w:rPr>
      <w:lang w:eastAsia="ja-JP"/>
    </w:rPr>
  </w:style>
  <w:style w:type="paragraph" w:customStyle="1" w:styleId="StyleHeading2SubsectionBefore0pt">
    <w:name w:val="Style Heading 2Subsection + Before:  0 pt"/>
    <w:basedOn w:val="Heading2"/>
    <w:autoRedefine/>
    <w:rsid w:val="00F940C7"/>
    <w:pPr>
      <w:numPr>
        <w:numId w:val="22"/>
      </w:numPr>
      <w:spacing w:before="0"/>
    </w:pPr>
    <w:rPr>
      <w:bCs/>
      <w:iCs/>
    </w:rPr>
  </w:style>
  <w:style w:type="paragraph" w:styleId="BalloonText">
    <w:name w:val="Balloon Text"/>
    <w:basedOn w:val="Normal"/>
    <w:semiHidden/>
    <w:rsid w:val="00F940C7"/>
    <w:rPr>
      <w:rFonts w:ascii="Helvetica" w:hAnsi="Helvetica"/>
      <w:sz w:val="16"/>
      <w:szCs w:val="16"/>
    </w:rPr>
  </w:style>
  <w:style w:type="paragraph" w:styleId="NormalWeb">
    <w:name w:val="Normal (Web)"/>
    <w:basedOn w:val="Normal"/>
    <w:uiPriority w:val="99"/>
    <w:unhideWhenUsed/>
    <w:rsid w:val="007D115F"/>
    <w:pPr>
      <w:spacing w:before="100" w:beforeAutospacing="1" w:after="100" w:afterAutospacing="1"/>
    </w:pPr>
    <w:rPr>
      <w:sz w:val="24"/>
      <w:szCs w:val="24"/>
      <w:lang w:val="en-CA" w:eastAsia="zh-CN"/>
    </w:rPr>
  </w:style>
  <w:style w:type="character" w:styleId="PlaceholderText">
    <w:name w:val="Placeholder Text"/>
    <w:basedOn w:val="DefaultParagraphFont"/>
    <w:uiPriority w:val="99"/>
    <w:semiHidden/>
    <w:rsid w:val="00E370FA"/>
    <w:rPr>
      <w:color w:val="666666"/>
    </w:rPr>
  </w:style>
  <w:style w:type="character" w:styleId="HTMLCode">
    <w:name w:val="HTML Code"/>
    <w:basedOn w:val="DefaultParagraphFont"/>
    <w:uiPriority w:val="99"/>
    <w:unhideWhenUsed/>
    <w:rsid w:val="001D4C91"/>
    <w:rPr>
      <w:rFonts w:ascii="Courier New" w:eastAsia="Times New Roman" w:hAnsi="Courier New" w:cs="Courier New"/>
      <w:sz w:val="20"/>
      <w:szCs w:val="20"/>
    </w:rPr>
  </w:style>
  <w:style w:type="paragraph" w:customStyle="1" w:styleId="isselectedend">
    <w:name w:val="isselectedend"/>
    <w:basedOn w:val="Normal"/>
    <w:rsid w:val="00874AE8"/>
    <w:pPr>
      <w:spacing w:before="100" w:beforeAutospacing="1" w:after="100" w:afterAutospacing="1"/>
    </w:pPr>
    <w:rPr>
      <w:rFonts w:eastAsia="Times New Roman"/>
      <w:sz w:val="24"/>
      <w:szCs w:val="24"/>
      <w:lang w:val="en-CA" w:eastAsia="zh-CN"/>
    </w:rPr>
  </w:style>
  <w:style w:type="paragraph" w:styleId="Bibliography">
    <w:name w:val="Bibliography"/>
    <w:basedOn w:val="Normal"/>
    <w:next w:val="Normal"/>
    <w:uiPriority w:val="37"/>
    <w:unhideWhenUsed/>
    <w:rsid w:val="00D718BA"/>
    <w:pPr>
      <w:tabs>
        <w:tab w:val="left" w:pos="260"/>
      </w:tabs>
      <w:spacing w:line="480" w:lineRule="auto"/>
      <w:ind w:left="264" w:hanging="264"/>
    </w:pPr>
  </w:style>
  <w:style w:type="table" w:styleId="TableGrid">
    <w:name w:val="Table Grid"/>
    <w:basedOn w:val="TableNormal"/>
    <w:rsid w:val="008858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E76FA-F63E-42BD-B5CB-3F904E39C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10306</Words>
  <Characters>61838</Characters>
  <Application>Microsoft Office Word</Application>
  <DocSecurity>0</DocSecurity>
  <Lines>1166</Lines>
  <Paragraphs>819</Paragraphs>
  <ScaleCrop>false</ScaleCrop>
  <HeadingPairs>
    <vt:vector size="2" baseType="variant">
      <vt:variant>
        <vt:lpstr>Title</vt:lpstr>
      </vt:variant>
      <vt:variant>
        <vt:i4>1</vt:i4>
      </vt:variant>
    </vt:vector>
  </HeadingPairs>
  <TitlesOfParts>
    <vt:vector size="1" baseType="lpstr">
      <vt:lpstr>ws-procs11x8.5</vt:lpstr>
    </vt:vector>
  </TitlesOfParts>
  <Company>World Scientific Publishing</Company>
  <LinksUpToDate>false</LinksUpToDate>
  <CharactersWithSpaces>71325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ws-procs11x8.5</dc:title>
  <dc:subject/>
  <dc:creator>Rajesh</dc:creator>
  <cp:keywords/>
  <dc:description/>
  <cp:lastModifiedBy>Luo Ping</cp:lastModifiedBy>
  <cp:revision>3</cp:revision>
  <cp:lastPrinted>2026-08-01T02:23:00Z</cp:lastPrinted>
  <dcterms:created xsi:type="dcterms:W3CDTF">2026-08-01T02:23:00Z</dcterms:created>
  <dcterms:modified xsi:type="dcterms:W3CDTF">2026-08-01T02:23:00Z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d8583f628ed76a1bdea83d977dafb00dbc03d3a93bf8c64edce608ab2d6d6442</vt:lpwstr>
  </property>
  <property fmtid="{D5CDD505-2E9C-101B-9397-08002B2CF9AE}" pid="3" name="ZOTERO_PREF_1">
    <vt:lpwstr>&lt;data data-version="3" zotero-version="9.0.6"&gt;&lt;session id="OJFSbXPM"/&gt;&lt;style id="http://www.zotero.org/styles/nature" hasBibliography="1" bibliographyStyleHasBeenSet="1"/&gt;&lt;prefs&gt;&lt;pref name="fieldType" value="Field"/&gt;&lt;pref name="automaticJournalAbbreviatio</vt:lpwstr>
  </property>
  <property fmtid="{D5CDD505-2E9C-101B-9397-08002B2CF9AE}" pid="4" name="ZOTERO_PREF_2">
    <vt:lpwstr>ns" value="true"/&gt;&lt;/prefs&gt;&lt;/data&gt;</vt:lpwstr>
  </property>
</Properties>
</file>