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Orville</w:t>
      </w:r>
      <w:r>
        <w:t xml:space="preserve"> </w:t>
      </w:r>
      <w:r>
        <w:t xml:space="preserve">D.</w:t>
      </w:r>
      <w:r>
        <w:t xml:space="preserve"> </w:t>
      </w:r>
      <w:r>
        <w:t xml:space="preserve">Hombrebueno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sentation-of-cases"/>
      <w:r>
        <w:t xml:space="preserve">Presentation of Cases</w:t>
      </w:r>
      <w:bookmarkEnd w:id="21"/>
    </w:p>
    <w:p>
      <w:pPr>
        <w:pStyle w:val="FirstParagraph"/>
      </w:pPr>
      <w:r>
        <w:t xml:space="preserve">Reston &amp; Bersales (2011)</w:t>
      </w:r>
    </w:p>
    <w:p>
      <w:pPr>
        <w:pStyle w:val="BodyText"/>
      </w:pPr>
      <w:r>
        <w:t xml:space="preserve">Watson (2011)</w:t>
      </w:r>
      <w:r>
        <w:t xml:space="preserve"> </w:t>
      </w:r>
      <w:r>
        <w:t xml:space="preserve">Franklin et al. (2007)</w:t>
      </w:r>
      <w:r>
        <w:t xml:space="preserve"> </w:t>
      </w:r>
      <w:r>
        <w:t xml:space="preserve">GAISE College Report ASA Revision Committee (2016)</w:t>
      </w:r>
    </w:p>
    <w:p>
      <w:pPr>
        <w:pStyle w:val="Heading1"/>
      </w:pPr>
      <w:bookmarkStart w:id="22" w:name="summary-and-conclusion"/>
      <w:r>
        <w:t xml:space="preserve">Summary and Conclusion</w:t>
      </w:r>
      <w:bookmarkEnd w:id="22"/>
    </w:p>
    <w:p>
      <w:pPr>
        <w:pStyle w:val="Heading1"/>
      </w:pPr>
      <w:bookmarkStart w:id="23" w:name="references"/>
      <w:r>
        <w:t xml:space="preserve">References</w:t>
      </w:r>
      <w:bookmarkEnd w:id="23"/>
    </w:p>
    <w:bookmarkStart w:id="31" w:name="refs"/>
    <w:bookmarkStart w:id="24" w:name="ref-franklin07"/>
    <w:p>
      <w:pPr>
        <w:pStyle w:val="Bibliography"/>
      </w:pPr>
      <w:r>
        <w:t xml:space="preserve">Franklin, C., Kader, G., Mewborn, D. S., Moreno, J., Peck, R., Perry, M., &amp; Scheaffer, R. (2007).</w:t>
      </w:r>
      <w:r>
        <w:t xml:space="preserve"> </w:t>
      </w:r>
      <w:r>
        <w:rPr>
          <w:i/>
        </w:rPr>
        <w:t xml:space="preserve">Guidelines for assessment and instruction in statistics education (GAISE) report: A pre-k-12 curriculum framework</w:t>
      </w:r>
      <w:r>
        <w:t xml:space="preserve">. Alexandria, VA: American Statistical Association.</w:t>
      </w:r>
    </w:p>
    <w:bookmarkEnd w:id="24"/>
    <w:bookmarkStart w:id="26" w:name="ref-GCR16"/>
    <w:p>
      <w:pPr>
        <w:pStyle w:val="Bibliography"/>
      </w:pPr>
      <w:r>
        <w:t xml:space="preserve">GAISE College Report ASA Revision Committee. (2016). Guidelines for Assessment and Instruction in Statistics Education College Report 2016. Retrieved July 13, 2019, from</w:t>
      </w:r>
      <w:r>
        <w:t xml:space="preserve"> </w:t>
      </w:r>
      <w:hyperlink r:id="rId25">
        <w:r>
          <w:rPr>
            <w:rStyle w:val="Hyperlink"/>
          </w:rPr>
          <w:t xml:space="preserve">http://www.amstat.org/education/gaise</w:t>
        </w:r>
      </w:hyperlink>
    </w:p>
    <w:bookmarkEnd w:id="26"/>
    <w:bookmarkStart w:id="28" w:name="ref-reston11"/>
    <w:p>
      <w:pPr>
        <w:pStyle w:val="Bibliography"/>
      </w:pPr>
      <w:r>
        <w:t xml:space="preserve">Reston, E., &amp; Bersales, L. G. (2011). Reform efforts in training statistics teachers in the philippines: Challenges and prospects. In C. Batanero, G. Burrill, &amp; C. Reading (Eds.),</w:t>
      </w:r>
      <w:r>
        <w:t xml:space="preserve"> </w:t>
      </w:r>
      <w:r>
        <w:rPr>
          <w:i/>
        </w:rPr>
        <w:t xml:space="preserve">Teaching statistics in school mathematics-challenges for teaching and teacher education: A joint ICMI/IASE study</w:t>
      </w:r>
      <w:r>
        <w:t xml:space="preserve"> </w:t>
      </w:r>
      <w:r>
        <w:t xml:space="preserve">(pp. 41–45). Springer Science+Business Media B.V.</w:t>
      </w:r>
      <w:r>
        <w:t xml:space="preserve"> </w:t>
      </w:r>
      <w:hyperlink r:id="rId27">
        <w:r>
          <w:rPr>
            <w:rStyle w:val="Hyperlink"/>
          </w:rPr>
          <w:t xml:space="preserve">https://doi.org/10.1007/978-94-007-1131-0_8</w:t>
        </w:r>
      </w:hyperlink>
    </w:p>
    <w:bookmarkEnd w:id="28"/>
    <w:bookmarkStart w:id="30" w:name="ref-watson11"/>
    <w:p>
      <w:pPr>
        <w:pStyle w:val="Bibliography"/>
      </w:pPr>
      <w:r>
        <w:t xml:space="preserve">Watson, J. M. (2011). Foundations for improving statistical literacy.</w:t>
      </w:r>
      <w:r>
        <w:t xml:space="preserve"> </w:t>
      </w:r>
      <w:r>
        <w:rPr>
          <w:i/>
        </w:rPr>
        <w:t xml:space="preserve">Statistical Journal of the IAOS</w:t>
      </w:r>
      <w:r>
        <w:t xml:space="preserve">,</w:t>
      </w:r>
      <w:r>
        <w:t xml:space="preserve"> </w:t>
      </w:r>
      <w:r>
        <w:rPr>
          <w:i/>
        </w:rPr>
        <w:t xml:space="preserve">27</w:t>
      </w:r>
      <w:r>
        <w:t xml:space="preserve">, 197–204.</w:t>
      </w:r>
      <w:r>
        <w:t xml:space="preserve"> </w:t>
      </w:r>
      <w:hyperlink r:id="rId29">
        <w:r>
          <w:rPr>
            <w:rStyle w:val="Hyperlink"/>
          </w:rPr>
          <w:t xml:space="preserve">https://doi.org/10.3233/SJI20110728</w:t>
        </w:r>
      </w:hyperlink>
    </w:p>
    <w:bookmarkEnd w:id="30"/>
    <w:bookmarkEnd w:id="31"/>
    <w:sectPr w:rsidR="00B844E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2536EF9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DC566F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94D2B4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60433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A9827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5929F2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F3CB4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64086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05E0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6E41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201D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F754FF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83C4D1E"/>
    <w:multiLevelType w:val="hybridMultilevel"/>
    <w:tmpl w:val="6A524856"/>
    <w:lvl w:ilvl="0" w:tplc="816A387C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  <w:num w:numId="14">
    <w:abstractNumId w:val="3"/>
  </w:num>
  <w:num w:numId="15">
    <w:abstractNumId w:val="2"/>
  </w:num>
  <w:num w:numId="16">
    <w:abstractNumId w:val="1"/>
  </w:num>
  <w:num w:numId="17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6F6D"/>
    <w:pPr>
      <w:spacing w:line="48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C37EE4"/>
    <w:pPr>
      <w:keepNext/>
      <w:keepLines/>
      <w:pageBreakBefore/>
      <w:numPr>
        <w:numId w:val="1"/>
      </w:numPr>
      <w:spacing w:after="0"/>
      <w:outlineLvl w:val="0"/>
    </w:pPr>
    <w:rPr>
      <w:rFonts w:eastAsiaTheme="majorEastAsia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481F48"/>
    <w:pPr>
      <w:keepNext/>
      <w:keepLines/>
      <w:spacing w:before="240" w:after="0"/>
      <w:outlineLvl w:val="1"/>
    </w:pPr>
    <w:rPr>
      <w:rFonts w:eastAsiaTheme="majorEastAsia" w:cs="Times New Roman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481F48"/>
    <w:pPr>
      <w:keepNext/>
      <w:keepLines/>
      <w:spacing w:before="24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81F48"/>
    <w:pPr>
      <w:keepNext/>
      <w:keepLines/>
      <w:spacing w:before="24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4519F"/>
    <w:pPr>
      <w:spacing w:before="180" w:after="180"/>
      <w:ind w:firstLine="720"/>
    </w:pPr>
    <w:rPr>
      <w:rFonts w:cs="Times New Roman"/>
    </w:rPr>
  </w:style>
  <w:style w:type="paragraph" w:customStyle="1" w:styleId="FirstParagraph">
    <w:name w:val="First Paragraph"/>
    <w:basedOn w:val="BodyText"/>
    <w:next w:val="BodyText"/>
    <w:qFormat/>
    <w:rsid w:val="00A4519F"/>
  </w:style>
  <w:style w:type="paragraph" w:customStyle="1" w:styleId="Compact">
    <w:name w:val="Compact"/>
    <w:basedOn w:val="BodyText"/>
    <w:qFormat/>
    <w:rsid w:val="00B91156"/>
    <w:pPr>
      <w:spacing w:before="36" w:after="36" w:line="240" w:lineRule="auto"/>
      <w:ind w:firstLine="0"/>
      <w:jc w:val="right"/>
    </w:pPr>
  </w:style>
  <w:style w:type="paragraph" w:styleId="Title">
    <w:name w:val="Title"/>
    <w:basedOn w:val="Normal"/>
    <w:next w:val="BodyText"/>
    <w:qFormat/>
    <w:rsid w:val="004369D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A4519F"/>
    <w:pPr>
      <w:ind w:left="720" w:hanging="720"/>
    </w:pPr>
    <w:rPr>
      <w:rFonts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B2DAC"/>
    <w:tblPr>
      <w:jc w:val="center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A4519F"/>
    <w:rPr>
      <w:rFonts w:ascii="Times New Roman" w:hAnsi="Times New Roman" w:cs="Times New Roman"/>
    </w:rPr>
  </w:style>
  <w:style w:type="table" w:styleId="PlainTable2">
    <w:name w:val="Plain Table 2"/>
    <w:basedOn w:val="TableNormal"/>
    <w:rsid w:val="00775D2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rsid w:val="00775D2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rsid w:val="00775D2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rsid w:val="00775D2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rsid w:val="00775D25"/>
    <w:pPr>
      <w:spacing w:after="0"/>
    </w:p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blStylePr w:type="firstRow">
      <w:rPr>
        <w:b/>
      </w:rPr>
    </w:tblStylePr>
  </w:style>
  <w:style w:type="table" w:styleId="TableGridLight">
    <w:name w:val="Grid Table Light"/>
    <w:basedOn w:val="TableNormal"/>
    <w:rsid w:val="003F599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1Light">
    <w:name w:val="List Table 1 Light"/>
    <w:basedOn w:val="TableNormal"/>
    <w:uiPriority w:val="46"/>
    <w:rsid w:val="00FA010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rsid w:val="00896F6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43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369DE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436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369DE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www.amstat.org/education/gaise" TargetMode="External" /><Relationship Type="http://schemas.openxmlformats.org/officeDocument/2006/relationships/hyperlink" Id="rId27" Target="https://doi.org/10.1007/978-94-007-1131-0_8" TargetMode="External" /><Relationship Type="http://schemas.openxmlformats.org/officeDocument/2006/relationships/hyperlink" Id="rId29" Target="https://doi.org/10.3233/SJI201107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amstat.org/education/gaise" TargetMode="External" /><Relationship Type="http://schemas.openxmlformats.org/officeDocument/2006/relationships/hyperlink" Id="rId27" Target="https://doi.org/10.1007/978-94-007-1131-0_8" TargetMode="External" /><Relationship Type="http://schemas.openxmlformats.org/officeDocument/2006/relationships/hyperlink" Id="rId29" Target="https://doi.org/10.3233/SJI201107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Comparison of Statistics Education in the K to 12 Curriculum of the Philippines and the F to 10 and Senior Secondary Curriculum of Australia</vt:lpstr>
    </vt:vector>
  </TitlesOfParts>
  <Company/>
  <LinksUpToDate>false</LinksUpToDate>
  <CharactersWithSpaces>19486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Orville D. Hombrebueno</dc:creator>
  <cp:keywords/>
  <dcterms:created xsi:type="dcterms:W3CDTF">2019-07-17T20:45:07Z</dcterms:created>
  <dcterms:modified xsi:type="dcterms:W3CDTF">2019-07-17T20:45:07Z</dcterms:modified>
</cp:coreProperties>
</file>