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Recognizing that statistical information produced by an increasing number of public agencies and private organizations play an essential role in enabling citizens to develop awareness and capability to react intelligently and critically to various social, political, economic phenomena,</w:t>
      </w:r>
      <w:r>
        <w:t xml:space="preserve"> </w:t>
      </w:r>
      <w:r>
        <w:t xml:space="preserve">Reston, Piramide, &amp; Loquias (2016)</w:t>
      </w:r>
      <w:r>
        <w:t xml:space="preserve"> </w:t>
      </w:r>
      <w:r>
        <w:t xml:space="preserve">argues that relevance of the social context is an important consideration in choosing real data for teaching statistical concepts and processes. Moreover, the Philippines has just implemented its K to 12 curriculum in 2012. Statistics and Probability is a content strand under the mathematics curriculum for Kinder up to Grade 10 and taught in spiral progression. Nonetheless, in the senior high school mathematics curriculum, there is a stand alone Statistics and Probability core subject with 80 hours time allotment. Responding to the challenge of implementing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we live.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Jala &amp; Reston (2010)</w:t>
      </w:r>
    </w:p>
    <w:p>
      <w:pPr>
        <w:pStyle w:val="BodyText"/>
      </w:pPr>
      <w:r>
        <w:t xml:space="preserve">Reston &amp; Jala (2014)</w:t>
      </w:r>
    </w:p>
    <w:p>
      <w:pPr>
        <w:pStyle w:val="BodyText"/>
      </w:pPr>
      <w:r>
        <w:t xml:space="preserve">Reston (2013)</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8"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6"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6"/>
    <w:bookmarkStart w:id="27"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7"/>
    <w:bookmarkStart w:id="28"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8"/>
    <w:bookmarkStart w:id="29"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9"/>
    <w:bookmarkStart w:id="31"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0">
        <w:r>
          <w:rPr>
            <w:rStyle w:val="Hyperlink"/>
          </w:rPr>
          <w:t xml:space="preserve">https://escholarship.org/uc/item/3h94p560</w:t>
        </w:r>
      </w:hyperlink>
    </w:p>
    <w:bookmarkEnd w:id="31"/>
    <w:bookmarkStart w:id="32"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2"/>
    <w:bookmarkStart w:id="33"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3"/>
    <w:bookmarkStart w:id="34" w:name="ref-reston14"/>
    <w:p>
      <w:pPr>
        <w:pStyle w:val="Bibliography"/>
      </w:pPr>
      <w:r>
        <w:t xml:space="preserve">Reston, E., &amp; Jala, L. L. (2014). Sustaining capacity for teaching.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4"/>
    <w:bookmarkStart w:id="35"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7"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6">
        <w:r>
          <w:rPr>
            <w:rStyle w:val="Hyperlink"/>
          </w:rPr>
          <w:t xml:space="preserve">https://doi.org/10.3233/SJI20110728</w:t>
        </w:r>
      </w:hyperlink>
    </w:p>
    <w:bookmarkEnd w:id="37"/>
    <w:bookmarkEnd w:id="38"/>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2019-07-24T16:17:47Z</dcterms:created>
  <dcterms:modified xsi:type="dcterms:W3CDTF">2019-07-24T16:17:47Z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