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53.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AutoRegressive Integrated Moving Average (ARIMA) and Exponential Smoothing (ETS) models through time series cross-validation to the monthly prices of each vegetable in Nueva Vizcaya from 2017-2023.</w:t>
      </w:r>
    </w:p>
    <w:p>
      <w:pPr>
        <w:numPr>
          <w:ilvl w:val="0"/>
          <w:numId w:val="1001"/>
        </w:numPr>
      </w:pPr>
      <w:r>
        <w:t xml:space="preserve">Evaluate the performance of ARIMA and ETS models and determine the best model to forecast monthly prices for each vegetable in Nueva Vizcaya.</w:t>
      </w:r>
    </w:p>
    <w:p>
      <w:pPr>
        <w:numPr>
          <w:ilvl w:val="0"/>
          <w:numId w:val="1001"/>
        </w:numPr>
      </w:pPr>
      <w:r>
        <w:t xml:space="preserve">Use either the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would focus on forecasting the monthly prices of vegetables in NVAT, Bambang, Nueva Vizcaya. The researchers would use 5 years available time series of vegetable prices from NVAT. From this data, monthly time series of prices for each vegetable would be described. ARIMA and ETS models would then be fitted to the data using automatic algorithms 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pPr>
        <w:pStyle w:val="BodyText"/>
      </w:pPr>
      <w:r>
        <w:t xml:space="preserve">The researchers would not make adjustments and transformations to the data. Model specifications would not be set either, as this process would be performed automatically using default settings. All computations and visualizations would be performed in the R programming language</w:t>
      </w:r>
      <w:r>
        <w:t xml:space="preserve"> </w:t>
      </w:r>
      <w:r>
        <w:t xml:space="preserve">(R Core Team, 2023)</w:t>
      </w:r>
      <w:r>
        <w:t xml:space="preserve">. Moreover, external variables impacting vegetable prices would not be investigated nor would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 are ARIMA and/or ETS models and their corresponding monthly forecasts. Under process, time series analysis was carried out using automatic algorithms and time series cross-validation to generate different optimal ARIMA and ETS models for each vegetable. From this, the final model for each vegetable were determined by comparing point forecast accuracy measures. Also, portmanteau test of residuals were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five (5) years.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be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was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and compared to determine the best model for each vegetable. The model with lower point forecast accuracy measures was selected as the best model for each vegetable.</w:t>
      </w:r>
    </w:p>
    <w:p>
      <w:pPr>
        <w:pStyle w:val="BodyText"/>
      </w:pPr>
      <w:r>
        <w:t xml:space="preserve">Furthermore, a portmanteau test in the form of the Ljung-Box test was computed for the best model for each vegetable. This allowed the researchers to describe the performance of the best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best models were used to forecast monthly vegetable prices in Nueva Vizcaya.</w:t>
      </w:r>
    </w:p>
    <w:bookmarkEnd w:id="50"/>
    <w:bookmarkEnd w:id="51"/>
    <w:bookmarkEnd w:id="52"/>
    <w:bookmarkStart w:id="78" w:name="chapter-iv"/>
    <w:p>
      <w:pPr>
        <w:pStyle w:val="Heading1"/>
      </w:pPr>
      <w:r>
        <w:t xml:space="preserve">CHAPTER IV</w:t>
      </w:r>
    </w:p>
    <w:bookmarkStart w:id="77"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544151"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by trend not considering seasonality. On the other hand, it has a seasonal strength of 0.62, showing that 62% of the time series is accounted by seasonality not considering trend. Its peak is in September and its trough is in January.</w:t>
      </w:r>
    </w:p>
    <w:p>
      <w:pPr>
        <w:pStyle w:val="BodyText"/>
      </w:pPr>
      <w:r>
        <w:t xml:space="preserve">The cabbage time series has a trend strength of 0.2, showing that 20% of the time series is accounted by trend not considering seasonality. On the other hand, it has a seasonal strength of 0.18, showing that 18% of the time series is accounted by seasonality not considering trend. Its peak is in September and its trough is in March.</w:t>
      </w:r>
    </w:p>
    <w:p>
      <w:pPr>
        <w:pStyle w:val="BodyText"/>
      </w:pPr>
      <w:r>
        <w:t xml:space="preserve">The carrot time series has a trend strength of 0.35, showing that 35% of the time series is accounted by trend not considering seasonality. On the other hand, it has a seasonal strength of 0.4, showing that 40% of the time series is accounted by seasonality not considering trend. Its peak is in August and its trough is in May.</w:t>
      </w:r>
    </w:p>
    <w:p>
      <w:pPr>
        <w:pStyle w:val="BodyText"/>
      </w:pPr>
      <w:r>
        <w:t xml:space="preserve">The cauliflower time series has a trend strength of 0.44, showing that 44% of the time series is accounted by trend not considering seasonality. On the other hand, it has a seasonal strength of 0.72, showing that 72% of the time series is accounted by seasonality not considering trend. Its peak is in August and its trough is in March.</w:t>
      </w:r>
    </w:p>
    <w:p>
      <w:pPr>
        <w:pStyle w:val="BodyText"/>
      </w:pPr>
      <w:r>
        <w:t xml:space="preserve">The celery time series has a trend strength of 0.34, showing that 34% of the time series is accounted by trend not considering seasonality. On the other hand, it has a seasonal strength of 0.43, showing that 43% of the time series is accounted by seasonality not considering trend. Its peak is in September and its trough is in March.</w:t>
      </w:r>
    </w:p>
    <w:p>
      <w:pPr>
        <w:pStyle w:val="BodyText"/>
      </w:pPr>
      <w:r>
        <w:t xml:space="preserve">The chayote (bunga) time series has a trend strength of 0.32, showing that 32% of the time series is accounted by trend not considering seasonality. On the other hand, it has a seasonal strength of 0.32, showing that 32% of the time series is accounted by seasonality not considering trend. Its peak is in September and its trough is in March.</w:t>
      </w:r>
    </w:p>
    <w:p>
      <w:pPr>
        <w:pStyle w:val="BodyText"/>
      </w:pPr>
      <w:r>
        <w:t xml:space="preserve">The cucumber time series has a trend strength of 0.37, showing that 37% of the time series is accounted by trend not considering seasonality. On the other hand, it has a seasonal strength of 0.26, showing that 26% of the time series is accounted by seasonality not considering trend. Its peak is in December and its trough is in July.</w:t>
      </w:r>
    </w:p>
    <w:p>
      <w:pPr>
        <w:pStyle w:val="BodyText"/>
      </w:pPr>
      <w:r>
        <w:t xml:space="preserve">The gabi (galyang) time series has a trend strength of 0.91, showing that 91% of the time series is accounted by trend not considering seasonality. On the other hand, it has a seasonal strength of 0.55, showing that 55% of the time series is accounted by seasonality not considering trend. Its peak is in September and its trough is in February.</w:t>
      </w:r>
    </w:p>
    <w:p>
      <w:pPr>
        <w:pStyle w:val="BodyText"/>
      </w:pPr>
      <w:r>
        <w:t xml:space="preserve">The pepper (sultan) time series has a trend strength of 0.21, showing that 21% of the time series is accounted by trend not considering seasonality. On the other hand, it has a seasonal strength of 0.2, showing that 20% of the time series is accounted by seasonality not considering trend. Its peak is in September and its trough is in May.</w:t>
      </w:r>
    </w:p>
    <w:p>
      <w:pPr>
        <w:pStyle w:val="BodyText"/>
      </w:pPr>
      <w:r>
        <w:t xml:space="preserve">The pepper (taiwan) time series has a trend strength of 0.26, showing that 26% of the time series is accounted by trend not considering seasonality. On the other hand, it has a seasonal strength of 0.41, showing that 41% of the time series is accounted by seasonality not considering trend. Its peak is in December and its trough is in April.</w:t>
      </w:r>
    </w:p>
    <w:p>
      <w:pPr>
        <w:pStyle w:val="BodyText"/>
      </w:pPr>
      <w:r>
        <w:t xml:space="preserve">The potato time series has a trend strength of 0.72, showing that 72% of the time series is accounted by trend not considering seasonality. On the other hand, it has a seasonal strength of 0.35, showing that 35% of the time series is accounted by seasonality not considering trend. Its peak is in October and its trough is in May.</w:t>
      </w:r>
    </w:p>
    <w:p>
      <w:pPr>
        <w:pStyle w:val="BodyText"/>
      </w:pPr>
      <w:r>
        <w:t xml:space="preserve">The wombok time series has a trend strength of 0.14, showing that 14% of the time series is accounted by trend not considering seasonality. On the other hand, it has a seasonal strength of 0.19, showing that 19% of the time series is accounted by seasonality not considering trend. Its peak is in September and its trough is in March.</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Please see Appendix D for the seasonal and trend decomposition using LOESS (STL).</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yielded 360 models; 180 ARIMA and 180 ETS. There are 15 ARIMA models and 15 ETS models for each vegetable. Please see Appendix E for the full list of these models.</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 ARIMA and ETS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ARIMA and ETS Performance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296"/>
              <w:gridCol w:w="1296"/>
              <w:gridCol w:w="1296"/>
              <w:gridCol w:w="1296"/>
              <w:gridCol w:w="129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bl>
          <w:bookmarkEnd w:id="61"/>
        </w:tc>
      </w:tr>
    </w:tbl>
    <w:p>
      <w:pPr>
        <w:pStyle w:val="BodyText"/>
      </w:pPr>
    </w:p>
    <w:p>
      <w:pPr>
        <w:pStyle w:val="BodyText"/>
      </w:pPr>
      <w:r>
        <w:t xml:space="preserve">The ARIMA model proved to be better in forecasting monthly prices for all vegetables except for gabi (galyang). The ETS model is better in all the accuracy measures for gabi (galyang). However, it is notable that ETS slightly outperformed ARIMA in RMSE for broccoli showing a minimal difference. Nonetheless, ARIMA is better in the other accuracy measures showing a big difference in MAPE and minimal differences in MAE and MASE. It is also notable that ETS slightly outperformed ARIMA in RMSE for potato showing a minimal difference. Nonetheless, ARIMA is better in the other accuracy measures but with only minimal differences. Thus, automatic ARIMA will be used to generate forecasts for all the vegetables except for gabi (galyang), for which automatic ETS will be used.</w:t>
      </w:r>
    </w:p>
    <w:bookmarkEnd w:id="62"/>
    <w:bookmarkStart w:id="76"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of broccoli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For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For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For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For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hyperlink w:anchor="tbl-cabbage">
        <w:r>
          <w:rPr>
            <w:rStyle w:val="Hyperlink"/>
          </w:rPr>
          <w:t xml:space="preserve">Table 5</w:t>
        </w:r>
      </w:hyperlink>
      <w:r>
        <w:t xml:space="preserve"> </w:t>
      </w:r>
      <w:r>
        <w:t xml:space="preserve">shows the forecasts of cabbage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4"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4"/>
        </w:tc>
      </w:tr>
    </w:tbl>
    <w:p>
      <w:pPr>
        <w:pStyle w:val="BodyText"/>
      </w:pPr>
    </w:p>
    <w:p>
      <w:pPr>
        <w:pStyle w:val="BodyText"/>
      </w:pPr>
      <w:r>
        <w:t xml:space="preserve">For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For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For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For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hyperlink w:anchor="tbl-carrot">
        <w:r>
          <w:rPr>
            <w:rStyle w:val="Hyperlink"/>
          </w:rPr>
          <w:t xml:space="preserve">Table 6</w:t>
        </w:r>
      </w:hyperlink>
      <w:r>
        <w:t xml:space="preserve"> </w:t>
      </w:r>
      <w:r>
        <w:t xml:space="preserve">shows the forecasts of carrot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5"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65"/>
        </w:tc>
      </w:tr>
    </w:tbl>
    <w:p>
      <w:pPr>
        <w:pStyle w:val="BodyText"/>
      </w:pPr>
    </w:p>
    <w:p>
      <w:pPr>
        <w:pStyle w:val="BodyText"/>
      </w:pPr>
      <w:r>
        <w:t xml:space="preserve">For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For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For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For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hyperlink w:anchor="tbl-cauliflower">
        <w:r>
          <w:rPr>
            <w:rStyle w:val="Hyperlink"/>
          </w:rPr>
          <w:t xml:space="preserve">Table 7</w:t>
        </w:r>
      </w:hyperlink>
      <w:r>
        <w:t xml:space="preserve"> </w:t>
      </w:r>
      <w:r>
        <w:t xml:space="preserve">shows the forecasts of cauliflower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6"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66"/>
        </w:tc>
      </w:tr>
    </w:tbl>
    <w:p>
      <w:pPr>
        <w:pStyle w:val="BodyText"/>
      </w:pPr>
    </w:p>
    <w:p>
      <w:pPr>
        <w:pStyle w:val="BodyText"/>
      </w:pPr>
      <w:r>
        <w:t xml:space="preserve">For January 2024, the point forecast for cauliflower price is 25.46. The 80% confidence interval for this forecast ranges from 16 to 36.6, indicating that there is an 80% probability that the actual value will fall within this range. Additionally, the 95% confidence interval extends from 12.85 to 45.57, suggesting that there is a 95% probability that the actual value will be within this broader range.</w:t>
      </w:r>
    </w:p>
    <w:p>
      <w:pPr>
        <w:pStyle w:val="BodyText"/>
      </w:pPr>
      <w:r>
        <w:t xml:space="preserve">For February 2024, the point forecast for cauliflower price is 29.26. The 80% confidence interval for this forecast ranges from 17.9 to 42.77, indicating that there is an 80% probability that the actual value will fall within this range. Additionally, the 95% confidence interval extends from 14.21 to 53.85, suggesting that there is a 95% probability that the actual value will be within this broader range.</w:t>
      </w:r>
    </w:p>
    <w:p>
      <w:pPr>
        <w:pStyle w:val="BodyText"/>
      </w:pPr>
      <w:r>
        <w:t xml:space="preserve">For March 2024, the point forecast for cauliflower price is 26.39. The 80% confidence interval for this forecast ranges from 16.14 to 38.56, indicating that there is an 80% probability that the actual value will fall within this range. Additionally, the 95% confidence interval extends from 12.82 to 48.56, suggesting that there is a 95% probability that the actual value will be within this broader range.</w:t>
      </w:r>
    </w:p>
    <w:p>
      <w:pPr>
        <w:pStyle w:val="BodyText"/>
      </w:pPr>
      <w:r>
        <w:t xml:space="preserve">For April 2024, the point forecast for cauliflower price is 31.03. The 80% confidence interval for this forecast ranges from 18.98 to 45.35, indicating that there is an 80% probability that the actual value will fall within this range. Additionally, the 95% confidence interval extends from 15.07 to 57.11, suggesting that there is a 95% probability that the actual value will be within this broader range.</w:t>
      </w:r>
    </w:p>
    <w:p>
      <w:pPr>
        <w:pStyle w:val="BodyText"/>
      </w:pPr>
      <w:hyperlink w:anchor="tbl-celery">
        <w:r>
          <w:rPr>
            <w:rStyle w:val="Hyperlink"/>
          </w:rPr>
          <w:t xml:space="preserve">Table 8</w:t>
        </w:r>
      </w:hyperlink>
      <w:r>
        <w:t xml:space="preserve"> </w:t>
      </w:r>
      <w:r>
        <w:t xml:space="preserve">shows the forecasts of celery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7"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67"/>
        </w:tc>
      </w:tr>
    </w:tbl>
    <w:p>
      <w:pPr>
        <w:pStyle w:val="BodyText"/>
      </w:pPr>
    </w:p>
    <w:p>
      <w:pPr>
        <w:pStyle w:val="BodyText"/>
      </w:pPr>
      <w:r>
        <w:t xml:space="preserve">For January 2024, the point forecast for celery price is 37.96. The 80% confidence interval for this forecast ranges from 19.12 to 61.76, indicating that there is an 80% probability that the actual value will fall within this range. Additionally, the 95% confidence interval extends from 14.02 to 84.24, suggesting that there is a 95% probability that the actual value will be within this broader range.</w:t>
      </w:r>
    </w:p>
    <w:p>
      <w:pPr>
        <w:pStyle w:val="BodyText"/>
      </w:pPr>
      <w:r>
        <w:t xml:space="preserve">For February 2024, the point forecast for celery price is 40.61. The 80% confidence interval for this forecast ranges from 15.72 to 74.72, indicating that there is an 80% probability that the actual value will fall within this range. Additionally, the 95% confidence interval extends from 10.4 to 112.88, suggesting that there is a 95% probability that the actual value will be within this broader range.</w:t>
      </w:r>
    </w:p>
    <w:p>
      <w:pPr>
        <w:pStyle w:val="BodyText"/>
      </w:pPr>
      <w:r>
        <w:t xml:space="preserve">For March 2024, the point forecast for celery price is 41.14. The 80% confidence interval for this forecast ranges from 15.16 to 77.26, indicating that there is an 80% probability that the actual value will fall within this range. Additionally, the 95% confidence interval extends from 9.85 to 118.9, suggesting that there is a 95% probability that the actual value will be within this broader range.</w:t>
      </w:r>
    </w:p>
    <w:p>
      <w:pPr>
        <w:pStyle w:val="BodyText"/>
      </w:pPr>
      <w:r>
        <w:t xml:space="preserve">For April 2024, the point forecast for celery price is 41.23. The 80% confidence interval for this forecast ranges from 15.05 to 77.77, indicating that there is an 80% probability that the actual value will fall within this range. Additionally, the 95% confidence interval extends from 9.74 to 120.13, suggesting that there is a 95% probability that the actual value will be within this broader range.</w:t>
      </w:r>
    </w:p>
    <w:p>
      <w:pPr>
        <w:pStyle w:val="BodyText"/>
      </w:pPr>
      <w:hyperlink w:anchor="tbl-chayote_bunga">
        <w:r>
          <w:rPr>
            <w:rStyle w:val="Hyperlink"/>
          </w:rPr>
          <w:t xml:space="preserve">Table 9</w:t>
        </w:r>
      </w:hyperlink>
      <w:r>
        <w:t xml:space="preserve"> </w:t>
      </w:r>
      <w:r>
        <w:t xml:space="preserve">shows the forecasts of chayote (bunga)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68"/>
        </w:tc>
      </w:tr>
    </w:tbl>
    <w:p>
      <w:pPr>
        <w:pStyle w:val="BodyText"/>
      </w:pPr>
    </w:p>
    <w:p>
      <w:pPr>
        <w:pStyle w:val="BodyText"/>
      </w:pPr>
      <w:r>
        <w:t xml:space="preserve">For January 2024, the point forecast for chayote (bunga) price is 12.89. The 80% confidence interval for this forecast ranges from 6.52 to 20.91, indicating that there is an 80% probability that the actual value will fall within this range. Additionally, the 95% confidence interval extends from 4.79 to 28.47, suggesting that there is a 95% probability that the actual value will be within this broader range.</w:t>
      </w:r>
    </w:p>
    <w:p>
      <w:pPr>
        <w:pStyle w:val="BodyText"/>
      </w:pPr>
      <w:r>
        <w:t xml:space="preserve">For February 2024, the point forecast for chayote (bunga) price is 12.92. The 80% confidence interval for this forecast ranges from 5.88 to 22.11, indicating that there is an 80% probability that the actual value will fall within this range. Additionally, the 95% confidence interval extends from 4.14 to 31.4, suggesting that there is a 95% probability that the actual value will be within this broader range.</w:t>
      </w:r>
    </w:p>
    <w:p>
      <w:pPr>
        <w:pStyle w:val="BodyText"/>
      </w:pPr>
      <w:r>
        <w:t xml:space="preserve">For March 2024, the point forecast for chayote (bunga) price is 12.85. The 80% confidence interval for this forecast ranges from 5.68 to 22.3, indicating that there is an 80% probability that the actual value will fall within this range. Additionally, the 95% confidence interval extends from 3.95 to 32.03, suggesting that there is a 95% probability that the actual value will be within this broader range.</w:t>
      </w:r>
    </w:p>
    <w:p>
      <w:pPr>
        <w:pStyle w:val="BodyText"/>
      </w:pPr>
      <w:r>
        <w:t xml:space="preserve">For April 2024, the point forecast for chayote (bunga) price is 12.79. The 80% confidence interval for this forecast ranges from 5.6 to 22.28, indicating that there is an 80% probability that the actual value will fall within this range. Additionally, the 95% confidence interval extends from 3.89 to 32.11, suggesting that there is a 95% probability that the actual value will be within this broader range.</w:t>
      </w:r>
    </w:p>
    <w:p>
      <w:pPr>
        <w:pStyle w:val="BodyText"/>
      </w:pPr>
      <w:hyperlink w:anchor="tbl-cucumber">
        <w:r>
          <w:rPr>
            <w:rStyle w:val="Hyperlink"/>
          </w:rPr>
          <w:t xml:space="preserve">Table 10</w:t>
        </w:r>
      </w:hyperlink>
      <w:r>
        <w:t xml:space="preserve"> </w:t>
      </w:r>
      <w:r>
        <w:t xml:space="preserve">shows the forecasts of cucumber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9"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69"/>
        </w:tc>
      </w:tr>
    </w:tbl>
    <w:p>
      <w:pPr>
        <w:pStyle w:val="BodyText"/>
      </w:pPr>
    </w:p>
    <w:p>
      <w:pPr>
        <w:pStyle w:val="BodyText"/>
      </w:pPr>
      <w:r>
        <w:t xml:space="preserve">For January 2024, the point forecast for cucumber price is 30.79. The 80% confidence interval for this forecast ranges from 16.56 to 48.4, indicating that there is an 80% probability that the actual value will fall within this range. Additionally, the 95% confidence interval extends from 12.47 to 64.29, suggesting that there is a 95% probability that the actual value will be within this broader range.</w:t>
      </w:r>
    </w:p>
    <w:p>
      <w:pPr>
        <w:pStyle w:val="BodyText"/>
      </w:pPr>
      <w:r>
        <w:t xml:space="preserve">For February 2024, the point forecast for cucumber price is 32.47. The 80% confidence interval for this forecast ranges from 16.36 to 52.82, indicating that there is an 80% probability that the actual value will fall within this range. Additionally, the 95% confidence interval extends from 12 to 72.03, suggesting that there is a 95% probability that the actual value will be within this broader range.</w:t>
      </w:r>
    </w:p>
    <w:p>
      <w:pPr>
        <w:pStyle w:val="BodyText"/>
      </w:pPr>
      <w:r>
        <w:t xml:space="preserve">For March 2024, the point forecast for cucumber price is 32.98. The 80% confidence interval for this forecast ranges from 16.6 to 53.66, indicating that there is an 80% probability that the actual value will fall within this range. Additionally, the 95% confidence interval extends from 12.17 to 73.21, suggesting that there is a 95% probability that the actual value will be within this broader range.</w:t>
      </w:r>
    </w:p>
    <w:p>
      <w:pPr>
        <w:pStyle w:val="BodyText"/>
      </w:pPr>
      <w:r>
        <w:t xml:space="preserve">For April 2024, the point forecast for cucumber price is 33.01. The 80% confidence interval for this forecast ranges from 16.54 to 53.86, indicating that there is an 80% probability that the actual value will fall within this range. Additionally, the 95% confidence interval extends from 12.1 to 73.61, suggesting that there is a 95% probability that the actual value will be within this broader range.</w:t>
      </w:r>
    </w:p>
    <w:p>
      <w:pPr>
        <w:pStyle w:val="BodyText"/>
      </w:pPr>
      <w:hyperlink w:anchor="tbl-gabi_galyang">
        <w:r>
          <w:rPr>
            <w:rStyle w:val="Hyperlink"/>
          </w:rPr>
          <w:t xml:space="preserve">Table 11</w:t>
        </w:r>
      </w:hyperlink>
      <w:r>
        <w:t xml:space="preserve"> </w:t>
      </w:r>
      <w:r>
        <w:t xml:space="preserve">shows the forecasts of gabi (galyang) prices for the next 4 months from January to April 2024. It shows the means or the point forecasts along with their corresponding 80% and 95% confidence intervals. The forecast is from an ETS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0"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70"/>
        </w:tc>
      </w:tr>
    </w:tbl>
    <w:p>
      <w:pPr>
        <w:pStyle w:val="BodyText"/>
      </w:pPr>
    </w:p>
    <w:p>
      <w:pPr>
        <w:pStyle w:val="BodyText"/>
      </w:pPr>
      <w:r>
        <w:t xml:space="preserve">For January 2024, the point forecast for gabi (galyang) price is 42.88. The 80% confidence interval for this forecast ranges from 35.8 to 50.46, indicating that there is an 80% probability that the actual value will fall within this range. Additionally, the 95% confidence interval extends from 32.69 to 55.26, suggesting that there is a 95% probability that the actual value will be within this broader range.</w:t>
      </w:r>
    </w:p>
    <w:p>
      <w:pPr>
        <w:pStyle w:val="BodyText"/>
      </w:pPr>
      <w:r>
        <w:t xml:space="preserve">For February 2024, the point forecast for gabi (galyang) price is 43.26. The 80% confidence interval for this forecast ranges from 33.34 to 54.18, indicating that there is an 80% probability that the actual value will fall within this range. Additionally, the 95% confidence interval extends from 29.32 to 61.61, suggesting that there is a 95% probability that the actual value will be within this broader range.</w:t>
      </w:r>
    </w:p>
    <w:p>
      <w:pPr>
        <w:pStyle w:val="BodyText"/>
      </w:pPr>
      <w:r>
        <w:t xml:space="preserve">For March 2024, the point forecast for gabi (galyang) price is 43.64. The 80% confidence interval for this forecast ranges from 31.57 to 57.22, indicating that there is an 80% probability that the actual value will fall within this range. Additionally, the 95% confidence interval extends from 26.97 to 66.97, suggesting that there is a 95% probability that the actual value will be within this broader range.</w:t>
      </w:r>
    </w:p>
    <w:p>
      <w:pPr>
        <w:pStyle w:val="BodyText"/>
      </w:pPr>
      <w:r>
        <w:t xml:space="preserve">For April 2024, the point forecast for gabi (galyang) price is 44.02. The 80% confidence interval for this forecast ranges from 30.15 to 59.91, indicating that there is an 80% probability that the actual value will fall within this range. Additionally, the 95% confidence interval extends from 25.14 to 71.85, suggesting that there is a 95% probability that the actual value will be within this broader range.</w:t>
      </w:r>
    </w:p>
    <w:p>
      <w:pPr>
        <w:pStyle w:val="BodyText"/>
      </w:pPr>
      <w:hyperlink w:anchor="tbl-pepper_sultan">
        <w:r>
          <w:rPr>
            <w:rStyle w:val="Hyperlink"/>
          </w:rPr>
          <w:t xml:space="preserve">Table 12</w:t>
        </w:r>
      </w:hyperlink>
      <w:r>
        <w:t xml:space="preserve"> </w:t>
      </w:r>
      <w:r>
        <w:t xml:space="preserve">shows the forecasts of pepper (sultan)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1"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71"/>
        </w:tc>
      </w:tr>
    </w:tbl>
    <w:p>
      <w:pPr>
        <w:pStyle w:val="BodyText"/>
      </w:pPr>
    </w:p>
    <w:p>
      <w:pPr>
        <w:pStyle w:val="BodyText"/>
      </w:pPr>
      <w:r>
        <w:t xml:space="preserve">For January 2024, the point forecast for pepper (sultan) price is 38.6. The 80% confidence interval for this forecast ranges from 21.65 to 59.3, indicating that there is an 80% probability that the actual value will fall within this range. Additionally, the 95% confidence interval extends from 16.58 to 77.42, suggesting that there is a 95% probability that the actual value will be within this broader range.</w:t>
      </w:r>
    </w:p>
    <w:p>
      <w:pPr>
        <w:pStyle w:val="BodyText"/>
      </w:pPr>
      <w:r>
        <w:t xml:space="preserve">For February 2024, the point forecast for pepper (sultan) price is 50.09. The 80% confidence interval for this forecast ranges from 24.68 to 82.42, indicating that there is an 80% probability that the actual value will fall within this range. Additionally, the 95% confidence interval extends from 17.94 to 113.4, suggesting that there is a 95% probability that the actual value will be within this broader range.</w:t>
      </w:r>
    </w:p>
    <w:p>
      <w:pPr>
        <w:pStyle w:val="BodyText"/>
      </w:pPr>
      <w:r>
        <w:t xml:space="preserve">For March 2024, the point forecast for pepper (sultan) price is 77.71. The 80% confidence interval for this forecast ranges from 35.63 to 132.44, indicating that there is an 80% probability that the actual value will fall within this range. Additionally, the 95% confidence interval extends from 25.17 to 187.46, suggesting that there is a 95% probability that the actual value will be within this broader range.</w:t>
      </w:r>
    </w:p>
    <w:p>
      <w:pPr>
        <w:pStyle w:val="BodyText"/>
      </w:pPr>
      <w:r>
        <w:t xml:space="preserve">For April 2024, the point forecast for pepper (sultan) price is 112.63. The 80% confidence interval for this forecast ranges from 51.26 to 192.65, indicating that there is an 80% probability that the actual value will fall within this range. Additionally, the 95% confidence interval extends from 36.11 to 273.5, suggesting that there is a 95% probability that the actual value will be within this broader range.</w:t>
      </w:r>
    </w:p>
    <w:p>
      <w:pPr>
        <w:pStyle w:val="BodyText"/>
      </w:pPr>
      <w:hyperlink w:anchor="tbl-pepper_taiwan">
        <w:r>
          <w:rPr>
            <w:rStyle w:val="Hyperlink"/>
          </w:rPr>
          <w:t xml:space="preserve">Table 13</w:t>
        </w:r>
      </w:hyperlink>
      <w:r>
        <w:t xml:space="preserve"> </w:t>
      </w:r>
      <w:r>
        <w:t xml:space="preserve">shows the forecasts of pepper (taiwan)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2"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72"/>
        </w:tc>
      </w:tr>
    </w:tbl>
    <w:p>
      <w:pPr>
        <w:pStyle w:val="BodyText"/>
      </w:pPr>
    </w:p>
    <w:p>
      <w:pPr>
        <w:pStyle w:val="BodyText"/>
      </w:pPr>
      <w:r>
        <w:t xml:space="preserve">For January 2024, the point forecast for pepper (taiwan) price is 80.18. The 80% confidence interval for this forecast ranges from 36.15 to 137.75, indicating that there is an 80% probability that the actual value will fall within this range. Additionally, the 95% confidence interval extends from 25.37 to 196.28, suggesting that there is a 95% probability that the actual value will be within this broader range.</w:t>
      </w:r>
    </w:p>
    <w:p>
      <w:pPr>
        <w:pStyle w:val="BodyText"/>
      </w:pPr>
      <w:r>
        <w:t xml:space="preserve">For February 2024, the point forecast for pepper (taiwan) price is 60.52. The 80% confidence interval for this forecast ranges from 19.9 to 119.04, indicating that there is an 80% probability that the actual value will fall within this range. Additionally, the 95% confidence interval extends from 12.39 to 191.12, suggesting that there is a 95% probability that the actual value will be within this broader range.</w:t>
      </w:r>
    </w:p>
    <w:p>
      <w:pPr>
        <w:pStyle w:val="BodyText"/>
      </w:pPr>
      <w:r>
        <w:t xml:space="preserve">For March 2024, the point forecast for pepper (taiwan) price is 48.45. The 80% confidence interval for this forecast ranges from 14.02 to 100, indicating that there is an 80% probability that the actual value will fall within this range. Additionally, the 95% confidence interval extends from 8.34 to 168.2, suggesting that there is a 95% probability that the actual value will be within this broader range.</w:t>
      </w:r>
    </w:p>
    <w:p>
      <w:pPr>
        <w:pStyle w:val="BodyText"/>
      </w:pPr>
      <w:r>
        <w:t xml:space="preserve">For April 2024, the point forecast for pepper (taiwan) price is 56.06. The 80% confidence interval for this forecast ranges from 15.91 to 116.56, indicating that there is an 80% probability that the actual value will fall within this range. Additionally, the 95% confidence interval extends from 9.39 to 197.44, suggesting that there is a 95% probability that the actual value will be within this broader range.</w:t>
      </w:r>
    </w:p>
    <w:p>
      <w:pPr>
        <w:pStyle w:val="BodyText"/>
      </w:pPr>
      <w:hyperlink w:anchor="tbl-potato">
        <w:r>
          <w:rPr>
            <w:rStyle w:val="Hyperlink"/>
          </w:rPr>
          <w:t xml:space="preserve">Table 14</w:t>
        </w:r>
      </w:hyperlink>
      <w:r>
        <w:t xml:space="preserve"> </w:t>
      </w:r>
      <w:r>
        <w:t xml:space="preserve">shows the forecasts of potato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73"/>
        </w:tc>
      </w:tr>
    </w:tbl>
    <w:p>
      <w:pPr>
        <w:pStyle w:val="BodyText"/>
      </w:pPr>
    </w:p>
    <w:p>
      <w:pPr>
        <w:pStyle w:val="BodyText"/>
      </w:pPr>
      <w:r>
        <w:t xml:space="preserve">For January 2024, the point forecast for potato price is 73.85. The 80% confidence interval for this forecast ranges from 55.76 to 93.89, indicating that there is an 80% probability that the actual value will fall within this range. Additionally, the 95% confidence interval extends from 48.57 to 107.77, suggesting that there is a 95% probability that the actual value will be within this broader range.</w:t>
      </w:r>
    </w:p>
    <w:p>
      <w:pPr>
        <w:pStyle w:val="BodyText"/>
      </w:pPr>
      <w:r>
        <w:t xml:space="preserve">For February 2024, the point forecast for potato price is 69.59. The 80% confidence interval for this forecast ranges from 45.74 to 97.26, indicating that there is an 80% probability that the actual value will fall within this range. Additionally, the 95% confidence interval extends from 37.46 to 118.75, suggesting that there is a 95% probability that the actual value will be within this broader range.</w:t>
      </w:r>
    </w:p>
    <w:p>
      <w:pPr>
        <w:pStyle w:val="BodyText"/>
      </w:pPr>
      <w:r>
        <w:t xml:space="preserve">For March 2024, the point forecast for potato price is 71.35. The 80% confidence interval for this forecast ranges from 43.13 to 105, indicating that there is an 80% probability that the actual value will fall within this range. Additionally, the 95% confidence interval extends from 34.08 to 132.89, suggesting that there is a 95% probability that the actual value will be within this broader range.</w:t>
      </w:r>
    </w:p>
    <w:p>
      <w:pPr>
        <w:pStyle w:val="BodyText"/>
      </w:pPr>
      <w:r>
        <w:t xml:space="preserve">For April 2024, the point forecast for potato price is 78.11. The 80% confidence interval for this forecast ranges from 45.36 to 117.66, indicating that there is an 80% probability that the actual value will fall within this range. Additionally, the 95% confidence interval extends from 35.24 to 151.43, suggesting that there is a 95% probability that the actual value will be within this broader range.</w:t>
      </w:r>
    </w:p>
    <w:p>
      <w:pPr>
        <w:pStyle w:val="BodyText"/>
      </w:pPr>
      <w:hyperlink w:anchor="tbl-wombok">
        <w:r>
          <w:rPr>
            <w:rStyle w:val="Hyperlink"/>
          </w:rPr>
          <w:t xml:space="preserve">Table 15</w:t>
        </w:r>
      </w:hyperlink>
      <w:r>
        <w:t xml:space="preserve"> </w:t>
      </w:r>
      <w:r>
        <w:t xml:space="preserve">shows the forecasts of wombok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4"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74"/>
        </w:tc>
      </w:tr>
    </w:tbl>
    <w:p>
      <w:pPr>
        <w:pStyle w:val="BodyText"/>
      </w:pPr>
    </w:p>
    <w:p>
      <w:pPr>
        <w:pStyle w:val="BodyText"/>
      </w:pPr>
      <w:r>
        <w:t xml:space="preserve">For January 2024, the point forecast for wombok price is 10.6. The 80% confidence interval for this forecast ranges from 5.26 to 17.38, indicating that there is an 80% probability that the actual value will fall within this range. Additionally, the 95% confidence interval extends from 3.84 to 23.84, suggesting that there is a 95% probability that the actual value will be within this broader range.</w:t>
      </w:r>
    </w:p>
    <w:p>
      <w:pPr>
        <w:pStyle w:val="BodyText"/>
      </w:pPr>
      <w:r>
        <w:t xml:space="preserve">For February 2024, the point forecast for wombok price is 15.06. The 80% confidence interval for this forecast ranges from 5.64 to 28.09, indicating that there is an 80% probability that the actual value will fall within this range. Additionally, the 95% confidence interval extends from 3.69 to 42.97, suggesting that there is a 95% probability that the actual value will be within this broader range.</w:t>
      </w:r>
    </w:p>
    <w:p>
      <w:pPr>
        <w:pStyle w:val="BodyText"/>
      </w:pPr>
      <w:r>
        <w:t xml:space="preserve">For March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For April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hyperlink w:anchor="tbl-ljb">
        <w:r>
          <w:rPr>
            <w:rStyle w:val="Hyperlink"/>
          </w:rPr>
          <w:t xml:space="preserve">Table 16</w:t>
        </w:r>
      </w:hyperlink>
      <w:r>
        <w:t xml:space="preserve"> </w:t>
      </w:r>
      <w:r>
        <w:t xml:space="preserve">shows the results of the portmanteau test for the models.</w:t>
      </w:r>
    </w:p>
    <w:tbl>
      <w:tblPr>
        <w:tblStyle w:val="Table"/>
        <w:tblW w:type="pct" w:w="5000"/>
        <w:tblLayout w:type="fixed"/>
        <w:tblLook w:firstRow="0" w:lastRow="0" w:firstColumn="0" w:lastColumn="0" w:noHBand="0" w:noVBand="0" w:val="0000"/>
      </w:tblPr>
      <w:tblGrid>
        <w:gridCol w:w="7920"/>
      </w:tblGrid>
      <w:tr>
        <w:tc>
          <w:tcPr/>
          <w:bookmarkStart w:id="75" w:name="tbl-ljb"/>
          <w:p>
            <w:pPr>
              <w:jc w:val="center"/>
            </w:pPr>
            <w:pPr>
              <w:jc w:val="start"/>
              <w:spacing w:before="200"/>
              <w:pStyle w:val="ImageCaption"/>
            </w:pPr>
            <w:r>
              <w:t xml:space="preserve">Table 16. Result of the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3960"/>
              <w:gridCol w:w="1800"/>
              <w:gridCol w:w="144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Q-statistics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75"/>
        </w:tc>
      </w:tr>
    </w:tbl>
    <w:p>
      <w:pPr>
        <w:pStyle w:val="BodyText"/>
      </w:pPr>
    </w:p>
    <w:p>
      <w:pPr>
        <w:pStyle w:val="BodyText"/>
      </w:pPr>
      <w:r>
        <w:t xml:space="preserve">Results show that all the ARIMA models have a large p-value but the ETS model for gabi (galyang) have a p-value less than .05. This shows that the residuals of all the ARIMA models are independently distributed. This indicates that there is no significant autocorrelation in the residuals up to 12 lags. The ARIMA models are good fit to the data. They can be used in forecasting their corresponding monthly vegetable prices. On the other hand, the ETS model failed the portmanteau test since there is still significant autocorrelation in the residuals up to 12 lags. The model can still be used for forecasting monthly gabi (galyang) prices, but the prediction or confidence intervals may not be accurate due to the correlated residuals.</w:t>
      </w:r>
    </w:p>
    <w:bookmarkEnd w:id="76"/>
    <w:bookmarkEnd w:id="77"/>
    <w:bookmarkEnd w:id="78"/>
    <w:bookmarkStart w:id="83" w:name="chapter-v"/>
    <w:p>
      <w:pPr>
        <w:pStyle w:val="Heading1"/>
      </w:pPr>
      <w:r>
        <w:t xml:space="preserve">Chapter V</w:t>
      </w:r>
    </w:p>
    <w:bookmarkStart w:id="82" w:name="summary-conclusion-and-recommendations"/>
    <w:p>
      <w:pPr>
        <w:pStyle w:val="Heading2"/>
      </w:pPr>
      <w:r>
        <w:t xml:space="preserve">SUMMARY, CONCLUSION AND RECOMMENDATIONS</w:t>
      </w:r>
    </w:p>
    <w:bookmarkStart w:id="79" w:name="summary"/>
    <w:p>
      <w:pPr>
        <w:pStyle w:val="Heading3"/>
      </w:pPr>
      <w:r>
        <w:t xml:space="preserve">Summary</w:t>
      </w:r>
    </w:p>
    <w:bookmarkEnd w:id="79"/>
    <w:bookmarkStart w:id="80" w:name="conclusion"/>
    <w:p>
      <w:pPr>
        <w:pStyle w:val="Heading3"/>
      </w:pPr>
      <w:r>
        <w:t xml:space="preserve">Conclusion</w:t>
      </w:r>
    </w:p>
    <w:bookmarkEnd w:id="80"/>
    <w:bookmarkStart w:id="81" w:name="recommendations"/>
    <w:p>
      <w:pPr>
        <w:pStyle w:val="Heading3"/>
      </w:pPr>
      <w:r>
        <w:t xml:space="preserve">Recommendations</w:t>
      </w:r>
    </w:p>
    <w:bookmarkEnd w:id="81"/>
    <w:bookmarkEnd w:id="82"/>
    <w:bookmarkEnd w:id="83"/>
    <w:bookmarkStart w:id="127" w:name="references"/>
    <w:p>
      <w:pPr>
        <w:pStyle w:val="Heading1"/>
      </w:pPr>
      <w:r>
        <w:t xml:space="preserve">References</w:t>
      </w:r>
    </w:p>
    <w:bookmarkStart w:id="126" w:name="refs"/>
    <w:bookmarkStart w:id="85"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84">
        <w:r>
          <w:rPr>
            <w:rStyle w:val="Hyperlink"/>
          </w:rPr>
          <w:t xml:space="preserve">https://doi.org/10.1007/978-981-99-4472-9_2</w:t>
        </w:r>
      </w:hyperlink>
    </w:p>
    <w:bookmarkEnd w:id="85"/>
    <w:bookmarkStart w:id="86"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86"/>
    <w:bookmarkStart w:id="88"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87">
        <w:r>
          <w:rPr>
            <w:rStyle w:val="Hyperlink"/>
          </w:rPr>
          <w:t xml:space="preserve">https://doi.org/10.1016/j.future.2018.05.045</w:t>
        </w:r>
      </w:hyperlink>
    </w:p>
    <w:bookmarkEnd w:id="88"/>
    <w:bookmarkStart w:id="90"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89">
        <w:r>
          <w:rPr>
            <w:rStyle w:val="Hyperlink"/>
          </w:rPr>
          <w:t xml:space="preserve">http://bit.ly/stl1990</w:t>
        </w:r>
      </w:hyperlink>
    </w:p>
    <w:bookmarkEnd w:id="90"/>
    <w:bookmarkStart w:id="92"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91">
        <w:r>
          <w:rPr>
            <w:rStyle w:val="Hyperlink"/>
          </w:rPr>
          <w:t xml:space="preserve">https://doi.org/10.17352/2455-815X.000096</w:t>
        </w:r>
      </w:hyperlink>
    </w:p>
    <w:bookmarkEnd w:id="92"/>
    <w:bookmarkStart w:id="93"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93"/>
    <w:bookmarkStart w:id="95" w:name="ref-fao"/>
    <w:p>
      <w:pPr>
        <w:pStyle w:val="Bibliography"/>
      </w:pPr>
      <w:r>
        <w:rPr>
          <w:i/>
          <w:iCs/>
        </w:rPr>
        <w:t xml:space="preserve">FAOSTAT</w:t>
      </w:r>
      <w:r>
        <w:t xml:space="preserve">. (n.d.). Retrieved November 16, 2023, from</w:t>
      </w:r>
      <w:r>
        <w:t xml:space="preserve"> </w:t>
      </w:r>
      <w:hyperlink r:id="rId94">
        <w:r>
          <w:rPr>
            <w:rStyle w:val="Hyperlink"/>
          </w:rPr>
          <w:t xml:space="preserve">https://www.fao.org/faostat/en/#home</w:t>
        </w:r>
      </w:hyperlink>
    </w:p>
    <w:bookmarkEnd w:id="95"/>
    <w:bookmarkStart w:id="96"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96"/>
    <w:bookmarkStart w:id="98"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97">
        <w:r>
          <w:rPr>
            <w:rStyle w:val="Hyperlink"/>
          </w:rPr>
          <w:t xml:space="preserve">https://doi.org/10.2139/ssrn.4113035</w:t>
        </w:r>
      </w:hyperlink>
    </w:p>
    <w:bookmarkEnd w:id="98"/>
    <w:bookmarkStart w:id="100"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99">
        <w:r>
          <w:rPr>
            <w:rStyle w:val="Hyperlink"/>
          </w:rPr>
          <w:t xml:space="preserve">OTexts.com/fpp3</w:t>
        </w:r>
      </w:hyperlink>
    </w:p>
    <w:bookmarkEnd w:id="100"/>
    <w:bookmarkStart w:id="101" w:name="ref-illankoon2020"/>
    <w:p>
      <w:pPr>
        <w:pStyle w:val="Bibliography"/>
      </w:pPr>
      <w:r>
        <w:t xml:space="preserve">Illankoon, I. M. G. L., &amp; Kumara, B. T. G. S. (2020).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101"/>
    <w:bookmarkStart w:id="102"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102"/>
    <w:bookmarkStart w:id="103"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103"/>
    <w:bookmarkStart w:id="105"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104">
        <w:r>
          <w:rPr>
            <w:rStyle w:val="Hyperlink"/>
          </w:rPr>
          <w:t xml:space="preserve">https://catalog.ihsn.org/citations/91017?fbclid=IwAR06pCHPm9d6ko-uxXndkeBPGmpGgp7plCg0BQwlXNBHWh8OdHbY4B23soc</w:t>
        </w:r>
      </w:hyperlink>
    </w:p>
    <w:bookmarkEnd w:id="105"/>
    <w:bookmarkStart w:id="107"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06">
        <w:r>
          <w:rPr>
            <w:rStyle w:val="Hyperlink"/>
          </w:rPr>
          <w:t xml:space="preserve">https://CRAN.R-project.org/package=fable</w:t>
        </w:r>
      </w:hyperlink>
    </w:p>
    <w:bookmarkEnd w:id="107"/>
    <w:bookmarkStart w:id="109"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08">
        <w:r>
          <w:rPr>
            <w:rStyle w:val="Hyperlink"/>
          </w:rPr>
          <w:t xml:space="preserve">https://www.R-project.org/</w:t>
        </w:r>
      </w:hyperlink>
    </w:p>
    <w:bookmarkEnd w:id="109"/>
    <w:bookmarkStart w:id="110"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10"/>
    <w:bookmarkStart w:id="112"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11">
        <w:r>
          <w:rPr>
            <w:rStyle w:val="Hyperlink"/>
          </w:rPr>
          <w:t xml:space="preserve">https://doi.org/10.3390/agriculture13091671</w:t>
        </w:r>
      </w:hyperlink>
    </w:p>
    <w:bookmarkEnd w:id="112"/>
    <w:bookmarkStart w:id="113"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13"/>
    <w:bookmarkStart w:id="115"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14">
        <w:r>
          <w:rPr>
            <w:rStyle w:val="Hyperlink"/>
          </w:rPr>
          <w:t xml:space="preserve">https://doi.org/10.5281/ZENODO.3333529</w:t>
        </w:r>
      </w:hyperlink>
    </w:p>
    <w:bookmarkEnd w:id="115"/>
    <w:bookmarkStart w:id="117"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16">
        <w:r>
          <w:rPr>
            <w:rStyle w:val="Hyperlink"/>
          </w:rPr>
          <w:t xml:space="preserve">https://doi.org/10.1080/10618600.2019.1695624</w:t>
        </w:r>
      </w:hyperlink>
    </w:p>
    <w:bookmarkEnd w:id="117"/>
    <w:bookmarkStart w:id="119"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8">
        <w:r>
          <w:rPr>
            <w:rStyle w:val="Hyperlink"/>
          </w:rPr>
          <w:t xml:space="preserve">https://doi.org/10.21105/joss.01686</w:t>
        </w:r>
      </w:hyperlink>
    </w:p>
    <w:bookmarkEnd w:id="119"/>
    <w:bookmarkStart w:id="121"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20">
        <w:r>
          <w:rPr>
            <w:rStyle w:val="Hyperlink"/>
          </w:rPr>
          <w:t xml:space="preserve">https://doi.org/10.3390/agronomy12112680</w:t>
        </w:r>
      </w:hyperlink>
    </w:p>
    <w:bookmarkEnd w:id="121"/>
    <w:bookmarkStart w:id="123"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22">
        <w:r>
          <w:rPr>
            <w:rStyle w:val="Hyperlink"/>
          </w:rPr>
          <w:t xml:space="preserve">https://doi.org/10.3390/agriculture13030577</w:t>
        </w:r>
      </w:hyperlink>
    </w:p>
    <w:bookmarkEnd w:id="123"/>
    <w:bookmarkStart w:id="125"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24">
        <w:r>
          <w:rPr>
            <w:rStyle w:val="Hyperlink"/>
          </w:rPr>
          <w:t xml:space="preserve">https://doi.org/10.22434/IFAMR2019.0172</w:t>
        </w:r>
      </w:hyperlink>
    </w:p>
    <w:bookmarkEnd w:id="125"/>
    <w:bookmarkEnd w:id="126"/>
    <w:bookmarkEnd w:id="127"/>
    <w:sectPr w:rsidR="00106E44"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35A8749B"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2A5D"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94D5" w14:textId="77777777" w:rsidR="00E5125E" w:rsidRDefault="00E5125E">
    <w:pPr>
      <w:pStyle w:val="Header"/>
      <w:jc w:val="right"/>
    </w:pPr>
  </w:p>
  <w:p w14:paraId="274A5F09"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87877" w:numId="59">
    <w:abstractNumId w:val="0"/>
  </w:num>
  <w:num w16cid:durableId="145317147"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0F5153"/>
    <w:rsid w:val="00106E44"/>
    <w:rsid w:val="00114CDB"/>
    <w:rsid w:val="00282BC1"/>
    <w:rsid w:val="003138E6"/>
    <w:rsid w:val="003408B0"/>
    <w:rsid w:val="00364E0C"/>
    <w:rsid w:val="0040049F"/>
    <w:rsid w:val="00542A5E"/>
    <w:rsid w:val="005C692C"/>
    <w:rsid w:val="00605A5C"/>
    <w:rsid w:val="006861F4"/>
    <w:rsid w:val="006F0C86"/>
    <w:rsid w:val="007D6AD0"/>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AA0130"/>
    <w:rPr>
      <w:color w:val="auto"/>
    </w:rPr>
  </w:style>
  <w:style w:styleId="TOCHeading" w:type="paragraph">
    <w:name w:val="TOC Heading"/>
    <w:basedOn w:val="Heading1"/>
    <w:next w:val="BodyText"/>
    <w:uiPriority w:val="39"/>
    <w:unhideWhenUsed/>
    <w:qFormat/>
    <w:rsid w:val="007D6AD0"/>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 w:styleId="TOC1" w:type="paragraph">
    <w:name w:val="toc 1"/>
    <w:basedOn w:val="Normal"/>
    <w:next w:val="Normal"/>
    <w:autoRedefine/>
    <w:uiPriority w:val="39"/>
    <w:rsid w:val="007D6AD0"/>
    <w:pPr>
      <w:spacing w:after="100"/>
    </w:pPr>
  </w:style>
  <w:style w:styleId="TOC2" w:type="paragraph">
    <w:name w:val="toc 2"/>
    <w:basedOn w:val="Normal"/>
    <w:next w:val="Normal"/>
    <w:autoRedefine/>
    <w:uiPriority w:val="39"/>
    <w:rsid w:val="007D6AD0"/>
    <w:pPr>
      <w:spacing w:after="100"/>
      <w:ind w:left="240"/>
    </w:pPr>
  </w:style>
  <w:style w:styleId="TOC3" w:type="paragraph">
    <w:name w:val="toc 3"/>
    <w:basedOn w:val="Normal"/>
    <w:next w:val="Normal"/>
    <w:autoRedefine/>
    <w:uiPriority w:val="39"/>
    <w:rsid w:val="007D6A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22" Target=" https://doi.org/10.3390/agriculture13030577" TargetMode="External" /><Relationship Type="http://schemas.openxmlformats.org/officeDocument/2006/relationships/hyperlink" Id="rId89" Target="http://bit.ly/stl1990" TargetMode="External" /><Relationship Type="http://schemas.openxmlformats.org/officeDocument/2006/relationships/hyperlink" Id="rId106" Target="https://CRAN.R-project.org/package=fable" TargetMode="External" /><Relationship Type="http://schemas.openxmlformats.org/officeDocument/2006/relationships/hyperlink" Id="rId99" Target="https://OTexts.com/fpp3" TargetMode="External" /><Relationship Type="http://schemas.openxmlformats.org/officeDocument/2006/relationships/hyperlink" Id="rId104" Target="https://catalog.ihsn.org/citations/91017?fbclid=IwAR06pCHPm9d6ko-uxXndkeBPGmpGgp7plCg0BQwlXNBHWh8OdHbY4B23soc" TargetMode="External" /><Relationship Type="http://schemas.openxmlformats.org/officeDocument/2006/relationships/hyperlink" Id="rId84" Target="https://doi.org/10.1007/978-981-99-4472-9_2" TargetMode="External" /><Relationship Type="http://schemas.openxmlformats.org/officeDocument/2006/relationships/hyperlink" Id="rId87" Target="https://doi.org/10.1016/j.future.2018.05.045" TargetMode="External" /><Relationship Type="http://schemas.openxmlformats.org/officeDocument/2006/relationships/hyperlink" Id="rId116" Target="https://doi.org/10.1080/10618600.2019.1695624" TargetMode="External" /><Relationship Type="http://schemas.openxmlformats.org/officeDocument/2006/relationships/hyperlink" Id="rId91" Target="https://doi.org/10.17352/2455-815X.000096" TargetMode="External" /><Relationship Type="http://schemas.openxmlformats.org/officeDocument/2006/relationships/hyperlink" Id="rId118" Target="https://doi.org/10.21105/joss.01686" TargetMode="External" /><Relationship Type="http://schemas.openxmlformats.org/officeDocument/2006/relationships/hyperlink" Id="rId97" Target="https://doi.org/10.2139/ssrn.4113035" TargetMode="External" /><Relationship Type="http://schemas.openxmlformats.org/officeDocument/2006/relationships/hyperlink" Id="rId124" Target="https://doi.org/10.22434/IFAMR2019.0172" TargetMode="External" /><Relationship Type="http://schemas.openxmlformats.org/officeDocument/2006/relationships/hyperlink" Id="rId111" Target="https://doi.org/10.3390/agriculture13091671" TargetMode="External" /><Relationship Type="http://schemas.openxmlformats.org/officeDocument/2006/relationships/hyperlink" Id="rId120" Target="https://doi.org/10.3390/agronomy12112680" TargetMode="External" /><Relationship Type="http://schemas.openxmlformats.org/officeDocument/2006/relationships/hyperlink" Id="rId114" Target="https://doi.org/10.5281/ZENODO.3333529" TargetMode="External" /><Relationship Type="http://schemas.openxmlformats.org/officeDocument/2006/relationships/hyperlink" Id="rId108" Target="https://www.R-project.org/" TargetMode="External" /><Relationship Type="http://schemas.openxmlformats.org/officeDocument/2006/relationships/hyperlink" Id="rId94"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22" Target=" https://doi.org/10.3390/agriculture13030577" TargetMode="External" /><Relationship Type="http://schemas.openxmlformats.org/officeDocument/2006/relationships/hyperlink" Id="rId89" Target="http://bit.ly/stl1990" TargetMode="External" /><Relationship Type="http://schemas.openxmlformats.org/officeDocument/2006/relationships/hyperlink" Id="rId106" Target="https://CRAN.R-project.org/package=fable" TargetMode="External" /><Relationship Type="http://schemas.openxmlformats.org/officeDocument/2006/relationships/hyperlink" Id="rId99" Target="https://OTexts.com/fpp3" TargetMode="External" /><Relationship Type="http://schemas.openxmlformats.org/officeDocument/2006/relationships/hyperlink" Id="rId104" Target="https://catalog.ihsn.org/citations/91017?fbclid=IwAR06pCHPm9d6ko-uxXndkeBPGmpGgp7plCg0BQwlXNBHWh8OdHbY4B23soc" TargetMode="External" /><Relationship Type="http://schemas.openxmlformats.org/officeDocument/2006/relationships/hyperlink" Id="rId84" Target="https://doi.org/10.1007/978-981-99-4472-9_2" TargetMode="External" /><Relationship Type="http://schemas.openxmlformats.org/officeDocument/2006/relationships/hyperlink" Id="rId87" Target="https://doi.org/10.1016/j.future.2018.05.045" TargetMode="External" /><Relationship Type="http://schemas.openxmlformats.org/officeDocument/2006/relationships/hyperlink" Id="rId116" Target="https://doi.org/10.1080/10618600.2019.1695624" TargetMode="External" /><Relationship Type="http://schemas.openxmlformats.org/officeDocument/2006/relationships/hyperlink" Id="rId91" Target="https://doi.org/10.17352/2455-815X.000096" TargetMode="External" /><Relationship Type="http://schemas.openxmlformats.org/officeDocument/2006/relationships/hyperlink" Id="rId118" Target="https://doi.org/10.21105/joss.01686" TargetMode="External" /><Relationship Type="http://schemas.openxmlformats.org/officeDocument/2006/relationships/hyperlink" Id="rId97" Target="https://doi.org/10.2139/ssrn.4113035" TargetMode="External" /><Relationship Type="http://schemas.openxmlformats.org/officeDocument/2006/relationships/hyperlink" Id="rId124" Target="https://doi.org/10.22434/IFAMR2019.0172" TargetMode="External" /><Relationship Type="http://schemas.openxmlformats.org/officeDocument/2006/relationships/hyperlink" Id="rId111" Target="https://doi.org/10.3390/agriculture13091671" TargetMode="External" /><Relationship Type="http://schemas.openxmlformats.org/officeDocument/2006/relationships/hyperlink" Id="rId120" Target="https://doi.org/10.3390/agronomy12112680" TargetMode="External" /><Relationship Type="http://schemas.openxmlformats.org/officeDocument/2006/relationships/hyperlink" Id="rId114" Target="https://doi.org/10.5281/ZENODO.3333529" TargetMode="External" /><Relationship Type="http://schemas.openxmlformats.org/officeDocument/2006/relationships/hyperlink" Id="rId108" Target="https://www.R-project.org/" TargetMode="External" /><Relationship Type="http://schemas.openxmlformats.org/officeDocument/2006/relationships/hyperlink" Id="rId94"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54</Pages>
  <Words>13056</Words>
  <Characters>74425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87307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2024-08-05T11:42:16Z</dcterms:created>
  <dcterms:modified xsi:type="dcterms:W3CDTF">2024-08-05T11:42:16Z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