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of vegetable prices from the Nueva Vizcaya Agricultural Terminal (NVAT) to come up with models to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algorithms to the monthly prices of each vegetable in Nueva Vizcaya from 2017-2023.</w:t>
      </w:r>
    </w:p>
    <w:p>
      <w:pPr>
        <w:numPr>
          <w:ilvl w:val="0"/>
          <w:numId w:val="1001"/>
        </w:numPr>
      </w:pPr>
      <w:r>
        <w:t xml:space="preserve">Evaluate the performance of these models and determine the best automatic algorithm to forecast monthly vegetable prices in Nueva Vizcaya.</w:t>
      </w:r>
    </w:p>
    <w:p>
      <w:pPr>
        <w:numPr>
          <w:ilvl w:val="0"/>
          <w:numId w:val="1001"/>
        </w:numPr>
      </w:pPr>
      <w:r>
        <w:t xml:space="preserve">Use the best automatic approach to generate forecasts for monthly vegetable prices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vegetable prices at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vegetable prices.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2020a)</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(X. 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2020a;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vegetable prices.</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six years and 2 months.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algorithm and the automatic ETS algorithm</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that is 6 years and 3 months of data.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in price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the time series has a seasonal strength of 0.62, showing that 62% of the time series is accounted for by seasonality not considering trend. Prices peak in September and trough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Prices peak in September and trough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Prices peak in August and trough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Prices peak in August and trough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Prices peak in September and trough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Prices peak in September and trough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Prices peak in December and trough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Prices peak in September and trough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Prices peak in September and trough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Prices peak is in December and trough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Prices peak is in October and trough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Prices peak in September and trough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Most often the prices peak in the third quarter, while some peak in the fourth. All of the prices trough in the first quarter. Please see Appendix D for the seasonal and trend decomposition using LOESS (STL).</w:t>
      </w:r>
    </w:p>
    <w:p>
      <w:pPr>
        <w:pStyle w:val="BodyText"/>
      </w:pPr>
      <w:r>
        <w:t xml:space="preserve">Trend strength and seasonal strength of vegetable prices are influenced by supply and production levels, seasonal demand patterns, market conditions and consumer preferences, economic factors, environmental conditions, and logistic and transportation costs</w:t>
      </w:r>
      <w:r>
        <w:t xml:space="preserve"> </w:t>
      </w:r>
      <w:r>
        <w:t xml:space="preserve">(Illankoon &amp; Kumara, 2020b; Liu &amp; Ma, 2015; Q. Zhang et al., 2024)</w:t>
      </w:r>
      <w:r>
        <w:t xml:space="preserve">.</w:t>
      </w:r>
    </w:p>
    <w:p>
      <w:pPr>
        <w:pStyle w:val="BodyText"/>
      </w:pPr>
      <w:r>
        <w:t xml:space="preserve">These trends and seasonality allow farmers to plan accordingly in production and marketing, while consumers are better placed in making decisions on when to buy vegetables for the best prices and availability.</w:t>
      </w:r>
    </w:p>
    <w:p>
      <w:pPr>
        <w:pStyle w:val="BodyText"/>
      </w:pPr>
      <w:r>
        <w:t xml:space="preserve">For farmers, understanding these seasonal dynamics is crucial for optimizing production and marketing strategies. By aligning planting schedules with peak demand periods, they can maximize profits and reduce the risk of oversupply, which often leads to lower prices. Conversely, during low-demand months, farmers can plan for reduced production or explore alternative crops to mitigate financial losses.</w:t>
      </w:r>
    </w:p>
    <w:p>
      <w:pPr>
        <w:pStyle w:val="BodyText"/>
      </w:pPr>
      <w:r>
        <w:t xml:space="preserve">Consumers also benefit from this knowledge by timing their business processes with purchases during the trough period, when prices are generally lower. This strategic buying behavior not only helps consumers save money and encourages a more efficient market where supply and demand are better balanced.</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produced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only showed higher accuracy on all performance measures for gabi (galyang). Thus, the automatic ARIMA method was used to generate models to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r>
        <w:t xml:space="preserve">From January to April of 2024, a SARIMA model predicts that the price of cabbage will generally be rising. The average price is expected to increase from 9.78 in January to 24.98 in April, according to the point forecasts. Nonetheless, there is a lot of ambiguity surrounding these estimates. Especially in the later months, the confidence intervals are wide, suggesting a greater degree of unpredictability. For instance, even though there is an 80% likelihood that the price would drop between 5.28 and 15.34 in January, the range of possible price volatility increases to 9.31 to 46.71 in April.</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r>
        <w:t xml:space="preserve">Based on a SARIMA model, carrot prices are expected to remain relatively stable from January to April 2024, with a minor gain in January through March and a slight decrease in April. However, the model suggests that these forecasts are highly uncertain. The huge confidence intervals indicate the prospect of large price movements, especially at the 95% chance level. Although there is an 80% chance that the price in January will fall between 15.43 and 37.07, the range for April expands to 9.68 to 83.27, implying a far wider range of possible values.</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showed that all the ARIMA models have a large p-value. This indicates that there is no significant autocorrelation in the residuals up to 12 lags. This shows that the residuals of all the ARIMA models are independently distributed. Thus, the ARIMA models are a good fit to the data. They can be used in forecasting monthly vegetable prices at NVAT. However, the ETS model for gabi (galyang) has a p-value less than .05.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p>
      <w:pPr>
        <w:pStyle w:val="FirstParagraph"/>
      </w:pPr>
      <w:r>
        <w:t xml:space="preserve">The monthly vegetable prices in NVAT is comprised of prices for the following vegetables: broccoli, cabbage, carrot, cauliflower, celery, chayote (bunga), cucumber, gabi (galyang), pepper (sultan), pepper (taiwan), potato, and wombok. Among the time series, the vegetable with the most variability in price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 Furthermore, the vegetable with the strongest trend is gabi (galyang). Meanwhile, the vegetable that has the weakest trend is wombok. The vegetable with the strongest seasonality is cauliflower. Meanwhile, the vegetable with the weakest seasonality is cabbage. Most often the prices peak in the third quarter, while some peak in the fourth. All of the prices trough in the first quarter.</w:t>
      </w:r>
    </w:p>
    <w:p>
      <w:pPr>
        <w:pStyle w:val="BodyText"/>
      </w:pPr>
      <w:r>
        <w:t xml:space="preserve">On the other hand, the time series cross-validation generated 360 models for the monthly vegetable prices at NVAT. Out of these models, half are automatic ARIMA models and half are automatic ETS models; that is 15 ARIMA models and 15 ETS models for each vegetable.</w:t>
      </w:r>
    </w:p>
    <w:p>
      <w:pPr>
        <w:pStyle w:val="BodyText"/>
      </w:pPr>
      <w:r>
        <w:t xml:space="preserve">Evaluating the models, the automatic ARIMA method outperformed the automatic ETS method in all vegetables except for gabi (galyang).</w:t>
      </w:r>
    </w:p>
    <w:p>
      <w:pPr>
        <w:pStyle w:val="BodyText"/>
      </w:pPr>
      <w:r>
        <w:t xml:space="preserve">Finally, the automatic ARIMA method was used to forecast monthly vegetable prices at NVAT except for gabi (galyang) where automatic ETS was used. Forecasts for monthly vegetable prices from January to April, 2024 were made.</w:t>
      </w:r>
    </w:p>
    <w:bookmarkEnd w:id="127"/>
    <w:bookmarkStart w:id="128" w:name="conclusion"/>
    <w:p>
      <w:pPr>
        <w:pStyle w:val="Heading3"/>
      </w:pPr>
      <w:r>
        <w:t xml:space="preserve">Conclusion</w:t>
      </w:r>
    </w:p>
    <w:p>
      <w:pPr>
        <w:pStyle w:val="FirstParagraph"/>
      </w:pPr>
      <w:r>
        <w:t xml:space="preserve">The analysis of vegetable time series data reveals distinct seasonal pricing trends that are crucial for both farmers and consumers. Vegetables like broccoli and cauliflower exhibit strong trends with peak prices during high-demand months, prompting farmers to optimize production schedules and consumers to time their purchases strategically. In contrast, crops like cabbage and wombok show weak trend strength, indicating less predictable pricing patterns that require farmers to adapt to supply fluctuations while allowing consumers to benefit from lower prices during trough periods. Overall, understanding these dynamics enables farmers to align their harvests with market demands and helps consumers make informed purchasing decisions.</w:t>
      </w:r>
    </w:p>
    <w:p>
      <w:pPr>
        <w:pStyle w:val="BodyText"/>
      </w:pPr>
      <w:r>
        <w:t xml:space="preserve">R is a very powerful programming language allowing the analysis, modeling, and forecasting of monthly vegetable prices at NVAT through the</w:t>
      </w:r>
      <w:r>
        <w:t xml:space="preserve"> </w:t>
      </w:r>
      <w:r>
        <w:rPr>
          <w:rStyle w:val="VerbatimChar"/>
        </w:rPr>
        <w:t xml:space="preserve">fable</w:t>
      </w:r>
      <w:r>
        <w:t xml:space="preserve"> </w:t>
      </w:r>
      <w:r>
        <w:t xml:space="preserve">package and other packages in R used in this research. Aside from the time series cross-validation approach used in this research, the</w:t>
      </w:r>
      <w:r>
        <w:t xml:space="preserve"> </w:t>
      </w:r>
      <w:r>
        <w:rPr>
          <w:rStyle w:val="VerbatimChar"/>
        </w:rPr>
        <w:t xml:space="preserve">fable</w:t>
      </w:r>
      <w:r>
        <w:t xml:space="preserve"> </w:t>
      </w:r>
      <w:r>
        <w:t xml:space="preserve">package offers other powerful approaches to time series analysis. None the less, the automatic ARIMA and automatic ETS approaches of the</w:t>
      </w:r>
      <w:r>
        <w:t xml:space="preserve"> </w:t>
      </w:r>
      <w:r>
        <w:rPr>
          <w:rStyle w:val="VerbatimChar"/>
        </w:rPr>
        <w:t xml:space="preserve">fable</w:t>
      </w:r>
      <w:r>
        <w:t xml:space="preserve"> </w:t>
      </w:r>
      <w:r>
        <w:t xml:space="preserve">package are convenient ways of quickly generating models and forecasts for monthly vegetable prices at NVAT.</w:t>
      </w:r>
    </w:p>
    <w:p>
      <w:pPr>
        <w:pStyle w:val="BodyText"/>
      </w:pPr>
      <w:r>
        <w:t xml:space="preserve">On the other hand, the automatic ARIMA approach is better than automatic ETS approach in forecasting monthly vegetable prices at NVAT.</w:t>
      </w:r>
    </w:p>
    <w:p>
      <w:pPr>
        <w:pStyle w:val="BodyText"/>
      </w:pPr>
      <w:r>
        <w:t xml:space="preserve">The forecasts from the ARIMA and ETS models underscore significant implications for both farmers and consumers in the vegetable market. While ARIMA models provide reliable forecasts for most vegetables, enabling farmers to optimize their production and marketing strategies, the ETS model for gabi (galyang) highlights the complexities of price prediction. The anticipated upward trend in vegetable prices may enhance farmers’ revenues, yet it also poses challenges for consumers, particularly low-income households that depend on affordable access to vegetables. As these price dynamics evolve, it will be crucial for both parties to remain adaptable and informed, considering external factors such as supply fluctuations and market conditions, to name a few, that could further influence pricing and availability.</w:t>
      </w:r>
    </w:p>
    <w:bookmarkEnd w:id="128"/>
    <w:bookmarkStart w:id="129" w:name="recommendations"/>
    <w:p>
      <w:pPr>
        <w:pStyle w:val="Heading3"/>
      </w:pPr>
      <w:r>
        <w:t xml:space="preserve">Recommendations</w:t>
      </w:r>
    </w:p>
    <w:p>
      <w:pPr>
        <w:pStyle w:val="FirstParagraph"/>
      </w:pPr>
      <w:r>
        <w:t xml:space="preserve">To effectively navigate the fluctuating prices of vegetables throughout the year, farmers should closely monitor market trends and adjust their pricing strategies accordingly. For instance, during high-demand periods such as September, when prices peak for crops like broccoli, cauliflower, and gabi (galyang), farmers can capitalize on these spikes by ensuring their products are available at competitive prices. Conversely, during trough periods in March for various vegetables, farmers might consider promotional pricing or bundling strategies to encourage sales despite lower demand. Consumers, on the other hand, should be proactive in purchasing vegetables during these trough periods to benefit from lower prices, particularly for cabbage and wombok. By staying informed about seasonal price trends, both farmers and consumers can make more strategic decisions that enhance profitability and savings, respectively.</w:t>
      </w:r>
    </w:p>
    <w:p>
      <w:pPr>
        <w:pStyle w:val="BodyText"/>
      </w:pPr>
      <w:r>
        <w:t xml:space="preserve">Researchers should consider modeling the monthly vegetable prices at NVAT using other time series models. Other factors such as variables for weather conditions, supply chain dynamics, market trends, etc. should be integrated in the model to better capture the true price dynamics.</w:t>
      </w:r>
    </w:p>
    <w:p>
      <w:pPr>
        <w:pStyle w:val="BodyText"/>
      </w:pPr>
      <w:r>
        <w:t xml:space="preserve">Moreover, the use of R and the</w:t>
      </w:r>
      <w:r>
        <w:t xml:space="preserve"> </w:t>
      </w:r>
      <w:r>
        <w:rPr>
          <w:rStyle w:val="VerbatimChar"/>
        </w:rPr>
        <w:t xml:space="preserve">fable</w:t>
      </w:r>
      <w:r>
        <w:t xml:space="preserve"> </w:t>
      </w:r>
      <w:r>
        <w:t xml:space="preserve">package in forecasting monthly vegetable prices at NVAT is recommended. The use of the automatic ARIMA approach is a convenient way to generate accurate, precise, and reliable models and forecasts.</w:t>
      </w:r>
    </w:p>
    <w:p>
      <w:pPr>
        <w:pStyle w:val="BodyText"/>
      </w:pPr>
      <w:r>
        <w:t xml:space="preserve">Farmers should leverage the forecasts results to adjust production and marketing strategies proactively, while consumers, particularly those from low-income households and also business owners, should be informed about forecasts in prices to better manage their budget and strategy in purchases. Nonetheless, researchers should also validate the forecast results with the actual prices. Moreover, the use of these forecasts in making important decisions in farming, purchasing, and distribution should be studied.</w:t>
      </w:r>
    </w:p>
    <w:bookmarkEnd w:id="129"/>
    <w:bookmarkEnd w:id="130"/>
    <w:bookmarkEnd w:id="131"/>
    <w:bookmarkStart w:id="181" w:name="references"/>
    <w:p>
      <w:pPr>
        <w:pStyle w:val="Heading1"/>
      </w:pPr>
      <w:r>
        <w:t xml:space="preserve">References</w:t>
      </w:r>
    </w:p>
    <w:bookmarkStart w:id="180"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(2020a).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1" w:name="ref-illankoon2020a"/>
    <w:p>
      <w:pPr>
        <w:pStyle w:val="Bibliography"/>
      </w:pPr>
      <w:r>
        <w:t xml:space="preserve">Illankoon, I. M. G. L., &amp; Kumara, B. T. G. S. (2020b). Data mining approach for analyzing factors influencing vegetable prices.</w:t>
      </w:r>
      <w:r>
        <w:t xml:space="preserve"> </w:t>
      </w:r>
      <w:r>
        <w:rPr>
          <w:i/>
          <w:iCs/>
        </w:rPr>
        <w:t xml:space="preserve">2020 5th International Conference on Information Technology Research (ICITR)</w:t>
      </w:r>
      <w:r>
        <w:t xml:space="preserve">,</w:t>
      </w:r>
      <w:r>
        <w:t xml:space="preserve"> </w:t>
      </w:r>
      <w:r>
        <w:rPr>
          <w:i/>
          <w:iCs/>
        </w:rPr>
        <w:t xml:space="preserve">6</w:t>
      </w:r>
      <w:r>
        <w:t xml:space="preserve">, 1–6.</w:t>
      </w:r>
      <w:r>
        <w:t xml:space="preserve"> </w:t>
      </w:r>
      <w:hyperlink r:id="rId150">
        <w:r>
          <w:rPr>
            <w:rStyle w:val="Hyperlink"/>
          </w:rPr>
          <w:t xml:space="preserve">https://doi.org/10.1109/icitr51448.2020.9310897</w:t>
        </w:r>
      </w:hyperlink>
    </w:p>
    <w:bookmarkEnd w:id="151"/>
    <w:bookmarkStart w:id="152"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2"/>
    <w:bookmarkStart w:id="153"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3"/>
    <w:bookmarkStart w:id="155" w:name="ref-liu2015"/>
    <w:p>
      <w:pPr>
        <w:pStyle w:val="Bibliography"/>
      </w:pPr>
      <w:r>
        <w:t xml:space="preserve">Liu, P., &amp; Ma, J. (2015). The impact of the rise in vegetable prices on vegetable producer behavior</w:t>
      </w:r>
      <w:r>
        <w:t xml:space="preserve">based on the survey of vegetable producers in jiayu, hubei province.</w:t>
      </w:r>
      <w:r>
        <w:t xml:space="preserve"> </w:t>
      </w:r>
      <w:r>
        <w:rPr>
          <w:i/>
          <w:iCs/>
        </w:rPr>
        <w:t xml:space="preserve">SHS Web of Conferences</w:t>
      </w:r>
      <w:r>
        <w:t xml:space="preserve">,</w:t>
      </w:r>
      <w:r>
        <w:t xml:space="preserve"> </w:t>
      </w:r>
      <w:r>
        <w:rPr>
          <w:i/>
          <w:iCs/>
        </w:rPr>
        <w:t xml:space="preserve">17</w:t>
      </w:r>
      <w:r>
        <w:t xml:space="preserve">, 01011.</w:t>
      </w:r>
      <w:r>
        <w:t xml:space="preserve"> </w:t>
      </w:r>
      <w:hyperlink r:id="rId154">
        <w:r>
          <w:rPr>
            <w:rStyle w:val="Hyperlink"/>
          </w:rPr>
          <w:t xml:space="preserve">https://doi.org/10.1051/shsconf/20151701011</w:t>
        </w:r>
      </w:hyperlink>
    </w:p>
    <w:bookmarkEnd w:id="155"/>
    <w:bookmarkStart w:id="15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6">
        <w:r>
          <w:rPr>
            <w:rStyle w:val="Hyperlink"/>
          </w:rPr>
          <w:t xml:space="preserve">https://catalog.ihsn.org/citations/91017?fbclid=IwAR06pCHPm9d6ko-uxXndkeBPGmpGgp7plCg0BQwlXNBHWh8OdHbY4B23soc</w:t>
        </w:r>
      </w:hyperlink>
    </w:p>
    <w:bookmarkEnd w:id="157"/>
    <w:bookmarkStart w:id="159"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8">
        <w:r>
          <w:rPr>
            <w:rStyle w:val="Hyperlink"/>
          </w:rPr>
          <w:t xml:space="preserve">https://CRAN.R-project.org/package=fable</w:t>
        </w:r>
      </w:hyperlink>
    </w:p>
    <w:bookmarkEnd w:id="159"/>
    <w:bookmarkStart w:id="161"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60">
        <w:r>
          <w:rPr>
            <w:rStyle w:val="Hyperlink"/>
          </w:rPr>
          <w:t xml:space="preserve">https://www.R-project.org/</w:t>
        </w:r>
      </w:hyperlink>
    </w:p>
    <w:bookmarkEnd w:id="161"/>
    <w:bookmarkStart w:id="162"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62"/>
    <w:bookmarkStart w:id="164"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63">
        <w:r>
          <w:rPr>
            <w:rStyle w:val="Hyperlink"/>
          </w:rPr>
          <w:t xml:space="preserve">https://doi.org/10.3390/agriculture13091671</w:t>
        </w:r>
      </w:hyperlink>
    </w:p>
    <w:bookmarkEnd w:id="164"/>
    <w:bookmarkStart w:id="165"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5"/>
    <w:bookmarkStart w:id="16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6">
        <w:r>
          <w:rPr>
            <w:rStyle w:val="Hyperlink"/>
          </w:rPr>
          <w:t xml:space="preserve">https://doi.org/10.5281/ZENODO.3333529</w:t>
        </w:r>
      </w:hyperlink>
    </w:p>
    <w:bookmarkEnd w:id="167"/>
    <w:bookmarkStart w:id="169"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8">
        <w:r>
          <w:rPr>
            <w:rStyle w:val="Hyperlink"/>
          </w:rPr>
          <w:t xml:space="preserve">https://doi.org/10.1080/10618600.2019.1695624</w:t>
        </w:r>
      </w:hyperlink>
    </w:p>
    <w:bookmarkEnd w:id="169"/>
    <w:bookmarkStart w:id="17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0">
        <w:r>
          <w:rPr>
            <w:rStyle w:val="Hyperlink"/>
          </w:rPr>
          <w:t xml:space="preserve">https://doi.org/10.21105/joss.01686</w:t>
        </w:r>
      </w:hyperlink>
    </w:p>
    <w:bookmarkEnd w:id="171"/>
    <w:bookmarkStart w:id="17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72">
        <w:r>
          <w:rPr>
            <w:rStyle w:val="Hyperlink"/>
          </w:rPr>
          <w:t xml:space="preserve">https://doi.org/10.3390/agronomy12112680</w:t>
        </w:r>
      </w:hyperlink>
    </w:p>
    <w:bookmarkEnd w:id="173"/>
    <w:bookmarkStart w:id="17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4">
        <w:r>
          <w:rPr>
            <w:rStyle w:val="Hyperlink"/>
          </w:rPr>
          <w:t xml:space="preserve">https://doi.org/10.3390/agriculture13030577</w:t>
        </w:r>
      </w:hyperlink>
    </w:p>
    <w:bookmarkEnd w:id="175"/>
    <w:bookmarkStart w:id="177" w:name="ref-zhang2024"/>
    <w:p>
      <w:pPr>
        <w:pStyle w:val="Bibliography"/>
      </w:pPr>
      <w:r>
        <w:t xml:space="preserve">Zhang, Q., Yang, W., Zhao, A., Wang, X., Wang, Z., &amp; Zhang, L. (2024). Short-term forecasting of vegetable prices based on LSTM model</w:t>
      </w:r>
      <w:r>
        <w:t xml:space="preserve">Evidence from Beijing</w:t>
      </w:r>
      <w:r>
        <w:t xml:space="preserve">’</w:t>
      </w:r>
      <w:r>
        <w:t xml:space="preserve">s vegetable data.</w:t>
      </w:r>
      <w:r>
        <w:t xml:space="preserve"> </w:t>
      </w:r>
      <w:r>
        <w:rPr>
          <w:i/>
          <w:iCs/>
        </w:rPr>
        <w:t xml:space="preserve">PLOS ONE</w:t>
      </w:r>
      <w:r>
        <w:t xml:space="preserve">,</w:t>
      </w:r>
      <w:r>
        <w:t xml:space="preserve"> </w:t>
      </w:r>
      <w:r>
        <w:rPr>
          <w:i/>
          <w:iCs/>
        </w:rPr>
        <w:t xml:space="preserve">19</w:t>
      </w:r>
      <w:r>
        <w:t xml:space="preserve">(7), e0304881.</w:t>
      </w:r>
      <w:r>
        <w:t xml:space="preserve"> </w:t>
      </w:r>
      <w:hyperlink r:id="rId176">
        <w:r>
          <w:rPr>
            <w:rStyle w:val="Hyperlink"/>
          </w:rPr>
          <w:t xml:space="preserve">https://doi.org/10.1371/journal.pone.0304881</w:t>
        </w:r>
      </w:hyperlink>
    </w:p>
    <w:bookmarkEnd w:id="177"/>
    <w:bookmarkStart w:id="179"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8">
        <w:r>
          <w:rPr>
            <w:rStyle w:val="Hyperlink"/>
          </w:rPr>
          <w:t xml:space="preserve">https://doi.org/10.22434/IFAMR2019.0172</w:t>
        </w:r>
      </w:hyperlink>
    </w:p>
    <w:bookmarkEnd w:id="179"/>
    <w:bookmarkEnd w:id="180"/>
    <w:bookmarkEnd w:id="181"/>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58"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6"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4" Target="https://doi.org/10.1051/shsconf/20151701011" TargetMode="External" /><Relationship Type="http://schemas.openxmlformats.org/officeDocument/2006/relationships/hyperlink" Id="rId168" Target="https://doi.org/10.1080/10618600.2019.1695624" TargetMode="External" /><Relationship Type="http://schemas.openxmlformats.org/officeDocument/2006/relationships/hyperlink" Id="rId150" Target="https://doi.org/10.1109/icitr51448.2020.9310897" TargetMode="External" /><Relationship Type="http://schemas.openxmlformats.org/officeDocument/2006/relationships/hyperlink" Id="rId176"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0"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8" Target="https://doi.org/10.22434/IFAMR2019.0172" TargetMode="External" /><Relationship Type="http://schemas.openxmlformats.org/officeDocument/2006/relationships/hyperlink" Id="rId174" Target="https://doi.org/10.3390/agriculture13030577" TargetMode="External" /><Relationship Type="http://schemas.openxmlformats.org/officeDocument/2006/relationships/hyperlink" Id="rId163" Target="https://doi.org/10.3390/agriculture13091671" TargetMode="External" /><Relationship Type="http://schemas.openxmlformats.org/officeDocument/2006/relationships/hyperlink" Id="rId172" Target="https://doi.org/10.3390/agronomy12112680" TargetMode="External" /><Relationship Type="http://schemas.openxmlformats.org/officeDocument/2006/relationships/hyperlink" Id="rId166" Target="https://doi.org/10.5281/ZENODO.3333529" TargetMode="External" /><Relationship Type="http://schemas.openxmlformats.org/officeDocument/2006/relationships/hyperlink" Id="rId160"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58"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6"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4" Target="https://doi.org/10.1051/shsconf/20151701011" TargetMode="External" /><Relationship Type="http://schemas.openxmlformats.org/officeDocument/2006/relationships/hyperlink" Id="rId168" Target="https://doi.org/10.1080/10618600.2019.1695624" TargetMode="External" /><Relationship Type="http://schemas.openxmlformats.org/officeDocument/2006/relationships/hyperlink" Id="rId150" Target="https://doi.org/10.1109/icitr51448.2020.9310897" TargetMode="External" /><Relationship Type="http://schemas.openxmlformats.org/officeDocument/2006/relationships/hyperlink" Id="rId176"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0"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8" Target="https://doi.org/10.22434/IFAMR2019.0172" TargetMode="External" /><Relationship Type="http://schemas.openxmlformats.org/officeDocument/2006/relationships/hyperlink" Id="rId174" Target="https://doi.org/10.3390/agriculture13030577" TargetMode="External" /><Relationship Type="http://schemas.openxmlformats.org/officeDocument/2006/relationships/hyperlink" Id="rId163" Target="https://doi.org/10.3390/agriculture13091671" TargetMode="External" /><Relationship Type="http://schemas.openxmlformats.org/officeDocument/2006/relationships/hyperlink" Id="rId172" Target="https://doi.org/10.3390/agronomy12112680" TargetMode="External" /><Relationship Type="http://schemas.openxmlformats.org/officeDocument/2006/relationships/hyperlink" Id="rId166" Target="https://doi.org/10.5281/ZENODO.3333529" TargetMode="External" /><Relationship Type="http://schemas.openxmlformats.org/officeDocument/2006/relationships/hyperlink" Id="rId160"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2024-11-16T07:20:02Z</dcterms:created>
  <dcterms:modified xsi:type="dcterms:W3CDTF">2024-11-16T07:20:02Z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