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will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Determine the optimal AutoRegressive Integrated Moving Average (ARIMA) and Exponential Smoothing (ETS) models for forecasting monthly prices for each vegetable in Nueva Vizcaya.</w:t>
      </w:r>
    </w:p>
    <w:p>
      <w:pPr>
        <w:numPr>
          <w:ilvl w:val="0"/>
          <w:numId w:val="1001"/>
        </w:numPr>
      </w:pPr>
      <w:r>
        <w:t xml:space="preserve">Determine and describe the performance of the optimal model — whether ARIMA or ETS — for forecasting monthly prices for each vegetable in Nueva Vizcaya.</w:t>
      </w:r>
    </w:p>
    <w:p>
      <w:pPr>
        <w:numPr>
          <w:ilvl w:val="0"/>
          <w:numId w:val="1001"/>
        </w:numPr>
      </w:pPr>
      <w:r>
        <w:t xml:space="preserve">Use the optimal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will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will serve as a valuable foundation for future researchers interested in agricultural economics, market dynamics, and forecasting methodologies. It will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on forecasting the monthly prices of vegetables in NVAT, Bambang, Nueva Vizcaya. The researchers will use available time series of vegetable prices from NVAT. From this data, monthly time series of prices for each vegetable will be defined and described. ARIMA and ETS models will then be fitted to the data using automatic algorithms to determine optimal models for each vegetable. Time series cross-validation and a comparison of computed point forecast measures will help identify the optimal model that will be used in forecasting monthly prices for each vegetable. A portmanteau test of residuals will also be used to describe the performance of each optimal model chosen to forecast monthly vegetable prices for each vegetable.</w:t>
      </w:r>
    </w:p>
    <w:p>
      <w:pPr>
        <w:pStyle w:val="BodyText"/>
      </w:pPr>
      <w:r>
        <w:t xml:space="preserve">The researchers will not make adjustments and transformations to the data. Model specifications will not be set either, as this process will be performed automatically using default settings. All computations and visualizations will be performed in the R programming language</w:t>
      </w:r>
      <w:r>
        <w:t xml:space="preserve"> </w:t>
      </w:r>
      <w:r>
        <w:t xml:space="preserve">(R Core Team, 2023)</w:t>
      </w:r>
      <w:r>
        <w:t xml:space="preserve">. Moreover, external variables impacting vegetable prices will not be investigated nor will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the available time series of vegetable prices from NVAT. The output will be ARIMA and/or ETS models and their corresponding monthly forecasts. Under process, automatic algorithms will determine the best ARIMA and ETS models. From this, the better model will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will be employed for time series analysis to identify the optimal ARIMA and ETS models for each vegetable. Subsequently, the optimal ARIMA or ETS model for forecasting the prices of each vegetable will be determined using time series cross-validation, enabling a comparison of their point forecast accuracy measures.Also, a portmanteau test of residuals will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Exponential Smoothing (ETS).</w:t>
      </w:r>
      <w:r>
        <w:t xml:space="preserve"> </w:t>
      </w:r>
      <w:r>
        <w:t xml:space="preserve">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w:t>
      </w:r>
      <w:r>
        <w:t xml:space="preserve">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The Nueva Vizcaya Agricultural Terminal (NVAT).</w:t>
      </w:r>
      <w:r>
        <w:t xml:space="preserve"> </w:t>
      </w:r>
      <w:r>
        <w:t xml:space="preserve">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w:t>
      </w:r>
      <w:r>
        <w:t xml:space="preserve">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Seasonal AutoRegressive Integrated Moving Average (SARIMA).</w:t>
      </w:r>
      <w:r>
        <w:t xml:space="preserve"> </w:t>
      </w:r>
      <w:r>
        <w:t xml:space="preserve">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w:t>
      </w:r>
      <w:r>
        <w:t xml:space="preserve">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w:t>
      </w:r>
      <w:r>
        <w:t xml:space="preserve">Vegetable price refers to the cost or price at which vegetables are bought or sold in a market or region. It is a key indicator in economics and agriculture, reflecting supply and demand dynamics.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optimal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 The model with lower point forecast accuracy measures will be selected.</w:t>
      </w:r>
    </w:p>
    <w:p>
      <w:pPr>
        <w:pStyle w:val="BodyText"/>
      </w:pPr>
      <w:r>
        <w:t xml:space="preserve">Furthermore, a portmanteau test in the form of the Ljung-Box test will be computed. This will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will be used to forecast monthly vegetable prices in Nueva Vizcaya.</w:t>
      </w:r>
    </w:p>
    <w:bookmarkEnd w:id="50"/>
    <w:bookmarkEnd w:id="51"/>
    <w:bookmarkEnd w:id="52"/>
    <w:bookmarkStart w:id="62" w:name="chapter-iv"/>
    <w:p>
      <w:pPr>
        <w:pStyle w:val="Heading1"/>
      </w:pPr>
      <w:r>
        <w:t xml:space="preserve">CHAPTER IV</w:t>
      </w:r>
    </w:p>
    <w:bookmarkStart w:id="61" w:name="results-and-discussion"/>
    <w:p>
      <w:pPr>
        <w:pStyle w:val="Heading2"/>
      </w:pPr>
      <w:r>
        <w:t xml:space="preserve">RESULTS AND DISCUSSION</w:t>
      </w:r>
    </w:p>
    <w:bookmarkStart w:id="59" w:name="monthly-prices-of-vegetables-in-nvat"/>
    <w:p>
      <w:pPr>
        <w:pStyle w:val="Heading3"/>
      </w:pPr>
      <w:r>
        <w:t xml:space="preserve">Monthly Prices of Vegetables in NVAT</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bookmarkEnd w:id="59"/>
    <w:bookmarkStart w:id="60"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bookmarkEnd w:id="60"/>
    <w:bookmarkEnd w:id="61"/>
    <w:bookmarkEnd w:id="62"/>
    <w:bookmarkStart w:id="106" w:name="references"/>
    <w:p>
      <w:pPr>
        <w:pStyle w:val="Heading1"/>
      </w:pPr>
      <w:r>
        <w:t xml:space="preserve">References</w:t>
      </w:r>
    </w:p>
    <w:bookmarkStart w:id="105" w:name="refs"/>
    <w:bookmarkStart w:id="64"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3">
        <w:r>
          <w:rPr>
            <w:rStyle w:val="Hyperlink"/>
          </w:rPr>
          <w:t xml:space="preserve">https://doi.org/10.1007/978-981-99-4472-9_2</w:t>
        </w:r>
      </w:hyperlink>
    </w:p>
    <w:bookmarkEnd w:id="64"/>
    <w:bookmarkStart w:id="65"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5"/>
    <w:bookmarkStart w:id="67"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6">
        <w:r>
          <w:rPr>
            <w:rStyle w:val="Hyperlink"/>
          </w:rPr>
          <w:t xml:space="preserve">https://doi.org/10.1016/j.future.2018.05.045</w:t>
        </w:r>
      </w:hyperlink>
    </w:p>
    <w:bookmarkEnd w:id="67"/>
    <w:bookmarkStart w:id="69"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68">
        <w:r>
          <w:rPr>
            <w:rStyle w:val="Hyperlink"/>
          </w:rPr>
          <w:t xml:space="preserve">http://bit.ly/stl1990</w:t>
        </w:r>
      </w:hyperlink>
    </w:p>
    <w:bookmarkEnd w:id="69"/>
    <w:bookmarkStart w:id="71"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0">
        <w:r>
          <w:rPr>
            <w:rStyle w:val="Hyperlink"/>
          </w:rPr>
          <w:t xml:space="preserve">https://doi.org/10.17352/2455-815X.000096</w:t>
        </w:r>
      </w:hyperlink>
    </w:p>
    <w:bookmarkEnd w:id="71"/>
    <w:bookmarkStart w:id="72"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2"/>
    <w:bookmarkStart w:id="74" w:name="ref-fao"/>
    <w:p>
      <w:pPr>
        <w:pStyle w:val="Bibliography"/>
      </w:pPr>
      <w:r>
        <w:rPr>
          <w:iCs/>
          <w:i/>
        </w:rPr>
        <w:t xml:space="preserve">FAOSTAT</w:t>
      </w:r>
      <w:r>
        <w:t xml:space="preserve">. (n.d.). Retrieved November 16, 2023, from</w:t>
      </w:r>
      <w:r>
        <w:t xml:space="preserve"> </w:t>
      </w:r>
      <w:hyperlink r:id="rId73">
        <w:r>
          <w:rPr>
            <w:rStyle w:val="Hyperlink"/>
          </w:rPr>
          <w:t xml:space="preserve">https://www.fao.org/faostat/en/#home</w:t>
        </w:r>
      </w:hyperlink>
    </w:p>
    <w:bookmarkEnd w:id="74"/>
    <w:bookmarkStart w:id="75"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5"/>
    <w:bookmarkStart w:id="77"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6">
        <w:r>
          <w:rPr>
            <w:rStyle w:val="Hyperlink"/>
          </w:rPr>
          <w:t xml:space="preserve">https://doi.org/10.2139/ssrn.4113035</w:t>
        </w:r>
      </w:hyperlink>
    </w:p>
    <w:bookmarkEnd w:id="77"/>
    <w:bookmarkStart w:id="79"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78">
        <w:r>
          <w:rPr>
            <w:rStyle w:val="Hyperlink"/>
          </w:rPr>
          <w:t xml:space="preserve">OTexts.com/fpp3</w:t>
        </w:r>
      </w:hyperlink>
    </w:p>
    <w:bookmarkEnd w:id="79"/>
    <w:bookmarkStart w:id="80"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0"/>
    <w:bookmarkStart w:id="81"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1"/>
    <w:bookmarkStart w:id="8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2"/>
    <w:bookmarkStart w:id="8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3">
        <w:r>
          <w:rPr>
            <w:rStyle w:val="Hyperlink"/>
          </w:rPr>
          <w:t xml:space="preserve">https://catalog.ihsn.org/citations/91017?fbclid=IwAR06pCHPm9d6ko-uxXndkeBPGmpGgp7plCg0BQwlXNBHWh8OdHbY4B23soc</w:t>
        </w:r>
      </w:hyperlink>
    </w:p>
    <w:bookmarkEnd w:id="84"/>
    <w:bookmarkStart w:id="8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5">
        <w:r>
          <w:rPr>
            <w:rStyle w:val="Hyperlink"/>
          </w:rPr>
          <w:t xml:space="preserve">https://CRAN.R-project.org/package=fable</w:t>
        </w:r>
      </w:hyperlink>
    </w:p>
    <w:bookmarkEnd w:id="86"/>
    <w:bookmarkStart w:id="88"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89"/>
    <w:bookmarkStart w:id="9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0">
        <w:r>
          <w:rPr>
            <w:rStyle w:val="Hyperlink"/>
          </w:rPr>
          <w:t xml:space="preserve">https://doi.org/10.3390/agriculture13091671</w:t>
        </w:r>
      </w:hyperlink>
    </w:p>
    <w:bookmarkEnd w:id="91"/>
    <w:bookmarkStart w:id="9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2"/>
    <w:bookmarkStart w:id="9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3">
        <w:r>
          <w:rPr>
            <w:rStyle w:val="Hyperlink"/>
          </w:rPr>
          <w:t xml:space="preserve">https://doi.org/10.5281/ZENODO.3333529</w:t>
        </w:r>
      </w:hyperlink>
    </w:p>
    <w:bookmarkEnd w:id="94"/>
    <w:bookmarkStart w:id="9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5">
        <w:r>
          <w:rPr>
            <w:rStyle w:val="Hyperlink"/>
          </w:rPr>
          <w:t xml:space="preserve">https://doi.org/10.1080/10618600.2019.1695624</w:t>
        </w:r>
      </w:hyperlink>
    </w:p>
    <w:bookmarkEnd w:id="96"/>
    <w:bookmarkStart w:id="9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7">
        <w:r>
          <w:rPr>
            <w:rStyle w:val="Hyperlink"/>
          </w:rPr>
          <w:t xml:space="preserve">https://doi.org/10.21105/joss.01686</w:t>
        </w:r>
      </w:hyperlink>
    </w:p>
    <w:bookmarkEnd w:id="98"/>
    <w:bookmarkStart w:id="10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99">
        <w:r>
          <w:rPr>
            <w:rStyle w:val="Hyperlink"/>
          </w:rPr>
          <w:t xml:space="preserve">https://doi.org/10.3390/agronomy12112680</w:t>
        </w:r>
      </w:hyperlink>
    </w:p>
    <w:bookmarkEnd w:id="100"/>
    <w:bookmarkStart w:id="102"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1">
        <w:r>
          <w:rPr>
            <w:rStyle w:val="Hyperlink"/>
          </w:rPr>
          <w:t xml:space="preserve">https://doi.org/10.3390/agriculture13030577</w:t>
        </w:r>
      </w:hyperlink>
    </w:p>
    <w:bookmarkEnd w:id="102"/>
    <w:bookmarkStart w:id="104"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3">
        <w:r>
          <w:rPr>
            <w:rStyle w:val="Hyperlink"/>
          </w:rPr>
          <w:t xml:space="preserve">https://doi.org/10.22434/IFAMR2019.0172</w:t>
        </w:r>
      </w:hyperlink>
    </w:p>
    <w:bookmarkEnd w:id="104"/>
    <w:bookmarkEnd w:id="105"/>
    <w:bookmarkEnd w:id="106"/>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1" Target=" https://doi.org/10.3390/agriculture13030577" TargetMode="External" /><Relationship Type="http://schemas.openxmlformats.org/officeDocument/2006/relationships/hyperlink" Id="rId68" Target="http://bit.ly/stl1990" TargetMode="External" /><Relationship Type="http://schemas.openxmlformats.org/officeDocument/2006/relationships/hyperlink" Id="rId85" Target="https://CRAN.R-project.org/package=fable" TargetMode="External" /><Relationship Type="http://schemas.openxmlformats.org/officeDocument/2006/relationships/hyperlink" Id="rId78" Target="https://OTexts.com/fpp3" TargetMode="External" /><Relationship Type="http://schemas.openxmlformats.org/officeDocument/2006/relationships/hyperlink" Id="rId83" Target="https://catalog.ihsn.org/citations/91017?fbclid=IwAR06pCHPm9d6ko-uxXndkeBPGmpGgp7plCg0BQwlXNBHWh8OdHbY4B23soc" TargetMode="External" /><Relationship Type="http://schemas.openxmlformats.org/officeDocument/2006/relationships/hyperlink" Id="rId63" Target="https://doi.org/10.1007/978-981-99-4472-9_2" TargetMode="External" /><Relationship Type="http://schemas.openxmlformats.org/officeDocument/2006/relationships/hyperlink" Id="rId66" Target="https://doi.org/10.1016/j.future.2018.05.045" TargetMode="External" /><Relationship Type="http://schemas.openxmlformats.org/officeDocument/2006/relationships/hyperlink" Id="rId95" Target="https://doi.org/10.1080/10618600.2019.1695624" TargetMode="External" /><Relationship Type="http://schemas.openxmlformats.org/officeDocument/2006/relationships/hyperlink" Id="rId70" Target="https://doi.org/10.17352/2455-815X.000096" TargetMode="External" /><Relationship Type="http://schemas.openxmlformats.org/officeDocument/2006/relationships/hyperlink" Id="rId97" Target="https://doi.org/10.21105/joss.01686" TargetMode="External" /><Relationship Type="http://schemas.openxmlformats.org/officeDocument/2006/relationships/hyperlink" Id="rId76" Target="https://doi.org/10.2139/ssrn.4113035" TargetMode="External" /><Relationship Type="http://schemas.openxmlformats.org/officeDocument/2006/relationships/hyperlink" Id="rId103" Target="https://doi.org/10.22434/IFAMR2019.0172" TargetMode="External" /><Relationship Type="http://schemas.openxmlformats.org/officeDocument/2006/relationships/hyperlink" Id="rId90" Target="https://doi.org/10.3390/agriculture13091671" TargetMode="External" /><Relationship Type="http://schemas.openxmlformats.org/officeDocument/2006/relationships/hyperlink" Id="rId99" Target="https://doi.org/10.3390/agronomy12112680" TargetMode="External" /><Relationship Type="http://schemas.openxmlformats.org/officeDocument/2006/relationships/hyperlink" Id="rId93" Target="https://doi.org/10.5281/ZENODO.3333529" TargetMode="External" /><Relationship Type="http://schemas.openxmlformats.org/officeDocument/2006/relationships/hyperlink" Id="rId87" Target="https://www.R-project.org/" TargetMode="External" /><Relationship Type="http://schemas.openxmlformats.org/officeDocument/2006/relationships/hyperlink" Id="rId73"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2024-05-23T05:44:35Z</dcterms:created>
  <dcterms:modified xsi:type="dcterms:W3CDTF">2024-05-23T05:44:35Z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