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64.png" ContentType="image/png"/>
  <Override PartName="/word/media/rId69.png" ContentType="image/png"/>
  <Override PartName="/word/media/rId74.png" ContentType="image/png"/>
  <Override PartName="/word/media/rId79.png" ContentType="image/png"/>
  <Override PartName="/word/media/rId84.png" ContentType="image/png"/>
  <Override PartName="/word/media/rId89.png" ContentType="image/png"/>
  <Override PartName="/word/media/rId94.png" ContentType="image/png"/>
  <Override PartName="/word/media/rId99.png" ContentType="image/png"/>
  <Override PartName="/word/media/rId104.png" ContentType="image/png"/>
  <Override PartName="/word/media/rId109.png" ContentType="image/png"/>
  <Override PartName="/word/media/rId53.png" ContentType="image/png"/>
  <Override PartName="/word/media/rId114.png" ContentType="image/png"/>
  <Override PartName="/word/media/rId119.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
          <w:iCs/>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provided forecasts of monthly vegetable prices in Nueva Vizcaya. This effort aimed to assist them in making informed decisions regarding agricultural production, distribution, and vegetable purchases.</w:t>
      </w:r>
    </w:p>
    <w:p>
      <w:pPr>
        <w:pStyle w:val="BodyText"/>
      </w:pPr>
      <w:r>
        <w:t xml:space="preserve">To do this, the researchers used five years of available time series data on vegetable prices from the Nueva Vizcaya Agricultural Terminal (NVAT) to come up with models that forecast monthly vegetable prices in Nueva Vizcaya. First, the researchers described the monthly vegetable prices in Nueva Vizcaya. Next, they fitted models to the data using automatic methods. The researchers then determined which automatic method had the best forecast performance for each vegetable and used these methods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forecasted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Fit models using automatic methods to the monthly prices of each vegetable in Nueva Vizcaya from 2017-2023.</w:t>
      </w:r>
    </w:p>
    <w:p>
      <w:pPr>
        <w:numPr>
          <w:ilvl w:val="0"/>
          <w:numId w:val="1001"/>
        </w:numPr>
      </w:pPr>
      <w:r>
        <w:t xml:space="preserve">Evaluate the performance of these models and determine the best method to forecast monthly prices for each vegetable in Nueva Vizcaya.</w:t>
      </w:r>
    </w:p>
    <w:p>
      <w:pPr>
        <w:numPr>
          <w:ilvl w:val="0"/>
          <w:numId w:val="1001"/>
        </w:numPr>
      </w:pPr>
      <w:r>
        <w:t xml:space="preserve">Use the best method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
          <w:bCs/>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
          <w:bCs/>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
          <w:bCs/>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
          <w:bCs/>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
          <w:bCs/>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
          <w:bCs/>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
          <w:bCs/>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focused on forecasting the monthly prices of vegetables in NVAT, Bambang, Nueva Vizcaya. The researchers used time series of vegetable prices for five years available from NVAT. From this data, monthly time series of prices for each vegetable were described. ARIMA, SARIMA, and ETS models were then fitted to the data using automatic algorithms and time series cross-validation to generate optimal models for each vegetable. Comparison of computed point forecast measures for the generated models determined the best automatic method to use in forecasting monthly prices for each vegetable. A portmanteau test of residuals was used to assess the performance of the models generated by the best automatic method to forecast monthly prices for each vegetable.</w:t>
      </w:r>
    </w:p>
    <w:p>
      <w:pPr>
        <w:pStyle w:val="BodyText"/>
      </w:pPr>
      <w:r>
        <w:t xml:space="preserve">The researchers performed log transformations with the data to make sure that forecasts stay positive. Model specifications were not set either, as this process was performed automatically using default settings. All computations and visualizations were performed in the R programming language</w:t>
      </w:r>
      <w:r>
        <w:t xml:space="preserve"> </w:t>
      </w:r>
      <w:r>
        <w:t xml:space="preserve">(R Core Team, 2023)</w:t>
      </w:r>
      <w:r>
        <w:t xml:space="preserve">. Moreover, external variables impacting vegetable prices were not investigated nor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guided the researchers in conducting the study. It consists of input, process, and output. The input is the available time series of vegetable prices from NVAT. The outputs are ARIMA, SARIMA, and ETS models generated by the best automatic method for each vegetable, along with their corresponding monthly forecasts. Under process, time series analysis was carried out using automatic algorithms in time series cross-validation to generate different optimal ARIMA, SARIMA, and ETS models for each vegetable. From this, the best automatic method for each vegetable was determined by comparing the point forecast accuracy measures of the models generated. Also, portmanteau test of residuals was performed to describe the performance of the final model for each vegetable.</w:t>
      </w:r>
    </w:p>
    <w:tbl>
      <w:tblPr>
        <w:tblStyle w:val="Table"/>
        <w:tblW w:type="pct" w:w="5000"/>
        <w:tblLayout w:type="fixed"/>
        <w:tblLook w:firstRow="0" w:lastRow="0" w:firstColumn="0" w:lastColumn="0" w:noHBand="0" w:noVBand="0" w:val="0000"/>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p>
    <w:bookmarkEnd w:id="29"/>
    <w:bookmarkStart w:id="30" w:name="definition-of-terms"/>
    <w:p>
      <w:pPr>
        <w:pStyle w:val="Heading3"/>
      </w:pPr>
      <w:r>
        <w:t xml:space="preserve">Definition of Terms</w:t>
      </w:r>
    </w:p>
    <w:p>
      <w:pPr>
        <w:pStyle w:val="FirstParagraph"/>
      </w:pPr>
      <w:r>
        <w:rPr>
          <w:b/>
          <w:bCs/>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
          <w:bCs/>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The Nueva Vizcaya Agricultural Terminal (NVAT).</w:t>
      </w:r>
      <w:r>
        <w:t xml:space="preserve"> </w:t>
      </w:r>
      <w:r>
        <w:t xml:space="preserve">Place to gather data of monthly vegetable prices.</w:t>
      </w:r>
    </w:p>
    <w:p>
      <w:pPr>
        <w:pStyle w:val="BodyText"/>
      </w:pPr>
      <w:r>
        <w:rPr>
          <w:b/>
          <w:bCs/>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
          <w:bCs/>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
          <w:bCs/>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
          <w:bCs/>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is purely quantitative in nature. Specifically, the researchers employed comparative time series forecasting</w:t>
      </w:r>
      <w:r>
        <w:t xml:space="preserve"> </w:t>
      </w:r>
      <w:r>
        <w:t xml:space="preserve">(Hyndman &amp; Athanasopoulos, 2021)</w:t>
      </w:r>
      <w:r>
        <w:t xml:space="preserve">. In this study, AutoRegressive Integrated Moving Average (ARIMA) and Exponential Smoothing (ETS) models were compared to determine the best model to forecast monthly prices for each vegetable.</w:t>
      </w:r>
    </w:p>
    <w:bookmarkEnd w:id="38"/>
    <w:bookmarkStart w:id="43" w:name="locale-of-the-study"/>
    <w:p>
      <w:pPr>
        <w:pStyle w:val="Heading3"/>
      </w:pPr>
      <w:r>
        <w:t xml:space="preserve">Locale of the Study</w:t>
      </w:r>
    </w:p>
    <w:p>
      <w:pPr>
        <w:pStyle w:val="FirstParagraph"/>
      </w:pPr>
      <w:r>
        <w:t xml:space="preserve">The study was conducted in Bambang, Nueva Vizcaya. Specifically, the data for this study was collected from the Nueva Vizcaya Agricultural Terminal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p>
      <w:pPr>
        <w:pStyle w:val="BodyText"/>
      </w:pPr>
    </w:p>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Five (5) years available time series of vegetable prices from the NVAT were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inquired about the background and data policy of NVAT by visiting its office. Additionally, letters requesting permission to gather data for the research were written to the NVSU President, NVAT General Manager, and the Municipal Mayor of Bambang (refer to Appendix A, B, and C, respectively). Subsequently, the researchers were able to collect time series of vegetable prices for five (5) years. Throughout the data collection process, strict adherence to ethical considerations, including data confidentiality and approval from appropriate authorities, were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followed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p>
    <w:p>
      <w:pPr>
        <w:pStyle w:val="BodyText"/>
      </w:pPr>
      <w:r>
        <w:t xml:space="preserve">The tidy part involves preparing the raw data in the correct format. This includes loading the raw data into R and identifying and resolving missing values to create a tidy time series data for monthly vegetable prices. The researchers utilized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visualized the monthly vegetable prices in Nueva Vizcaya. The trend and seasonal components of the data were also visualized using the seasonal and trend decomposition using LOESS (STL) method developed by</w:t>
      </w:r>
      <w:r>
        <w:t xml:space="preserve"> </w:t>
      </w:r>
      <w:r>
        <w:t xml:space="preserve">Cleveland et al. (1990)</w:t>
      </w:r>
      <w:r>
        <w:t xml:space="preserve">. These visualizations were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were used to estimate or fit optimal ARIMA and ETS models to the data. The researchers would implement these algorithms in R using the</w:t>
      </w:r>
      <w:r>
        <w:t xml:space="preserve"> </w:t>
      </w:r>
      <w:r>
        <w:rPr>
          <w:rStyle w:val="VerbatimChar"/>
        </w:rPr>
        <w:t xml:space="preserve">fable</w:t>
      </w:r>
      <w:r>
        <w:t xml:space="preserve"> </w:t>
      </w:r>
      <w:r>
        <w:t xml:space="preserve">package</w:t>
      </w:r>
      <w:r>
        <w:t xml:space="preserve"> </w:t>
      </w:r>
      <w:r>
        <w:t xml:space="preserve">(O’Hara-Wild et al., 2023)</w:t>
      </w:r>
      <w:r>
        <w:t xml:space="preserve">.</w:t>
      </w:r>
    </w:p>
    <w:p>
      <w:pPr>
        <w:pStyle w:val="BodyText"/>
      </w:pPr>
      <w:r>
        <w:t xml:space="preserve">Moreover, time series cross-validation was used to evaluate the forecast accuracy of the automatic ARIMA method and the automatic ETS method</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were computed from the generated models and then compared to determine the best method to be used in forecasting monthly vegetable prices. The method with lower point forecast accuracy measures was selected as the best method for each vegetable.</w:t>
      </w:r>
    </w:p>
    <w:p>
      <w:pPr>
        <w:pStyle w:val="BodyText"/>
      </w:pPr>
      <w:r>
        <w:t xml:space="preserve">Then, the best method for each vegetable was used to generate models to forecast monthly vegetable prices in Nueva Vizcaya.</w:t>
      </w:r>
    </w:p>
    <w:p>
      <w:pPr>
        <w:pStyle w:val="BodyText"/>
      </w:pPr>
      <w:r>
        <w:t xml:space="preserve">Finally, a portmanteau test in the form of the Ljung-Box test was computed for the models used to forecast monthly vegetable prices. This allowed the researchers to describe the performance of these models. Computed p-values greater than .05 confirm that the residuals are similar to white noise. Otherwise, the residuals still have some remaining autocorrelation that is not accounted for in the model</w:t>
      </w:r>
      <w:r>
        <w:t xml:space="preserve"> </w:t>
      </w:r>
      <w:r>
        <w:t xml:space="preserve">(Hyndman &amp; Athanasopoulos, 2021)</w:t>
      </w:r>
      <w:r>
        <w:t xml:space="preserve">.</w:t>
      </w:r>
    </w:p>
    <w:bookmarkEnd w:id="50"/>
    <w:bookmarkEnd w:id="51"/>
    <w:bookmarkEnd w:id="52"/>
    <w:bookmarkStart w:id="126" w:name="chapter-iv"/>
    <w:p>
      <w:pPr>
        <w:pStyle w:val="Heading1"/>
      </w:pPr>
      <w:r>
        <w:t xml:space="preserve">CHAPTER IV</w:t>
      </w:r>
    </w:p>
    <w:bookmarkStart w:id="125" w:name="results-and-discussion"/>
    <w:p>
      <w:pPr>
        <w:pStyle w:val="Heading2"/>
      </w:pPr>
      <w:r>
        <w:t xml:space="preserve">RESULTS AND DISCUSSION</w:t>
      </w:r>
    </w:p>
    <w:bookmarkStart w:id="59" w:name="monthly-vegetable-prices"/>
    <w:p>
      <w:pPr>
        <w:pStyle w:val="Heading3"/>
      </w:pPr>
      <w:r>
        <w:t xml:space="preserve">Monthly Vegetable Prices</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pepper (taiwan), potato, and wombok. The graph of the time series of the monthly prices of these vegetables are shown in</w:t>
      </w:r>
      <w:r>
        <w:t xml:space="preserve"> </w:t>
      </w:r>
      <w:hyperlink w:anchor="fig-plot_all">
        <w:r>
          <w:rPr>
            <w:rStyle w:val="Hyperlink"/>
          </w:rPr>
          <w:t xml:space="preserve">Figure 4</w:t>
        </w:r>
      </w:hyperlink>
      <w:r>
        <w:t xml:space="preserve">. The time series of the monthly vegetable prices are from October 2017 to December 2023. Thus, each vegetable time series consists of 75 observations.</w:t>
      </w:r>
    </w:p>
    <w:tbl>
      <w:tblPr>
        <w:tblStyle w:val="Table"/>
        <w:tblW w:type="pct" w:w="5000"/>
        <w:tblLayout w:type="fixed"/>
        <w:tblLook w:firstRow="0" w:lastRow="0" w:firstColumn="0" w:lastColumn="0" w:noHBand="0" w:noVBand="0" w:val="0000"/>
      </w:tblPr>
      <w:tblGrid>
        <w:gridCol w:w="7920"/>
      </w:tblGrid>
      <w:tr>
        <w:tc>
          <w:tcPr/>
          <w:bookmarkStart w:id="56" w:name="fig-plot_all"/>
          <w:p>
            <w:pPr>
              <w:pStyle w:val="Compact"/>
              <w:jc w:val="center"/>
            </w:pPr>
            <w:r>
              <w:drawing>
                <wp:inline>
                  <wp:extent cx="5544151" cy="3696101"/>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for Monthly Vegetable Prices</w:t>
            </w:r>
          </w:p>
          <w:bookmarkEnd w:id="56"/>
        </w:tc>
      </w:tr>
    </w:tbl>
    <w:p>
      <w:pPr>
        <w:pStyle w:val="BodyText"/>
      </w:pPr>
    </w:p>
    <w:p>
      <w:pPr>
        <w:pStyle w:val="BodyText"/>
      </w:pPr>
      <w:r>
        <w:t xml:space="preserve">The summary of the time series of monthly vegetable prices from October 2017 to December 2023 is shown in</w:t>
      </w:r>
      <w:r>
        <w:t xml:space="preserve"> </w:t>
      </w:r>
      <w:hyperlink w:anchor="tbl-all">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tbl-all"/>
          <w:p>
            <w:pPr>
              <w:jc w:val="center"/>
            </w:pPr>
            <w:pPr>
              <w:jc w:val="start"/>
              <w:spacing w:before="200"/>
              <w:pStyle w:val="ImageCaption"/>
            </w:pPr>
            <w:r>
              <w:t xml:space="preserve">Table 1. Summary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p>
      <w:pPr>
        <w:pStyle w:val="BodyText"/>
      </w:pPr>
    </w:p>
    <w:p>
      <w:pPr>
        <w:pStyle w:val="BodyText"/>
      </w:pPr>
      <w:r>
        <w:t xml:space="preserve">For the broccoli time series, the minimum price is 10.85 in April 2018 and the maximum price is 127.06 in September 2023. The average price is 39.9. It has a standard deviation of 21.87.</w:t>
      </w:r>
    </w:p>
    <w:p>
      <w:pPr>
        <w:pStyle w:val="BodyText"/>
      </w:pPr>
      <w:r>
        <w:t xml:space="preserve">For the cabbage time series, the minimum price is 4.97 in February 2020 and the maximum price is 77.38 in August 2021. The average price is 24.05. It has a standard deviation of 18.09.</w:t>
      </w:r>
    </w:p>
    <w:p>
      <w:pPr>
        <w:pStyle w:val="BodyText"/>
      </w:pPr>
      <w:r>
        <w:t xml:space="preserve">For the carrot time series, the minimum price is 9.11 in May 2020 and the maximum price is 97.68 in July 2023. The average price is 33.06. It has a standard deviation of 19.28.</w:t>
      </w:r>
    </w:p>
    <w:p>
      <w:pPr>
        <w:pStyle w:val="BodyText"/>
      </w:pPr>
      <w:r>
        <w:t xml:space="preserve">For the cauliflower time series, the minimum price is 12.34 in March 2020 and the maximum price is 113.55 in August 2023. The average price is 38.76. It has a standard deviation of 20.8.</w:t>
      </w:r>
    </w:p>
    <w:p>
      <w:pPr>
        <w:pStyle w:val="BodyText"/>
      </w:pPr>
      <w:r>
        <w:t xml:space="preserve">For the celery time series, the minimum price is 9.93 in February 2018 and the maximum price is 178.33 in September 2018. The average price is 42.4. It has a standard deviation of 30.64.</w:t>
      </w:r>
    </w:p>
    <w:p>
      <w:pPr>
        <w:pStyle w:val="BodyText"/>
      </w:pPr>
      <w:r>
        <w:t xml:space="preserve">For the chayote (bunga) time series, the minimum price is 4.17 in January 2020 and the maximum price is 45.25 in September 2018. The average price is 12.99. It has a standard deviation of 7.81.</w:t>
      </w:r>
    </w:p>
    <w:p>
      <w:pPr>
        <w:pStyle w:val="BodyText"/>
      </w:pPr>
      <w:r>
        <w:t xml:space="preserve">For the cucumber time series, the minimum price is 8.05 in July 2020 and the maximum price is 57.59 in January 2023. The average price is 25.23. It has a standard deviation of 12.03.</w:t>
      </w:r>
    </w:p>
    <w:p>
      <w:pPr>
        <w:pStyle w:val="BodyText"/>
      </w:pPr>
      <w:r>
        <w:t xml:space="preserve">For the gabi (galyang) time series, the minimum price is 8.81 in January 2018 and the maximum price is 42.5 in December 2023. The average price is 23.07. It has a standard deviation of 8.83.</w:t>
      </w:r>
    </w:p>
    <w:p>
      <w:pPr>
        <w:pStyle w:val="BodyText"/>
      </w:pPr>
      <w:r>
        <w:t xml:space="preserve">For the pepper (sultan) time series, the minimum price is 28.06 in May 2020 and the maximum price is 273.24 in September 2023. The average price is 89.41. It has a standard deviation of 51.06.</w:t>
      </w:r>
    </w:p>
    <w:p>
      <w:pPr>
        <w:pStyle w:val="BodyText"/>
      </w:pPr>
      <w:r>
        <w:t xml:space="preserve">For the pepper (taiwan) time series, the minimum price is 11.5 in June 2019 and the maximum price is 424.38 in December 2020. The average price is 112.32. It has a standard deviation of 106.29.</w:t>
      </w:r>
    </w:p>
    <w:p>
      <w:pPr>
        <w:pStyle w:val="BodyText"/>
      </w:pPr>
      <w:r>
        <w:t xml:space="preserve">For the potato time series, the minimum price is 17.33 in June 2021 and the maximum price is 138.88 in October 2023. The average price is 45.48. It has a standard deviation of 22.41.</w:t>
      </w:r>
    </w:p>
    <w:p>
      <w:pPr>
        <w:pStyle w:val="BodyText"/>
      </w:pPr>
      <w:r>
        <w:t xml:space="preserve">For the wombok time series, the minimum price is 4.14 in December 2018 and the maximum price is 54.44 in December 2020. The average price is 15.72. It has a standard deviation of 11.36.</w:t>
      </w:r>
    </w:p>
    <w:p>
      <w:pPr>
        <w:pStyle w:val="BodyText"/>
      </w:pPr>
      <w:r>
        <w:t xml:space="preserve">The vegetable with the most variability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w:t>
      </w:r>
    </w:p>
    <w:p>
      <w:pPr>
        <w:pStyle w:val="BodyText"/>
      </w:pPr>
      <w:hyperlink w:anchor="tbl-stl">
        <w:r>
          <w:rPr>
            <w:rStyle w:val="Hyperlink"/>
          </w:rPr>
          <w:t xml:space="preserve">Table 2</w:t>
        </w:r>
      </w:hyperlink>
      <w:r>
        <w:t xml:space="preserve"> </w:t>
      </w:r>
      <w:r>
        <w:t xml:space="preserve">shows the STL features of the time series of monthly vegetable prices.</w:t>
      </w:r>
    </w:p>
    <w:tbl>
      <w:tblPr>
        <w:tblStyle w:val="Table"/>
        <w:tblW w:type="pct" w:w="5000"/>
        <w:tblLayout w:type="fixed"/>
        <w:tblLook w:firstRow="0" w:lastRow="0" w:firstColumn="0" w:lastColumn="0" w:noHBand="0" w:noVBand="0" w:val="0000"/>
      </w:tblPr>
      <w:tblGrid>
        <w:gridCol w:w="7920"/>
      </w:tblGrid>
      <w:tr>
        <w:tc>
          <w:tcPr/>
          <w:bookmarkStart w:id="58" w:name="tbl-stl"/>
          <w:p>
            <w:pPr>
              <w:jc w:val="center"/>
            </w:pPr>
            <w:pPr>
              <w:jc w:val="start"/>
              <w:spacing w:before="200"/>
              <w:pStyle w:val="ImageCaption"/>
            </w:pPr>
            <w:r>
              <w:t xml:space="preserve">Table 2. STL Features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30"/>
              <w:gridCol w:w="2004"/>
              <w:gridCol w:w="2258"/>
              <w:gridCol w:w="1871"/>
              <w:gridCol w:w="2138"/>
            </w:tblGrid>
            <w:tr>
              <w:trPr>
                <w:trHeight w:val="62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Trough</w:t>
                  </w:r>
                </w:p>
              </w:tc>
            </w:tr>
            <w:tr>
              <w:trPr>
                <w:trHeight w:val="62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6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62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62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62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62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62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62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62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62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62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629"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p>
    <w:p>
      <w:pPr>
        <w:pStyle w:val="BodyText"/>
      </w:pPr>
      <w:r>
        <w:t xml:space="preserve">The broccoli time series has a trend strength of 0.51, showing that 51% of the time series is accounted for by trend not considering seasonality. On the other hand, it has a seasonal strength of 0.62, showing that 62% of the time series is accounted for by seasonality not considering trend. Its peak is in September and its trough is in January.</w:t>
      </w:r>
    </w:p>
    <w:p>
      <w:pPr>
        <w:pStyle w:val="BodyText"/>
      </w:pPr>
      <w:r>
        <w:t xml:space="preserve">The cabbage time series has a trend strength of 0.2, showing that 20% of the time series is accounted for by trend not considering seasonality. On the other hand, it has a seasonal strength of 0.18, showing that 18% of the time series is accounted for by seasonality not considering trend. Its peak is in September and its trough is in March.</w:t>
      </w:r>
    </w:p>
    <w:p>
      <w:pPr>
        <w:pStyle w:val="BodyText"/>
      </w:pPr>
      <w:r>
        <w:t xml:space="preserve">The carrot time series has a trend strength of 0.35, showing that 35% of the time series is accounted for by trend not considering seasonality. On the other hand, it has a seasonal strength of 0.4, showing that 40% of the time series is accounted for by seasonality not considering trend. Its peak is in August and its trough is in May.</w:t>
      </w:r>
    </w:p>
    <w:p>
      <w:pPr>
        <w:pStyle w:val="BodyText"/>
      </w:pPr>
      <w:r>
        <w:t xml:space="preserve">The cauliflower time series has a trend strength of 0.44, showing that 44% of the time series is accounted for by trend not considering seasonality. On the other hand, it has a seasonal strength of 0.72, showing that 72% of the time series is accounted for by seasonality not considering trend. Its peak is in August and its trough is in March.</w:t>
      </w:r>
    </w:p>
    <w:p>
      <w:pPr>
        <w:pStyle w:val="BodyText"/>
      </w:pPr>
      <w:r>
        <w:t xml:space="preserve">The celery time series has a trend strength of 0.34, showing that 34% of the time series is accounted for by trend not considering seasonality. On the other hand, it has a seasonal strength of 0.43, showing that 43% of the time series is accounted for by seasonality not considering trend. Its peak is in September and its trough is in March.</w:t>
      </w:r>
    </w:p>
    <w:p>
      <w:pPr>
        <w:pStyle w:val="BodyText"/>
      </w:pPr>
      <w:r>
        <w:t xml:space="preserve">The chayote (bunga) time series has a trend strength of 0.32, showing that 32% of the time series is accounted for by trend not considering seasonality. On the other hand, it has a seasonal strength of 0.32, showing that 32% of the time series is accounted for by seasonality not considering trend. Its peak is in September and its trough is in March.</w:t>
      </w:r>
    </w:p>
    <w:p>
      <w:pPr>
        <w:pStyle w:val="BodyText"/>
      </w:pPr>
      <w:r>
        <w:t xml:space="preserve">The cucumber time series has a trend strength of 0.37, showing that 37% of the time series is accounted for by trend not considering seasonality. On the other hand, it has a seasonal strength of 0.26, showing that 26% of the time series is accounted for by seasonality not considering trend. Its peak is in December and its trough is in July.</w:t>
      </w:r>
    </w:p>
    <w:p>
      <w:pPr>
        <w:pStyle w:val="BodyText"/>
      </w:pPr>
      <w:r>
        <w:t xml:space="preserve">The gabi (galyang) time series has a trend strength of 0.91, showing that 91% of the time series is accounted for by trend not considering seasonality. On the other hand, it has a seasonal strength of 0.55, showing that 55% of the time series is accounted for by seasonality not considering trend. Its peak is in September and its trough is in February.</w:t>
      </w:r>
    </w:p>
    <w:p>
      <w:pPr>
        <w:pStyle w:val="BodyText"/>
      </w:pPr>
      <w:r>
        <w:t xml:space="preserve">The pepper (sultan) time series has a trend strength of 0.21, showing that 21% of the time series is accounted for by trend not considering seasonality. On the other hand, it has a seasonal strength of 0.2, showing that 20% of the time series is accounted for by seasonality not considering trend. Its peak is in September and its trough is in May.</w:t>
      </w:r>
    </w:p>
    <w:p>
      <w:pPr>
        <w:pStyle w:val="BodyText"/>
      </w:pPr>
      <w:r>
        <w:t xml:space="preserve">The pepper (taiwan) time series has a trend strength of 0.26, showing that 26% of the time series is accounted for by trend not considering seasonality. On the other hand, it has a seasonal strength of 0.41, showing that 41% of the time series is accounted for by seasonality not considering trend. Its peak is in December and its trough is in April.</w:t>
      </w:r>
    </w:p>
    <w:p>
      <w:pPr>
        <w:pStyle w:val="BodyText"/>
      </w:pPr>
      <w:r>
        <w:t xml:space="preserve">The potato time series has a trend strength of 0.72, showing that 72% of the time series is accounted for by trend not considering seasonality. On the other hand, it has a seasonal strength of 0.35, showing that 35% of the time series is accounted for by seasonality not considering trend. Its peak is in October and its trough is in May.</w:t>
      </w:r>
    </w:p>
    <w:p>
      <w:pPr>
        <w:pStyle w:val="BodyText"/>
      </w:pPr>
      <w:r>
        <w:t xml:space="preserve">The wombok time series has a trend strength of 0.14, showing that 14% of the time series is accounted for by trend not considering seasonality. On the other hand, it has a seasonal strength of 0.19, showing that 19% of the time series is accounted for by seasonality not considering trend. Its peak is in September and its trough is in March.</w:t>
      </w:r>
    </w:p>
    <w:p>
      <w:pPr>
        <w:pStyle w:val="BodyText"/>
      </w:pPr>
      <w:r>
        <w:t xml:space="preserve">The vegetable with the strongest trend is gabi (galyang). Meanwhile, the vegetable that has the weakest trend is wombok. The vegetable with the strongest seasonality is cauliflower. Meanwhile, the vegetable with the weakest seasonality is cabbage. Please see Appendix D for the seasonal and trend decomposition using LOESS (STL).</w:t>
      </w:r>
    </w:p>
    <w:bookmarkEnd w:id="59"/>
    <w:bookmarkStart w:id="60" w:name="models-for-monthly-vegetable-prices"/>
    <w:p>
      <w:pPr>
        <w:pStyle w:val="Heading3"/>
      </w:pPr>
      <w:r>
        <w:t xml:space="preserve">Models for Monthly Vegetable Prices</w:t>
      </w:r>
    </w:p>
    <w:p>
      <w:pPr>
        <w:pStyle w:val="FirstParagraph"/>
      </w:pPr>
      <w:r>
        <w:t xml:space="preserve">The time series cross-validation using automatic ARIMA method and automatic ETS method yielded 360 models: 180 ARIMA and SARIMA models and 180 ETS models. There are 15 ARIMA and/or SARIMA models and 15 ETS models for each vegetable. Please see Appendix E for the full list of these models per vegetable.</w:t>
      </w:r>
    </w:p>
    <w:bookmarkEnd w:id="60"/>
    <w:bookmarkStart w:id="62" w:name="model-evaluation-and-selection"/>
    <w:p>
      <w:pPr>
        <w:pStyle w:val="Heading3"/>
      </w:pPr>
      <w:r>
        <w:t xml:space="preserve">Model Evaluation and Selection</w:t>
      </w:r>
    </w:p>
    <w:p>
      <w:pPr>
        <w:pStyle w:val="FirstParagraph"/>
      </w:pPr>
      <w:hyperlink w:anchor="tbl-fit">
        <w:r>
          <w:rPr>
            <w:rStyle w:val="Hyperlink"/>
          </w:rPr>
          <w:t xml:space="preserve">Table 3</w:t>
        </w:r>
      </w:hyperlink>
      <w:r>
        <w:t xml:space="preserve"> </w:t>
      </w:r>
      <w:r>
        <w:t xml:space="preserve">shows the performances of the automatic ARIMA method and ETS method for each vegetable.</w:t>
      </w:r>
    </w:p>
    <w:tbl>
      <w:tblPr>
        <w:tblStyle w:val="Table"/>
        <w:tblW w:type="pct" w:w="5000"/>
        <w:tblLayout w:type="fixed"/>
        <w:tblLook w:firstRow="0" w:lastRow="0" w:firstColumn="0" w:lastColumn="0" w:noHBand="0" w:noVBand="0" w:val="0000"/>
      </w:tblPr>
      <w:tblGrid>
        <w:gridCol w:w="7920"/>
      </w:tblGrid>
      <w:tr>
        <w:tc>
          <w:tcPr/>
          <w:bookmarkStart w:id="61" w:name="tbl-fit"/>
          <w:p>
            <w:pPr>
              <w:jc w:val="center"/>
            </w:pPr>
            <w:pPr>
              <w:jc w:val="start"/>
              <w:spacing w:before="200"/>
              <w:pStyle w:val="ImageCaption"/>
            </w:pPr>
            <w:r>
              <w:t xml:space="preserve">Table 3. Performances of the Automatic Methods for Each Vegetable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Automatic 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MASE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w:t>
                  </w:r>
                </w:p>
              </w:tc>
            </w:tr>
          </w:tbl>
          <w:bookmarkEnd w:id="61"/>
        </w:tc>
      </w:tr>
    </w:tbl>
    <w:p>
      <w:pPr>
        <w:pStyle w:val="BodyText"/>
      </w:pPr>
    </w:p>
    <w:p>
      <w:pPr>
        <w:pStyle w:val="BodyText"/>
      </w:pPr>
      <w:r>
        <w:t xml:space="preserve">The automatic ARIMA method proved to be better than the automatic ETS method based on the time series cross-validation performance measures, except for gabi (galyang). The automatic ARIMA method showed higher accuracy on all performance measures for all vegetables except for gabi (galyang). The automatic ETS method also showed higher accuracy on all performance measures for gabi (galyang). Thus, the automatic ARIMA method was used to generate models and forecasts for all the vegetables except for gabi (galyang), for which automatic ETS method was used.</w:t>
      </w:r>
    </w:p>
    <w:bookmarkEnd w:id="62"/>
    <w:bookmarkStart w:id="124" w:name="forecasts-for-monthly-vegetable-prices."/>
    <w:p>
      <w:pPr>
        <w:pStyle w:val="Heading3"/>
      </w:pPr>
      <w:r>
        <w:t xml:space="preserve">Forecasts for Monthly Vegetable Prices.</w:t>
      </w:r>
    </w:p>
    <w:p>
      <w:pPr>
        <w:pStyle w:val="FirstParagraph"/>
      </w:pPr>
      <w:hyperlink w:anchor="tbl-broccoli">
        <w:r>
          <w:rPr>
            <w:rStyle w:val="Hyperlink"/>
          </w:rPr>
          <w:t xml:space="preserve">Table 4</w:t>
        </w:r>
      </w:hyperlink>
      <w:r>
        <w:t xml:space="preserve"> </w:t>
      </w:r>
      <w:r>
        <w:t xml:space="preserve">shows the forecasts for broccoli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3" w:name="tbl-broccoli"/>
          <w:p>
            <w:pPr>
              <w:jc w:val="center"/>
            </w:pPr>
            <w:pPr>
              <w:jc w:val="start"/>
              <w:spacing w:before="200"/>
              <w:pStyle w:val="ImageCaption"/>
            </w:pPr>
            <w:r>
              <w:t xml:space="preserve">Table 4. Forecasts for Monthly Broccoli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111.98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128.46</w:t>
                  </w:r>
                </w:p>
              </w:tc>
            </w:tr>
          </w:tbl>
          <w:bookmarkEnd w:id="63"/>
        </w:tc>
      </w:tr>
    </w:tbl>
    <w:p>
      <w:pPr>
        <w:pStyle w:val="BodyText"/>
      </w:pPr>
    </w:p>
    <w:p>
      <w:pPr>
        <w:pStyle w:val="BodyText"/>
      </w:pPr>
      <w:r>
        <w:t xml:space="preserve">For January 2024, the point forecast for broccoli price is 35.97. The 80% confidence interval for this forecast ranges from 21.38 to 53.46, indicating that there is an 80% probability that the actual value will fall within this range. Additionally, the 95% confidence interval extends from 16.78 to 68.14, suggesting that there is a 95% probability that the actual value will be within this broader range.</w:t>
      </w:r>
    </w:p>
    <w:p>
      <w:pPr>
        <w:pStyle w:val="BodyText"/>
      </w:pPr>
      <w:r>
        <w:t xml:space="preserve">For February 2024, the point forecast for broccoli price is 36.31. The 80% confidence interval for this forecast ranges from 16.84 to 61.54, indicating that there is an 80% probability that the actual value will fall within this range. Additionally, the 95% confidence interval extends from 11.95 to 86.72, suggesting that there is a 95% probability that the actual value will be within this broader range.</w:t>
      </w:r>
    </w:p>
    <w:p>
      <w:pPr>
        <w:pStyle w:val="BodyText"/>
      </w:pPr>
      <w:r>
        <w:t xml:space="preserve">For March 2024, the point forecast for broccoli price is 39.65. The 80% confidence interval for this forecast ranges from 15.05 to 73.57, indicating that there is an 80% probability that the actual value will fall within this range. Additionally, the 95% confidence interval extends from 9.89 to 111.98, suggesting that there is a 95% probability that the actual value will be within this broader range.</w:t>
      </w:r>
    </w:p>
    <w:p>
      <w:pPr>
        <w:pStyle w:val="BodyText"/>
      </w:pPr>
      <w:r>
        <w:t xml:space="preserve">For April 2024, the point forecast for broccoli price is 39.72. The 80% confidence interval for this forecast ranges from 12.65 to 79.09, indicating that there is an 80% probability that the actual value will fall within this range. Additionally, the 95% confidence interval extends from 7.79 to 128.46, suggesting that there is a 95% probability that the actual value will be within this broader range.</w:t>
      </w:r>
    </w:p>
    <w:p>
      <w:pPr>
        <w:pStyle w:val="BodyText"/>
      </w:pPr>
      <w:hyperlink w:anchor="fig-broccoli">
        <w:r>
          <w:rPr>
            <w:rStyle w:val="Hyperlink"/>
          </w:rPr>
          <w:t xml:space="preserve">Figure 5</w:t>
        </w:r>
      </w:hyperlink>
      <w:r>
        <w:t xml:space="preserve"> </w:t>
      </w:r>
      <w:r>
        <w:t xml:space="preserve">shows the NVAT monthly broccoli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67" w:name="fig-broccoli"/>
          <w:p>
            <w:pPr>
              <w:pStyle w:val="Compact"/>
              <w:jc w:val="center"/>
            </w:pPr>
            <w:r>
              <w:drawing>
                <wp:inline>
                  <wp:extent cx="5544151" cy="3696101"/>
                  <wp:effectExtent b="0" l="0" r="0" t="0"/>
                  <wp:docPr descr="" title="" id="65" name="Picture"/>
                  <a:graphic>
                    <a:graphicData uri="http://schemas.openxmlformats.org/drawingml/2006/picture">
                      <pic:pic>
                        <pic:nvPicPr>
                          <pic:cNvPr descr="fmvp_files/figure-docx/fig-broccoli-1.png" id="66" name="Picture"/>
                          <pic:cNvPicPr>
                            <a:picLocks noChangeArrowheads="1" noChangeAspect="1"/>
                          </pic:cNvPicPr>
                        </pic:nvPicPr>
                        <pic:blipFill>
                          <a:blip r:embed="rId6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Forecasts for Monthly Broccoli Prices</w:t>
            </w:r>
          </w:p>
          <w:bookmarkEnd w:id="67"/>
        </w:tc>
      </w:tr>
    </w:tbl>
    <w:p>
      <w:pPr>
        <w:pStyle w:val="BodyText"/>
      </w:pPr>
    </w:p>
    <w:p>
      <w:pPr>
        <w:pStyle w:val="BodyText"/>
      </w:pPr>
      <w:hyperlink w:anchor="tbl-cabbage">
        <w:r>
          <w:rPr>
            <w:rStyle w:val="Hyperlink"/>
          </w:rPr>
          <w:t xml:space="preserve">Table 5</w:t>
        </w:r>
      </w:hyperlink>
      <w:r>
        <w:t xml:space="preserve"> </w:t>
      </w:r>
      <w:r>
        <w:t xml:space="preserve">shows the forecasts for cabbage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8" w:name="tbl-cabbage"/>
          <w:p>
            <w:pPr>
              <w:jc w:val="center"/>
            </w:pPr>
            <w:pPr>
              <w:jc w:val="start"/>
              <w:spacing w:before="200"/>
              <w:pStyle w:val="ImageCaption"/>
            </w:pPr>
            <w:r>
              <w:t xml:space="preserve">Table 5. Forecasts for Monthly Cabbage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71.59</w:t>
                  </w:r>
                </w:p>
              </w:tc>
            </w:tr>
          </w:tbl>
          <w:bookmarkEnd w:id="68"/>
        </w:tc>
      </w:tr>
    </w:tbl>
    <w:p>
      <w:pPr>
        <w:pStyle w:val="BodyText"/>
      </w:pPr>
    </w:p>
    <w:p>
      <w:pPr>
        <w:pStyle w:val="BodyText"/>
      </w:pPr>
      <w:r>
        <w:t xml:space="preserve">For January 2024, the point forecast for cabbage price is 9.78. The 80% confidence interval for this forecast ranges from 5.28 to 15.34, indicating that there is an 80% probability that the actual value will fall within this range. Additionally, the 95% confidence interval extends from 3.98 to 20.35, suggesting that there is a 95% probability that the actual value will be within this broader range.</w:t>
      </w:r>
    </w:p>
    <w:p>
      <w:pPr>
        <w:pStyle w:val="BodyText"/>
      </w:pPr>
      <w:r>
        <w:t xml:space="preserve">For February 2024, the point forecast for cabbage price is 12.12. The 80% confidence interval for this forecast ranges from 4.98 to 21.74, indicating that there is an 80% probability that the actual value will fall within this range. Additionally, the 95% confidence interval extends from 3.37 to 32.1, suggesting that there is a 95% probability that the actual value will be within this broader range.</w:t>
      </w:r>
    </w:p>
    <w:p>
      <w:pPr>
        <w:pStyle w:val="BodyText"/>
      </w:pPr>
      <w:r>
        <w:t xml:space="preserve">For March 2024, the point forecast for cabbage price is 18.42. The 80% confidence interval for this forecast ranges from 6.88 to 34.41, indicating that there is an 80% probability that the actual value will fall within this range. Additionally, the 95% confidence interval extends from 4.49 to 52.7, suggesting that there is a 95% probability that the actual value will be within this broader range.</w:t>
      </w:r>
    </w:p>
    <w:p>
      <w:pPr>
        <w:pStyle w:val="BodyText"/>
      </w:pPr>
      <w:r>
        <w:t xml:space="preserve">For April 2024, the point forecast for cabbage price is 24.98. The 80% confidence interval for this forecast ranges from 9.31 to 46.71, indicating that there is an 80% probability that the actual value will fall within this range. Additionally, the 95% confidence interval extends from 6.08 to 71.59, suggesting that there is a 95% probability that the actual value will be within this broader range.</w:t>
      </w:r>
    </w:p>
    <w:p>
      <w:pPr>
        <w:pStyle w:val="BodyText"/>
      </w:pPr>
      <w:hyperlink w:anchor="fig-cabbage">
        <w:r>
          <w:rPr>
            <w:rStyle w:val="Hyperlink"/>
          </w:rPr>
          <w:t xml:space="preserve">Figure 6</w:t>
        </w:r>
      </w:hyperlink>
      <w:r>
        <w:t xml:space="preserve"> </w:t>
      </w:r>
      <w:r>
        <w:t xml:space="preserve">shows the NVAT monthly cabbage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2" w:name="fig-cabbage"/>
          <w:p>
            <w:pPr>
              <w:pStyle w:val="Compact"/>
              <w:jc w:val="center"/>
            </w:pPr>
            <w:r>
              <w:drawing>
                <wp:inline>
                  <wp:extent cx="5544151" cy="3696101"/>
                  <wp:effectExtent b="0" l="0" r="0" t="0"/>
                  <wp:docPr descr="" title="" id="70" name="Picture"/>
                  <a:graphic>
                    <a:graphicData uri="http://schemas.openxmlformats.org/drawingml/2006/picture">
                      <pic:pic>
                        <pic:nvPicPr>
                          <pic:cNvPr descr="fmvp_files/figure-docx/fig-cabbage-1.png" id="71" name="Picture"/>
                          <pic:cNvPicPr>
                            <a:picLocks noChangeArrowheads="1" noChangeAspect="1"/>
                          </pic:cNvPicPr>
                        </pic:nvPicPr>
                        <pic:blipFill>
                          <a:blip r:embed="rId6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Forecast for Monthly Cabbage Prices</w:t>
            </w:r>
          </w:p>
          <w:bookmarkEnd w:id="72"/>
        </w:tc>
      </w:tr>
    </w:tbl>
    <w:p>
      <w:pPr>
        <w:pStyle w:val="BodyText"/>
      </w:pPr>
    </w:p>
    <w:p>
      <w:pPr>
        <w:pStyle w:val="BodyText"/>
      </w:pPr>
      <w:hyperlink w:anchor="tbl-carrot">
        <w:r>
          <w:rPr>
            <w:rStyle w:val="Hyperlink"/>
          </w:rPr>
          <w:t xml:space="preserve">Table 6</w:t>
        </w:r>
      </w:hyperlink>
      <w:r>
        <w:t xml:space="preserve"> </w:t>
      </w:r>
      <w:r>
        <w:t xml:space="preserve">shows the forecasts for carrot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3" w:name="tbl-carrot"/>
          <w:p>
            <w:pPr>
              <w:jc w:val="center"/>
            </w:pPr>
            <w:pPr>
              <w:jc w:val="start"/>
              <w:spacing w:before="200"/>
              <w:pStyle w:val="ImageCaption"/>
            </w:pPr>
            <w:r>
              <w:t xml:space="preserve">Table 6. Forecast for Monthly Carrot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83.27</w:t>
                  </w:r>
                </w:p>
              </w:tc>
            </w:tr>
          </w:tbl>
          <w:bookmarkEnd w:id="73"/>
        </w:tc>
      </w:tr>
    </w:tbl>
    <w:p>
      <w:pPr>
        <w:pStyle w:val="BodyText"/>
      </w:pPr>
    </w:p>
    <w:p>
      <w:pPr>
        <w:pStyle w:val="BodyText"/>
      </w:pPr>
      <w:r>
        <w:t xml:space="preserve">For January 2024, the point forecast for carrot price is 25.32. The 80% confidence interval for this forecast ranges from 15.43 to 37.07, indicating that there is an 80% probability that the actual value will fall within this range. Additionally, the 95% confidence interval extends from 12.24 to 46.75, suggesting that there is a 95% probability that the actual value will be within this broader range.</w:t>
      </w:r>
    </w:p>
    <w:p>
      <w:pPr>
        <w:pStyle w:val="BodyText"/>
      </w:pPr>
      <w:r>
        <w:t xml:space="preserve">For February 2024, the point forecast for carrot price is 29.36. The 80% confidence interval for this forecast ranges from 13.53 to 49.92, indicating that there is an 80% probability that the actual value will fall within this range. Additionally, the 95% confidence interval extends from 9.58 to 70.51, suggesting that there is a 95% probability that the actual value will be within this broader range.</w:t>
      </w:r>
    </w:p>
    <w:p>
      <w:pPr>
        <w:pStyle w:val="BodyText"/>
      </w:pPr>
      <w:r>
        <w:t xml:space="preserve">For March 2024, the point forecast for carrot price is 32.56. The 80% confidence interval for this forecast ranges from 14.22 to 56.77, indicating that there is an 80% probability that the actual value will fall within this range. Additionally, the 95% confidence interval extends from 9.86 to 81.9, suggesting that there is a 95% probability that the actual value will be within this broader range.</w:t>
      </w:r>
    </w:p>
    <w:p>
      <w:pPr>
        <w:pStyle w:val="BodyText"/>
      </w:pPr>
      <w:r>
        <w:t xml:space="preserve">For April 2024, the point forecast for carrot price is 32.68. The 80% confidence interval for this forecast ranges from 14.05 to 57.38, indicating that there is an 80% probability that the actual value will fall within this range. Additionally, the 95% confidence interval extends from 9.68 to 83.27, suggesting that there is a 95% probability that the actual value will be within this broader range.</w:t>
      </w:r>
    </w:p>
    <w:p>
      <w:pPr>
        <w:pStyle w:val="BodyText"/>
      </w:pPr>
      <w:hyperlink w:anchor="fig-carrot">
        <w:r>
          <w:rPr>
            <w:rStyle w:val="Hyperlink"/>
          </w:rPr>
          <w:t xml:space="preserve">Figure 7</w:t>
        </w:r>
      </w:hyperlink>
      <w:r>
        <w:t xml:space="preserve"> </w:t>
      </w:r>
      <w:r>
        <w:t xml:space="preserve">shows the NVAT monthly carrot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7" w:name="fig-carrot"/>
          <w:p>
            <w:pPr>
              <w:pStyle w:val="Compact"/>
              <w:jc w:val="center"/>
            </w:pPr>
            <w:r>
              <w:drawing>
                <wp:inline>
                  <wp:extent cx="5544151" cy="3696101"/>
                  <wp:effectExtent b="0" l="0" r="0" t="0"/>
                  <wp:docPr descr="" title="" id="75" name="Picture"/>
                  <a:graphic>
                    <a:graphicData uri="http://schemas.openxmlformats.org/drawingml/2006/picture">
                      <pic:pic>
                        <pic:nvPicPr>
                          <pic:cNvPr descr="fmvp_files/figure-docx/fig-carrot-1.png" id="76" name="Picture"/>
                          <pic:cNvPicPr>
                            <a:picLocks noChangeArrowheads="1" noChangeAspect="1"/>
                          </pic:cNvPicPr>
                        </pic:nvPicPr>
                        <pic:blipFill>
                          <a:blip r:embed="rId7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Forecast for Monthly Carrot Prices</w:t>
            </w:r>
          </w:p>
          <w:bookmarkEnd w:id="77"/>
        </w:tc>
      </w:tr>
    </w:tbl>
    <w:p>
      <w:pPr>
        <w:pStyle w:val="BodyText"/>
      </w:pPr>
    </w:p>
    <w:p>
      <w:pPr>
        <w:pStyle w:val="BodyText"/>
      </w:pPr>
      <w:hyperlink w:anchor="tbl-cauliflower">
        <w:r>
          <w:rPr>
            <w:rStyle w:val="Hyperlink"/>
          </w:rPr>
          <w:t xml:space="preserve">Table 7</w:t>
        </w:r>
      </w:hyperlink>
      <w:r>
        <w:t xml:space="preserve"> </w:t>
      </w:r>
      <w:r>
        <w:t xml:space="preserve">shows the forecasts for cauliflower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8" w:name="tbl-cauliflower"/>
          <w:p>
            <w:pPr>
              <w:jc w:val="center"/>
            </w:pPr>
            <w:pPr>
              <w:jc w:val="start"/>
              <w:spacing w:before="200"/>
              <w:pStyle w:val="ImageCaption"/>
            </w:pPr>
            <w:r>
              <w:t xml:space="preserve">Table 7. Forecasts for Monthly Cauliflower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57.11</w:t>
                  </w:r>
                </w:p>
              </w:tc>
            </w:tr>
          </w:tbl>
          <w:bookmarkEnd w:id="78"/>
        </w:tc>
      </w:tr>
    </w:tbl>
    <w:p>
      <w:pPr>
        <w:pStyle w:val="BodyText"/>
      </w:pPr>
    </w:p>
    <w:p>
      <w:pPr>
        <w:pStyle w:val="BodyText"/>
      </w:pPr>
      <w:r>
        <w:t xml:space="preserve">For January 2024, the point forecast for cauliflower price is 25.46. The 80% confidence interval for this forecast ranges from 16 to 36.6, indicating that there is an 80% probability that the actual value will fall within this range. Additionally, the 95% confidence interval extends from 12.85 to 45.57, suggesting that there is a 95% probability that the actual value will be within this broader range.</w:t>
      </w:r>
    </w:p>
    <w:p>
      <w:pPr>
        <w:pStyle w:val="BodyText"/>
      </w:pPr>
      <w:r>
        <w:t xml:space="preserve">For February 2024, the point forecast for cauliflower price is 29.26. The 80% confidence interval for this forecast ranges from 17.9 to 42.77, indicating that there is an 80% probability that the actual value will fall within this range. Additionally, the 95% confidence interval extends from 14.21 to 53.85, suggesting that there is a 95% probability that the actual value will be within this broader range.</w:t>
      </w:r>
    </w:p>
    <w:p>
      <w:pPr>
        <w:pStyle w:val="BodyText"/>
      </w:pPr>
      <w:r>
        <w:t xml:space="preserve">For March 2024, the point forecast for cauliflower price is 26.39. The 80% confidence interval for this forecast ranges from 16.14 to 38.56, indicating that there is an 80% probability that the actual value will fall within this range. Additionally, the 95% confidence interval extends from 12.82 to 48.56, suggesting that there is a 95% probability that the actual value will be within this broader range.</w:t>
      </w:r>
    </w:p>
    <w:p>
      <w:pPr>
        <w:pStyle w:val="BodyText"/>
      </w:pPr>
      <w:r>
        <w:t xml:space="preserve">For April 2024, the point forecast for cauliflower price is 31.03. The 80% confidence interval for this forecast ranges from 18.98 to 45.35, indicating that there is an 80% probability that the actual value will fall within this range. Additionally, the 95% confidence interval extends from 15.07 to 57.11, suggesting that there is a 95% probability that the actual value will be within this broader range.</w:t>
      </w:r>
    </w:p>
    <w:p>
      <w:pPr>
        <w:pStyle w:val="BodyText"/>
      </w:pPr>
      <w:hyperlink w:anchor="fig-cauliflower">
        <w:r>
          <w:rPr>
            <w:rStyle w:val="Hyperlink"/>
          </w:rPr>
          <w:t xml:space="preserve">Figure 8</w:t>
        </w:r>
      </w:hyperlink>
      <w:r>
        <w:t xml:space="preserve"> </w:t>
      </w:r>
      <w:r>
        <w:t xml:space="preserve">shows the NVAT monthly cauliflower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82" w:name="fig-cauliflower"/>
          <w:p>
            <w:pPr>
              <w:pStyle w:val="Compact"/>
              <w:jc w:val="center"/>
            </w:pPr>
            <w:r>
              <w:drawing>
                <wp:inline>
                  <wp:extent cx="5544151" cy="3696101"/>
                  <wp:effectExtent b="0" l="0" r="0" t="0"/>
                  <wp:docPr descr="" title="" id="80" name="Picture"/>
                  <a:graphic>
                    <a:graphicData uri="http://schemas.openxmlformats.org/drawingml/2006/picture">
                      <pic:pic>
                        <pic:nvPicPr>
                          <pic:cNvPr descr="fmvp_files/figure-docx/fig-cauliflower-1.png" id="81" name="Picture"/>
                          <pic:cNvPicPr>
                            <a:picLocks noChangeArrowheads="1" noChangeAspect="1"/>
                          </pic:cNvPicPr>
                        </pic:nvPicPr>
                        <pic:blipFill>
                          <a:blip r:embed="rId7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Forecast for Monthly Cauliflower Prices</w:t>
            </w:r>
          </w:p>
          <w:bookmarkEnd w:id="82"/>
        </w:tc>
      </w:tr>
    </w:tbl>
    <w:p>
      <w:pPr>
        <w:pStyle w:val="BodyText"/>
      </w:pPr>
    </w:p>
    <w:p>
      <w:pPr>
        <w:pStyle w:val="BodyText"/>
      </w:pPr>
      <w:hyperlink w:anchor="tbl-celery">
        <w:r>
          <w:rPr>
            <w:rStyle w:val="Hyperlink"/>
          </w:rPr>
          <w:t xml:space="preserve">Table 8</w:t>
        </w:r>
      </w:hyperlink>
      <w:r>
        <w:t xml:space="preserve"> </w:t>
      </w:r>
      <w:r>
        <w:t xml:space="preserve">shows the forecasts for celery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3" w:name="tbl-celery"/>
          <w:p>
            <w:pPr>
              <w:jc w:val="center"/>
            </w:pPr>
            <w:pPr>
              <w:jc w:val="start"/>
              <w:spacing w:before="200"/>
              <w:pStyle w:val="ImageCaption"/>
            </w:pPr>
            <w:r>
              <w:t xml:space="preserve">Table 8. Forecasts for Monthly Celery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120.13</w:t>
                  </w:r>
                </w:p>
              </w:tc>
            </w:tr>
          </w:tbl>
          <w:bookmarkEnd w:id="83"/>
        </w:tc>
      </w:tr>
    </w:tbl>
    <w:p>
      <w:pPr>
        <w:pStyle w:val="BodyText"/>
      </w:pPr>
    </w:p>
    <w:p>
      <w:pPr>
        <w:pStyle w:val="BodyText"/>
      </w:pPr>
      <w:r>
        <w:t xml:space="preserve">For January 2024, the point forecast for celery price is 37.96. The 80% confidence interval for this forecast ranges from 19.12 to 61.76, indicating that there is an 80% probability that the actual value will fall within this range. Additionally, the 95% confidence interval extends from 14.02 to 84.24, suggesting that there is a 95% probability that the actual value will be within this broader range.</w:t>
      </w:r>
    </w:p>
    <w:p>
      <w:pPr>
        <w:pStyle w:val="BodyText"/>
      </w:pPr>
      <w:r>
        <w:t xml:space="preserve">For February 2024, the point forecast for celery price is 40.61. The 80% confidence interval for this forecast ranges from 15.72 to 74.72, indicating that there is an 80% probability that the actual value will fall within this range. Additionally, the 95% confidence interval extends from 10.4 to 112.88, suggesting that there is a 95% probability that the actual value will be within this broader range.</w:t>
      </w:r>
    </w:p>
    <w:p>
      <w:pPr>
        <w:pStyle w:val="BodyText"/>
      </w:pPr>
      <w:r>
        <w:t xml:space="preserve">For March 2024, the point forecast for celery price is 41.14. The 80% confidence interval for this forecast ranges from 15.16 to 77.26, indicating that there is an 80% probability that the actual value will fall within this range. Additionally, the 95% confidence interval extends from 9.85 to 118.9, suggesting that there is a 95% probability that the actual value will be within this broader range.</w:t>
      </w:r>
    </w:p>
    <w:p>
      <w:pPr>
        <w:pStyle w:val="BodyText"/>
      </w:pPr>
      <w:r>
        <w:t xml:space="preserve">For April 2024, the point forecast for celery price is 41.23. The 80% confidence interval for this forecast ranges from 15.05 to 77.77, indicating that there is an 80% probability that the actual value will fall within this range. Additionally, the 95% confidence interval extends from 9.74 to 120.13, suggesting that there is a 95% probability that the actual value will be within this broader range.</w:t>
      </w:r>
    </w:p>
    <w:p>
      <w:pPr>
        <w:pStyle w:val="BodyText"/>
      </w:pPr>
      <w:hyperlink w:anchor="fig-celery">
        <w:r>
          <w:rPr>
            <w:rStyle w:val="Hyperlink"/>
          </w:rPr>
          <w:t xml:space="preserve">Figure 9</w:t>
        </w:r>
      </w:hyperlink>
      <w:r>
        <w:t xml:space="preserve"> </w:t>
      </w:r>
      <w:r>
        <w:t xml:space="preserve">shows the NVAT monthly celery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87" w:name="fig-celery"/>
          <w:p>
            <w:pPr>
              <w:pStyle w:val="Compact"/>
              <w:jc w:val="center"/>
            </w:pPr>
            <w:r>
              <w:drawing>
                <wp:inline>
                  <wp:extent cx="5544151" cy="3696101"/>
                  <wp:effectExtent b="0" l="0" r="0" t="0"/>
                  <wp:docPr descr="" title="" id="85" name="Picture"/>
                  <a:graphic>
                    <a:graphicData uri="http://schemas.openxmlformats.org/drawingml/2006/picture">
                      <pic:pic>
                        <pic:nvPicPr>
                          <pic:cNvPr descr="fmvp_files/figure-docx/fig-celery-1.png" id="86" name="Picture"/>
                          <pic:cNvPicPr>
                            <a:picLocks noChangeArrowheads="1" noChangeAspect="1"/>
                          </pic:cNvPicPr>
                        </pic:nvPicPr>
                        <pic:blipFill>
                          <a:blip r:embed="rId8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Forecast for Monthly Celery Prices</w:t>
            </w:r>
          </w:p>
          <w:bookmarkEnd w:id="87"/>
        </w:tc>
      </w:tr>
    </w:tbl>
    <w:p>
      <w:pPr>
        <w:pStyle w:val="BodyText"/>
      </w:pPr>
    </w:p>
    <w:p>
      <w:pPr>
        <w:pStyle w:val="BodyText"/>
      </w:pPr>
      <w:hyperlink w:anchor="tbl-chayote_bunga">
        <w:r>
          <w:rPr>
            <w:rStyle w:val="Hyperlink"/>
          </w:rPr>
          <w:t xml:space="preserve">Table 9</w:t>
        </w:r>
      </w:hyperlink>
      <w:r>
        <w:t xml:space="preserve"> </w:t>
      </w:r>
      <w:r>
        <w:t xml:space="preserve">shows the forecasts for chayote (bunga)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8" w:name="tbl-chayote_bunga"/>
          <w:p>
            <w:pPr>
              <w:jc w:val="center"/>
            </w:pPr>
            <w:pPr>
              <w:jc w:val="start"/>
              <w:spacing w:before="200"/>
              <w:pStyle w:val="ImageCaption"/>
            </w:pPr>
            <w:r>
              <w:t xml:space="preserve">Table 9. Forecasts for Monthly Chayote (Bunga)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32.11</w:t>
                  </w:r>
                </w:p>
              </w:tc>
            </w:tr>
          </w:tbl>
          <w:bookmarkEnd w:id="88"/>
        </w:tc>
      </w:tr>
    </w:tbl>
    <w:p>
      <w:pPr>
        <w:pStyle w:val="BodyText"/>
      </w:pPr>
    </w:p>
    <w:p>
      <w:pPr>
        <w:pStyle w:val="BodyText"/>
      </w:pPr>
      <w:r>
        <w:t xml:space="preserve">For January 2024, the point forecast for chayote (bunga) price is 12.89. The 80% confidence interval for this forecast ranges from 6.52 to 20.91, indicating that there is an 80% probability that the actual value will fall within this range. Additionally, the 95% confidence interval extends from 4.79 to 28.47, suggesting that there is a 95% probability that the actual value will be within this broader range.</w:t>
      </w:r>
    </w:p>
    <w:p>
      <w:pPr>
        <w:pStyle w:val="BodyText"/>
      </w:pPr>
      <w:r>
        <w:t xml:space="preserve">For February 2024, the point forecast for chayote (bunga) price is 12.92. The 80% confidence interval for this forecast ranges from 5.88 to 22.11, indicating that there is an 80% probability that the actual value will fall within this range. Additionally, the 95% confidence interval extends from 4.14 to 31.4, suggesting that there is a 95% probability that the actual value will be within this broader range.</w:t>
      </w:r>
    </w:p>
    <w:p>
      <w:pPr>
        <w:pStyle w:val="BodyText"/>
      </w:pPr>
      <w:r>
        <w:t xml:space="preserve">For March 2024, the point forecast for chayote (bunga) price is 12.85. The 80% confidence interval for this forecast ranges from 5.68 to 22.3, indicating that there is an 80% probability that the actual value will fall within this range. Additionally, the 95% confidence interval extends from 3.95 to 32.03, suggesting that there is a 95% probability that the actual value will be within this broader range.</w:t>
      </w:r>
    </w:p>
    <w:p>
      <w:pPr>
        <w:pStyle w:val="BodyText"/>
      </w:pPr>
      <w:r>
        <w:t xml:space="preserve">For April 2024, the point forecast for chayote (bunga) price is 12.79. The 80% confidence interval for this forecast ranges from 5.6 to 22.28, indicating that there is an 80% probability that the actual value will fall within this range. Additionally, the 95% confidence interval extends from 3.89 to 32.11, suggesting that there is a 95% probability that the actual value will be within this broader range.</w:t>
      </w:r>
    </w:p>
    <w:p>
      <w:pPr>
        <w:pStyle w:val="BodyText"/>
      </w:pPr>
      <w:hyperlink w:anchor="fig-chayote_bunga">
        <w:r>
          <w:rPr>
            <w:rStyle w:val="Hyperlink"/>
          </w:rPr>
          <w:t xml:space="preserve">Figure 10</w:t>
        </w:r>
      </w:hyperlink>
      <w:r>
        <w:t xml:space="preserve"> </w:t>
      </w:r>
      <w:r>
        <w:t xml:space="preserve">shows the NVAT monthly chayote (bunga)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2" w:name="fig-chayote_bunga"/>
          <w:p>
            <w:pPr>
              <w:pStyle w:val="Compact"/>
              <w:jc w:val="center"/>
            </w:pPr>
            <w:r>
              <w:drawing>
                <wp:inline>
                  <wp:extent cx="5544151" cy="3696101"/>
                  <wp:effectExtent b="0" l="0" r="0" t="0"/>
                  <wp:docPr descr="" title="" id="90" name="Picture"/>
                  <a:graphic>
                    <a:graphicData uri="http://schemas.openxmlformats.org/drawingml/2006/picture">
                      <pic:pic>
                        <pic:nvPicPr>
                          <pic:cNvPr descr="fmvp_files/figure-docx/fig-chayote_bunga-1.png" id="91" name="Picture"/>
                          <pic:cNvPicPr>
                            <a:picLocks noChangeArrowheads="1" noChangeAspect="1"/>
                          </pic:cNvPicPr>
                        </pic:nvPicPr>
                        <pic:blipFill>
                          <a:blip r:embed="rId8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Forecast for Monthly Chayote (Bunga) Prices</w:t>
            </w:r>
          </w:p>
          <w:bookmarkEnd w:id="92"/>
        </w:tc>
      </w:tr>
    </w:tbl>
    <w:p>
      <w:pPr>
        <w:pStyle w:val="BodyText"/>
      </w:pPr>
    </w:p>
    <w:p>
      <w:pPr>
        <w:pStyle w:val="BodyText"/>
      </w:pPr>
      <w:hyperlink w:anchor="tbl-cucumber">
        <w:r>
          <w:rPr>
            <w:rStyle w:val="Hyperlink"/>
          </w:rPr>
          <w:t xml:space="preserve">Table 10</w:t>
        </w:r>
      </w:hyperlink>
      <w:r>
        <w:t xml:space="preserve"> </w:t>
      </w:r>
      <w:r>
        <w:t xml:space="preserve">shows the forecasts for cucumber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3" w:name="tbl-cucumber"/>
          <w:p>
            <w:pPr>
              <w:jc w:val="center"/>
            </w:pPr>
            <w:pPr>
              <w:jc w:val="start"/>
              <w:spacing w:before="200"/>
              <w:pStyle w:val="ImageCaption"/>
            </w:pPr>
            <w:r>
              <w:t xml:space="preserve">Table 10. Forecasts for Monthly Cucumber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73.21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73.61</w:t>
                  </w:r>
                </w:p>
              </w:tc>
            </w:tr>
          </w:tbl>
          <w:bookmarkEnd w:id="93"/>
        </w:tc>
      </w:tr>
    </w:tbl>
    <w:p>
      <w:pPr>
        <w:pStyle w:val="BodyText"/>
      </w:pPr>
    </w:p>
    <w:p>
      <w:pPr>
        <w:pStyle w:val="BodyText"/>
      </w:pPr>
      <w:r>
        <w:t xml:space="preserve">For January 2024, the point forecast for cucumber price is 30.79. The 80% confidence interval for this forecast ranges from 16.56 to 48.4, indicating that there is an 80% probability that the actual value will fall within this range. Additionally, the 95% confidence interval extends from 12.47 to 64.29, suggesting that there is a 95% probability that the actual value will be within this broader range.</w:t>
      </w:r>
    </w:p>
    <w:p>
      <w:pPr>
        <w:pStyle w:val="BodyText"/>
      </w:pPr>
      <w:r>
        <w:t xml:space="preserve">For February 2024, the point forecast for cucumber price is 32.47. The 80% confidence interval for this forecast ranges from 16.36 to 52.82, indicating that there is an 80% probability that the actual value will fall within this range. Additionally, the 95% confidence interval extends from 12 to 72.03, suggesting that there is a 95% probability that the actual value will be within this broader range.</w:t>
      </w:r>
    </w:p>
    <w:p>
      <w:pPr>
        <w:pStyle w:val="BodyText"/>
      </w:pPr>
      <w:r>
        <w:t xml:space="preserve">For March 2024, the point forecast for cucumber price is 32.98. The 80% confidence interval for this forecast ranges from 16.6 to 53.66, indicating that there is an 80% probability that the actual value will fall within this range. Additionally, the 95% confidence interval extends from 12.17 to 73.21, suggesting that there is a 95% probability that the actual value will be within this broader range.</w:t>
      </w:r>
    </w:p>
    <w:p>
      <w:pPr>
        <w:pStyle w:val="BodyText"/>
      </w:pPr>
      <w:r>
        <w:t xml:space="preserve">For April 2024, the point forecast for cucumber price is 33.01. The 80% confidence interval for this forecast ranges from 16.54 to 53.86, indicating that there is an 80% probability that the actual value will fall within this range. Additionally, the 95% confidence interval extends from 12.1 to 73.61, suggesting that there is a 95% probability that the actual value will be within this broader range.</w:t>
      </w:r>
    </w:p>
    <w:p>
      <w:pPr>
        <w:pStyle w:val="BodyText"/>
      </w:pPr>
      <w:hyperlink w:anchor="fig-cucumber">
        <w:r>
          <w:rPr>
            <w:rStyle w:val="Hyperlink"/>
          </w:rPr>
          <w:t xml:space="preserve">Figure 11</w:t>
        </w:r>
      </w:hyperlink>
      <w:r>
        <w:t xml:space="preserve"> </w:t>
      </w:r>
      <w:r>
        <w:t xml:space="preserve">shows the NVAT monthly cucumber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7" w:name="fig-cucumber"/>
          <w:p>
            <w:pPr>
              <w:pStyle w:val="Compact"/>
              <w:jc w:val="center"/>
            </w:pPr>
            <w:r>
              <w:drawing>
                <wp:inline>
                  <wp:extent cx="5544151" cy="3696101"/>
                  <wp:effectExtent b="0" l="0" r="0" t="0"/>
                  <wp:docPr descr="" title="" id="95" name="Picture"/>
                  <a:graphic>
                    <a:graphicData uri="http://schemas.openxmlformats.org/drawingml/2006/picture">
                      <pic:pic>
                        <pic:nvPicPr>
                          <pic:cNvPr descr="fmvp_files/figure-docx/fig-cucumber-1.png" id="96" name="Picture"/>
                          <pic:cNvPicPr>
                            <a:picLocks noChangeArrowheads="1" noChangeAspect="1"/>
                          </pic:cNvPicPr>
                        </pic:nvPicPr>
                        <pic:blipFill>
                          <a:blip r:embed="rId9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Forecasts for Monthly cucumber Prices</w:t>
            </w:r>
          </w:p>
          <w:bookmarkEnd w:id="97"/>
        </w:tc>
      </w:tr>
    </w:tbl>
    <w:p>
      <w:pPr>
        <w:pStyle w:val="BodyText"/>
      </w:pPr>
    </w:p>
    <w:p>
      <w:pPr>
        <w:pStyle w:val="BodyText"/>
      </w:pPr>
      <w:hyperlink w:anchor="tbl-gabi_galyang">
        <w:r>
          <w:rPr>
            <w:rStyle w:val="Hyperlink"/>
          </w:rPr>
          <w:t xml:space="preserve">Table 11</w:t>
        </w:r>
      </w:hyperlink>
      <w:r>
        <w:t xml:space="preserve"> </w:t>
      </w:r>
      <w:r>
        <w:t xml:space="preserve">shows the forecasts for gabi (galyang) prices for the next four months from January to April 2024. It shows the means or the point forecasts along with their corresponding 80% and 95% confidence intervals. The forecast is from an ETS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8" w:name="tbl-gabi_galyang"/>
          <w:p>
            <w:pPr>
              <w:jc w:val="center"/>
            </w:pPr>
            <w:pPr>
              <w:jc w:val="start"/>
              <w:spacing w:before="200"/>
              <w:pStyle w:val="ImageCaption"/>
            </w:pPr>
            <w:r>
              <w:t xml:space="preserve">Table 11. Forecasts for Monthly Gabi (Galyang)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61.61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66.97</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71.85</w:t>
                  </w:r>
                </w:p>
              </w:tc>
            </w:tr>
          </w:tbl>
          <w:bookmarkEnd w:id="98"/>
        </w:tc>
      </w:tr>
    </w:tbl>
    <w:p>
      <w:pPr>
        <w:pStyle w:val="BodyText"/>
      </w:pPr>
    </w:p>
    <w:p>
      <w:pPr>
        <w:pStyle w:val="BodyText"/>
      </w:pPr>
      <w:r>
        <w:t xml:space="preserve">For January 2024, the point forecast for gabi (galyang) price is 42.88. The 80% confidence interval for this forecast ranges from 35.8 to 50.46, indicating that there is an 80% probability that the actual value will fall within this range. Additionally, the 95% confidence interval extends from 32.69 to 55.26, suggesting that there is a 95% probability that the actual value will be within this broader range.</w:t>
      </w:r>
    </w:p>
    <w:p>
      <w:pPr>
        <w:pStyle w:val="BodyText"/>
      </w:pPr>
      <w:r>
        <w:t xml:space="preserve">For February 2024, the point forecast for gabi (galyang) price is 43.26. The 80% confidence interval for this forecast ranges from 33.34 to 54.18, indicating that there is an 80% probability that the actual value will fall within this range. Additionally, the 95% confidence interval extends from 29.32 to 61.61, suggesting that there is a 95% probability that the actual value will be within this broader range.</w:t>
      </w:r>
    </w:p>
    <w:p>
      <w:pPr>
        <w:pStyle w:val="BodyText"/>
      </w:pPr>
      <w:r>
        <w:t xml:space="preserve">For March 2024, the point forecast for gabi (galyang) price is 43.64. The 80% confidence interval for this forecast ranges from 31.57 to 57.22, indicating that there is an 80% probability that the actual value will fall within this range. Additionally, the 95% confidence interval extends from 26.97 to 66.97, suggesting that there is a 95% probability that the actual value will be within this broader range.</w:t>
      </w:r>
    </w:p>
    <w:p>
      <w:pPr>
        <w:pStyle w:val="BodyText"/>
      </w:pPr>
      <w:r>
        <w:t xml:space="preserve">For April 2024, the point forecast for gabi (galyang) price is 44.02. The 80% confidence interval for this forecast ranges from 30.15 to 59.91, indicating that there is an 80% probability that the actual value will fall within this range. Additionally, the 95% confidence interval extends from 25.14 to 71.85, suggesting that there is a 95% probability that the actual value will be within this broader range.</w:t>
      </w:r>
    </w:p>
    <w:p>
      <w:pPr>
        <w:pStyle w:val="BodyText"/>
      </w:pPr>
      <w:hyperlink w:anchor="fig-gabi_galyang">
        <w:r>
          <w:rPr>
            <w:rStyle w:val="Hyperlink"/>
          </w:rPr>
          <w:t xml:space="preserve">Figure 12</w:t>
        </w:r>
      </w:hyperlink>
      <w:r>
        <w:t xml:space="preserve"> </w:t>
      </w:r>
      <w:r>
        <w:t xml:space="preserve">shows the NVAT monthly gabi (galyang) prices with four months of forecasts using ETS.</w:t>
      </w:r>
    </w:p>
    <w:tbl>
      <w:tblPr>
        <w:tblStyle w:val="Table"/>
        <w:tblW w:type="pct" w:w="5000"/>
        <w:tblLayout w:type="fixed"/>
        <w:tblLook w:firstRow="0" w:lastRow="0" w:firstColumn="0" w:lastColumn="0" w:noHBand="0" w:noVBand="0" w:val="0000"/>
      </w:tblPr>
      <w:tblGrid>
        <w:gridCol w:w="7920"/>
      </w:tblGrid>
      <w:tr>
        <w:tc>
          <w:tcPr/>
          <w:bookmarkStart w:id="102" w:name="fig-gabi_galyang"/>
          <w:p>
            <w:pPr>
              <w:pStyle w:val="Compact"/>
              <w:jc w:val="center"/>
            </w:pPr>
            <w:r>
              <w:drawing>
                <wp:inline>
                  <wp:extent cx="5544151" cy="3696101"/>
                  <wp:effectExtent b="0" l="0" r="0" t="0"/>
                  <wp:docPr descr="" title="" id="100" name="Picture"/>
                  <a:graphic>
                    <a:graphicData uri="http://schemas.openxmlformats.org/drawingml/2006/picture">
                      <pic:pic>
                        <pic:nvPicPr>
                          <pic:cNvPr descr="fmvp_files/figure-docx/fig-gabi_galyang-1.png" id="101" name="Picture"/>
                          <pic:cNvPicPr>
                            <a:picLocks noChangeArrowheads="1" noChangeAspect="1"/>
                          </pic:cNvPicPr>
                        </pic:nvPicPr>
                        <pic:blipFill>
                          <a:blip r:embed="rId9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Forecasts for Monthly Gabi (Galyang) Prices</w:t>
            </w:r>
          </w:p>
          <w:bookmarkEnd w:id="102"/>
        </w:tc>
      </w:tr>
    </w:tbl>
    <w:p>
      <w:pPr>
        <w:pStyle w:val="BodyText"/>
      </w:pPr>
    </w:p>
    <w:p>
      <w:pPr>
        <w:pStyle w:val="BodyText"/>
      </w:pPr>
      <w:hyperlink w:anchor="tbl-pepper_sultan">
        <w:r>
          <w:rPr>
            <w:rStyle w:val="Hyperlink"/>
          </w:rPr>
          <w:t xml:space="preserve">Table 12</w:t>
        </w:r>
      </w:hyperlink>
      <w:r>
        <w:t xml:space="preserve"> </w:t>
      </w:r>
      <w:r>
        <w:t xml:space="preserve">shows the forecasts for pepper (sultan)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3" w:name="tbl-pepper_sultan"/>
          <w:p>
            <w:pPr>
              <w:jc w:val="center"/>
            </w:pPr>
            <w:pPr>
              <w:jc w:val="start"/>
              <w:spacing w:before="200"/>
              <w:pStyle w:val="ImageCaption"/>
            </w:pPr>
            <w:r>
              <w:t xml:space="preserve">Table 12. Forecasts for Monthly Pepper (Sultan)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187.46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273.50</w:t>
                  </w:r>
                </w:p>
              </w:tc>
            </w:tr>
          </w:tbl>
          <w:bookmarkEnd w:id="103"/>
        </w:tc>
      </w:tr>
    </w:tbl>
    <w:p>
      <w:pPr>
        <w:pStyle w:val="BodyText"/>
      </w:pPr>
    </w:p>
    <w:p>
      <w:pPr>
        <w:pStyle w:val="BodyText"/>
      </w:pPr>
      <w:r>
        <w:t xml:space="preserve">For January 2024, the point forecast for pepper (sultan) price is 38.6. The 80% confidence interval for this forecast ranges from 21.65 to 59.3, indicating that there is an 80% probability that the actual value will fall within this range. Additionally, the 95% confidence interval extends from 16.58 to 77.42, suggesting that there is a 95% probability that the actual value will be within this broader range.</w:t>
      </w:r>
    </w:p>
    <w:p>
      <w:pPr>
        <w:pStyle w:val="BodyText"/>
      </w:pPr>
      <w:r>
        <w:t xml:space="preserve">For February 2024, the point forecast for pepper (sultan) price is 50.09. The 80% confidence interval for this forecast ranges from 24.68 to 82.42, indicating that there is an 80% probability that the actual value will fall within this range. Additionally, the 95% confidence interval extends from 17.94 to 113.4, suggesting that there is a 95% probability that the actual value will be within this broader range.</w:t>
      </w:r>
    </w:p>
    <w:p>
      <w:pPr>
        <w:pStyle w:val="BodyText"/>
      </w:pPr>
      <w:r>
        <w:t xml:space="preserve">For March 2024, the point forecast for pepper (sultan) price is 77.71. The 80% confidence interval for this forecast ranges from 35.63 to 132.44, indicating that there is an 80% probability that the actual value will fall within this range. Additionally, the 95% confidence interval extends from 25.17 to 187.46, suggesting that there is a 95% probability that the actual value will be within this broader range.</w:t>
      </w:r>
    </w:p>
    <w:p>
      <w:pPr>
        <w:pStyle w:val="BodyText"/>
      </w:pPr>
      <w:r>
        <w:t xml:space="preserve">For April 2024, the point forecast for pepper (sultan) price is 112.63. The 80% confidence interval for this forecast ranges from 51.26 to 192.65, indicating that there is an 80% probability that the actual value will fall within this range. Additionally, the 95% confidence interval extends from 36.11 to 273.5, suggesting that there is a 95% probability that the actual value will be within this broader range.</w:t>
      </w:r>
    </w:p>
    <w:p>
      <w:pPr>
        <w:pStyle w:val="BodyText"/>
      </w:pPr>
      <w:hyperlink w:anchor="fig-pepper_sultan">
        <w:r>
          <w:rPr>
            <w:rStyle w:val="Hyperlink"/>
          </w:rPr>
          <w:t xml:space="preserve">Figure 13</w:t>
        </w:r>
      </w:hyperlink>
      <w:r>
        <w:t xml:space="preserve"> </w:t>
      </w:r>
      <w:r>
        <w:t xml:space="preserve">shows the NVAT monthly pepper (sultan)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07" w:name="fig-pepper_sultan"/>
          <w:p>
            <w:pPr>
              <w:pStyle w:val="Compact"/>
              <w:jc w:val="center"/>
            </w:pPr>
            <w:r>
              <w:drawing>
                <wp:inline>
                  <wp:extent cx="5544151" cy="3696101"/>
                  <wp:effectExtent b="0" l="0" r="0" t="0"/>
                  <wp:docPr descr="" title="" id="105" name="Picture"/>
                  <a:graphic>
                    <a:graphicData uri="http://schemas.openxmlformats.org/drawingml/2006/picture">
                      <pic:pic>
                        <pic:nvPicPr>
                          <pic:cNvPr descr="fmvp_files/figure-docx/fig-pepper_sultan-1.png" id="106" name="Picture"/>
                          <pic:cNvPicPr>
                            <a:picLocks noChangeArrowheads="1" noChangeAspect="1"/>
                          </pic:cNvPicPr>
                        </pic:nvPicPr>
                        <pic:blipFill>
                          <a:blip r:embed="rId10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Forecasts for Monthly Pepper (Sultan) Prices</w:t>
            </w:r>
          </w:p>
          <w:bookmarkEnd w:id="107"/>
        </w:tc>
      </w:tr>
    </w:tbl>
    <w:p>
      <w:pPr>
        <w:pStyle w:val="BodyText"/>
      </w:pPr>
    </w:p>
    <w:p>
      <w:pPr>
        <w:pStyle w:val="BodyText"/>
      </w:pPr>
      <w:hyperlink w:anchor="tbl-pepper_taiwan">
        <w:r>
          <w:rPr>
            <w:rStyle w:val="Hyperlink"/>
          </w:rPr>
          <w:t xml:space="preserve">Table 13</w:t>
        </w:r>
      </w:hyperlink>
      <w:r>
        <w:t xml:space="preserve"> </w:t>
      </w:r>
      <w:r>
        <w:t xml:space="preserve">shows the forecasts for pepper (taiwan)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8" w:name="tbl-pepper_taiwan"/>
          <w:p>
            <w:pPr>
              <w:jc w:val="center"/>
            </w:pPr>
            <w:pPr>
              <w:jc w:val="start"/>
              <w:spacing w:before="200"/>
              <w:pStyle w:val="ImageCaption"/>
            </w:pPr>
            <w:r>
              <w:t xml:space="preserve">Table 13. Forecasts for Monthly Pepper (Taiwan)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168.20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197.44</w:t>
                  </w:r>
                </w:p>
              </w:tc>
            </w:tr>
          </w:tbl>
          <w:bookmarkEnd w:id="108"/>
        </w:tc>
      </w:tr>
    </w:tbl>
    <w:p>
      <w:pPr>
        <w:pStyle w:val="BodyText"/>
      </w:pPr>
    </w:p>
    <w:p>
      <w:pPr>
        <w:pStyle w:val="BodyText"/>
      </w:pPr>
      <w:r>
        <w:t xml:space="preserve">For January 2024, the point forecast for pepper (taiwan) price is 80.18. The 80% confidence interval for this forecast ranges from 36.15 to 137.75, indicating that there is an 80% probability that the actual value will fall within this range. Additionally, the 95% confidence interval extends from 25.37 to 196.28, suggesting that there is a 95% probability that the actual value will be within this broader range.</w:t>
      </w:r>
    </w:p>
    <w:p>
      <w:pPr>
        <w:pStyle w:val="BodyText"/>
      </w:pPr>
      <w:r>
        <w:t xml:space="preserve">For February 2024, the point forecast for pepper (taiwan) price is 60.52. The 80% confidence interval for this forecast ranges from 19.9 to 119.04, indicating that there is an 80% probability that the actual value will fall within this range. Additionally, the 95% confidence interval extends from 12.39 to 191.12, suggesting that there is a 95% probability that the actual value will be within this broader range.</w:t>
      </w:r>
    </w:p>
    <w:p>
      <w:pPr>
        <w:pStyle w:val="BodyText"/>
      </w:pPr>
      <w:r>
        <w:t xml:space="preserve">For March 2024, the point forecast for pepper (taiwan) price is 48.45. The 80% confidence interval for this forecast ranges from 14.02 to 100, indicating that there is an 80% probability that the actual value will fall within this range. Additionally, the 95% confidence interval extends from 8.34 to 168.2, suggesting that there is a 95% probability that the actual value will be within this broader range.</w:t>
      </w:r>
    </w:p>
    <w:p>
      <w:pPr>
        <w:pStyle w:val="BodyText"/>
      </w:pPr>
      <w:r>
        <w:t xml:space="preserve">For April 2024, the point forecast for pepper (taiwan) price is 56.06. The 80% confidence interval for this forecast ranges from 15.91 to 116.56, indicating that there is an 80% probability that the actual value will fall within this range. Additionally, the 95% confidence interval extends from 9.39 to 197.44, suggesting that there is a 95% probability that the actual value will be within this broader range.</w:t>
      </w:r>
    </w:p>
    <w:p>
      <w:pPr>
        <w:pStyle w:val="BodyText"/>
      </w:pPr>
      <w:hyperlink w:anchor="fig-pepper_taiwan">
        <w:r>
          <w:rPr>
            <w:rStyle w:val="Hyperlink"/>
          </w:rPr>
          <w:t xml:space="preserve">Figure 14</w:t>
        </w:r>
      </w:hyperlink>
      <w:r>
        <w:t xml:space="preserve"> </w:t>
      </w:r>
      <w:r>
        <w:t xml:space="preserve">shows the NVAT monthly pepper (taiwan)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12" w:name="fig-pepper_taiwan"/>
          <w:p>
            <w:pPr>
              <w:pStyle w:val="Compact"/>
              <w:jc w:val="center"/>
            </w:pPr>
            <w:r>
              <w:drawing>
                <wp:inline>
                  <wp:extent cx="5544151" cy="3696101"/>
                  <wp:effectExtent b="0" l="0" r="0" t="0"/>
                  <wp:docPr descr="" title="" id="110" name="Picture"/>
                  <a:graphic>
                    <a:graphicData uri="http://schemas.openxmlformats.org/drawingml/2006/picture">
                      <pic:pic>
                        <pic:nvPicPr>
                          <pic:cNvPr descr="fmvp_files/figure-docx/fig-pepper_taiwan-1.png" id="111" name="Picture"/>
                          <pic:cNvPicPr>
                            <a:picLocks noChangeArrowheads="1" noChangeAspect="1"/>
                          </pic:cNvPicPr>
                        </pic:nvPicPr>
                        <pic:blipFill>
                          <a:blip r:embed="rId10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Forecasts for Monthly Pepper (Taiwan) Prices</w:t>
            </w:r>
          </w:p>
          <w:bookmarkEnd w:id="112"/>
        </w:tc>
      </w:tr>
    </w:tbl>
    <w:p>
      <w:pPr>
        <w:pStyle w:val="BodyText"/>
      </w:pPr>
    </w:p>
    <w:p>
      <w:pPr>
        <w:pStyle w:val="BodyText"/>
      </w:pPr>
      <w:hyperlink w:anchor="tbl-potato">
        <w:r>
          <w:rPr>
            <w:rStyle w:val="Hyperlink"/>
          </w:rPr>
          <w:t xml:space="preserve">Table 14</w:t>
        </w:r>
      </w:hyperlink>
      <w:r>
        <w:t xml:space="preserve"> </w:t>
      </w:r>
      <w:r>
        <w:t xml:space="preserve">shows the forecasts for potato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3" w:name="tbl-potato"/>
          <w:p>
            <w:pPr>
              <w:jc w:val="center"/>
            </w:pPr>
            <w:pPr>
              <w:jc w:val="start"/>
              <w:spacing w:before="200"/>
              <w:pStyle w:val="ImageCaption"/>
            </w:pPr>
            <w:r>
              <w:t xml:space="preserve">Table 14. Forecasts for Monthly Potato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132.89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151.43</w:t>
                  </w:r>
                </w:p>
              </w:tc>
            </w:tr>
          </w:tbl>
          <w:bookmarkEnd w:id="113"/>
        </w:tc>
      </w:tr>
    </w:tbl>
    <w:p>
      <w:pPr>
        <w:pStyle w:val="BodyText"/>
      </w:pPr>
    </w:p>
    <w:p>
      <w:pPr>
        <w:pStyle w:val="BodyText"/>
      </w:pPr>
      <w:r>
        <w:t xml:space="preserve">For January 2024, the point forecast for potato price is 73.85. The 80% confidence interval for this forecast ranges from 55.76 to 93.89, indicating that there is an 80% probability that the actual value will fall within this range. Additionally, the 95% confidence interval extends from 48.57 to 107.77, suggesting that there is a 95% probability that the actual value will be within this broader range.</w:t>
      </w:r>
    </w:p>
    <w:p>
      <w:pPr>
        <w:pStyle w:val="BodyText"/>
      </w:pPr>
      <w:r>
        <w:t xml:space="preserve">For February 2024, the point forecast for potato price is 69.59. The 80% confidence interval for this forecast ranges from 45.74 to 97.26, indicating that there is an 80% probability that the actual value will fall within this range. Additionally, the 95% confidence interval extends from 37.46 to 118.75, suggesting that there is a 95% probability that the actual value will be within this broader range.</w:t>
      </w:r>
    </w:p>
    <w:p>
      <w:pPr>
        <w:pStyle w:val="BodyText"/>
      </w:pPr>
      <w:r>
        <w:t xml:space="preserve">For March 2024, the point forecast for potato price is 71.35. The 80% confidence interval for this forecast ranges from 43.13 to 105, indicating that there is an 80% probability that the actual value will fall within this range. Additionally, the 95% confidence interval extends from 34.08 to 132.89, suggesting that there is a 95% probability that the actual value will be within this broader range.</w:t>
      </w:r>
    </w:p>
    <w:p>
      <w:pPr>
        <w:pStyle w:val="BodyText"/>
      </w:pPr>
      <w:r>
        <w:t xml:space="preserve">For April 2024, the point forecast for potato price is 78.11. The 80% confidence interval for this forecast ranges from 45.36 to 117.66, indicating that there is an 80% probability that the actual value will fall within this range. Additionally, the 95% confidence interval extends from 35.24 to 151.43, suggesting that there is a 95% probability that the actual value will be within this broader range.</w:t>
      </w:r>
    </w:p>
    <w:p>
      <w:pPr>
        <w:pStyle w:val="BodyText"/>
      </w:pPr>
      <w:hyperlink w:anchor="fig-potato">
        <w:r>
          <w:rPr>
            <w:rStyle w:val="Hyperlink"/>
          </w:rPr>
          <w:t xml:space="preserve">Figure 15</w:t>
        </w:r>
      </w:hyperlink>
      <w:r>
        <w:t xml:space="preserve"> </w:t>
      </w:r>
      <w:r>
        <w:t xml:space="preserve">shows the NVAT monthly potato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17" w:name="fig-potato"/>
          <w:p>
            <w:pPr>
              <w:pStyle w:val="Compact"/>
              <w:jc w:val="center"/>
            </w:pPr>
            <w:r>
              <w:drawing>
                <wp:inline>
                  <wp:extent cx="5544151" cy="3696101"/>
                  <wp:effectExtent b="0" l="0" r="0" t="0"/>
                  <wp:docPr descr="" title="" id="115" name="Picture"/>
                  <a:graphic>
                    <a:graphicData uri="http://schemas.openxmlformats.org/drawingml/2006/picture">
                      <pic:pic>
                        <pic:nvPicPr>
                          <pic:cNvPr descr="fmvp_files/figure-docx/fig-potato-1.png" id="116" name="Picture"/>
                          <pic:cNvPicPr>
                            <a:picLocks noChangeArrowheads="1" noChangeAspect="1"/>
                          </pic:cNvPicPr>
                        </pic:nvPicPr>
                        <pic:blipFill>
                          <a:blip r:embed="rId114"/>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Forecasts for Monthly Potato Prices</w:t>
            </w:r>
          </w:p>
          <w:bookmarkEnd w:id="117"/>
        </w:tc>
      </w:tr>
    </w:tbl>
    <w:p>
      <w:pPr>
        <w:pStyle w:val="BodyText"/>
      </w:pPr>
    </w:p>
    <w:p>
      <w:pPr>
        <w:pStyle w:val="BodyText"/>
      </w:pPr>
      <w:hyperlink w:anchor="tbl-wombok">
        <w:r>
          <w:rPr>
            <w:rStyle w:val="Hyperlink"/>
          </w:rPr>
          <w:t xml:space="preserve">Table 15</w:t>
        </w:r>
      </w:hyperlink>
      <w:r>
        <w:t xml:space="preserve"> </w:t>
      </w:r>
      <w:r>
        <w:t xml:space="preserve">shows the forecasts for wombok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8" w:name="tbl-wombok"/>
          <w:p>
            <w:pPr>
              <w:jc w:val="center"/>
            </w:pPr>
            <w:pPr>
              <w:jc w:val="start"/>
              <w:spacing w:before="200"/>
              <w:pStyle w:val="ImageCaption"/>
            </w:pPr>
            <w:r>
              <w:t xml:space="preserve">Table 15. Forecasts for Monthly Wombok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bl>
          <w:bookmarkEnd w:id="118"/>
        </w:tc>
      </w:tr>
    </w:tbl>
    <w:p>
      <w:pPr>
        <w:pStyle w:val="BodyText"/>
      </w:pPr>
    </w:p>
    <w:p>
      <w:pPr>
        <w:pStyle w:val="BodyText"/>
      </w:pPr>
      <w:r>
        <w:t xml:space="preserve">For January 2024, the point forecast for wombok price is 10.6. The 80% confidence interval for this forecast ranges from 5.26 to 17.38, indicating that there is an 80% probability that the actual value will fall within this range. Additionally, the 95% confidence interval extends from 3.84 to 23.84, suggesting that there is a 95% probability that the actual value will be within this broader range.</w:t>
      </w:r>
    </w:p>
    <w:p>
      <w:pPr>
        <w:pStyle w:val="BodyText"/>
      </w:pPr>
      <w:r>
        <w:t xml:space="preserve">For February 2024, the point forecast for wombok price is 15.06. The 80% confidence interval for this forecast ranges from 5.64 to 28.09, indicating that there is an 80% probability that the actual value will fall within this range. Additionally, the 95% confidence interval extends from 3.69 to 42.97, suggesting that there is a 95% probability that the actual value will be within this broader range.</w:t>
      </w:r>
    </w:p>
    <w:p>
      <w:pPr>
        <w:pStyle w:val="BodyText"/>
      </w:pPr>
      <w:r>
        <w:t xml:space="preserve">For March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r>
        <w:t xml:space="preserve">For April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hyperlink w:anchor="fig-wombok">
        <w:r>
          <w:rPr>
            <w:rStyle w:val="Hyperlink"/>
          </w:rPr>
          <w:t xml:space="preserve">Figure 16</w:t>
        </w:r>
      </w:hyperlink>
      <w:r>
        <w:t xml:space="preserve"> </w:t>
      </w:r>
      <w:r>
        <w:t xml:space="preserve">shows the NVAT monthly wombok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22" w:name="fig-wombok"/>
          <w:p>
            <w:pPr>
              <w:pStyle w:val="Compact"/>
              <w:jc w:val="center"/>
            </w:pPr>
            <w:r>
              <w:drawing>
                <wp:inline>
                  <wp:extent cx="5544151" cy="3696101"/>
                  <wp:effectExtent b="0" l="0" r="0" t="0"/>
                  <wp:docPr descr="" title="" id="120" name="Picture"/>
                  <a:graphic>
                    <a:graphicData uri="http://schemas.openxmlformats.org/drawingml/2006/picture">
                      <pic:pic>
                        <pic:nvPicPr>
                          <pic:cNvPr descr="fmvp_files/figure-docx/fig-wombok-1.png" id="121" name="Picture"/>
                          <pic:cNvPicPr>
                            <a:picLocks noChangeArrowheads="1" noChangeAspect="1"/>
                          </pic:cNvPicPr>
                        </pic:nvPicPr>
                        <pic:blipFill>
                          <a:blip r:embed="rId119"/>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Forecasts for Monthly Wombok Prices</w:t>
            </w:r>
          </w:p>
          <w:bookmarkEnd w:id="122"/>
        </w:tc>
      </w:tr>
    </w:tbl>
    <w:p>
      <w:pPr>
        <w:pStyle w:val="BodyText"/>
      </w:pPr>
    </w:p>
    <w:p>
      <w:pPr>
        <w:pStyle w:val="BodyText"/>
      </w:pPr>
      <w:hyperlink w:anchor="tbl-ljb">
        <w:r>
          <w:rPr>
            <w:rStyle w:val="Hyperlink"/>
          </w:rPr>
          <w:t xml:space="preserve">Table 16</w:t>
        </w:r>
      </w:hyperlink>
      <w:r>
        <w:t xml:space="preserve"> </w:t>
      </w:r>
      <w:r>
        <w:t xml:space="preserve">shows the results of the portmanteau test for the models.</w:t>
      </w:r>
    </w:p>
    <w:tbl>
      <w:tblPr>
        <w:tblStyle w:val="Table"/>
        <w:tblW w:type="pct" w:w="5000"/>
        <w:tblLayout w:type="fixed"/>
        <w:tblLook w:firstRow="0" w:lastRow="0" w:firstColumn="0" w:lastColumn="0" w:noHBand="0" w:noVBand="0" w:val="0000"/>
      </w:tblPr>
      <w:tblGrid>
        <w:gridCol w:w="7920"/>
      </w:tblGrid>
      <w:tr>
        <w:tc>
          <w:tcPr/>
          <w:bookmarkStart w:id="123" w:name="tbl-ljb"/>
          <w:p>
            <w:pPr>
              <w:jc w:val="center"/>
            </w:pPr>
            <w:pPr>
              <w:jc w:val="start"/>
              <w:spacing w:before="200"/>
              <w:pStyle w:val="ImageCaption"/>
            </w:pPr>
            <w:r>
              <w:t xml:space="preserve">Table 16. Result of the Portmanteau Test of Residuals for the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Q-statistics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ARIMA(0,1,0)(1,0,0)[12]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ARIMA(3,0,0)(1,0,0)[12]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ARIMA(1,1,2)(0,0,1)[12]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ARIMA(0,0,1)(2,1,0)[12] w/ drift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ARIMA(1,0,1)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ARIMA(1,0,0)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ARIMA(2,0,1)(1,0,0)[12]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.646</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ARIMA(0,0,2) w/ mean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.471</w:t>
                  </w:r>
                </w:p>
              </w:tc>
            </w:tr>
          </w:tbl>
          <w:bookmarkEnd w:id="123"/>
        </w:tc>
      </w:tr>
    </w:tbl>
    <w:p>
      <w:pPr>
        <w:pStyle w:val="BodyText"/>
      </w:pPr>
    </w:p>
    <w:p>
      <w:pPr>
        <w:pStyle w:val="BodyText"/>
      </w:pPr>
      <w:r>
        <w:t xml:space="preserve">Results show that all the ARIMA models have a large p-value but the ETS model for gabi (galyang) has a p-value less than .05. This shows that the residuals of all the ARIMA models are independently distributed. This indicates that there is no significant autocorrelation in the residuals up to 12 lags. The ARIMA models are a good fit to the data. They can be used in forecasting their corresponding monthly vegetable prices. On the other hand, the ETS model failed the portmanteau test since there is still significant autocorrelation in the residuals up to 12 lags. The model can still be used for forecasting monthly gabi (galyang) prices, but the prediction or confidence intervals may not be accurate due to the correlated residuals.</w:t>
      </w:r>
    </w:p>
    <w:bookmarkEnd w:id="124"/>
    <w:bookmarkEnd w:id="125"/>
    <w:bookmarkEnd w:id="126"/>
    <w:bookmarkStart w:id="131" w:name="chapter-v"/>
    <w:p>
      <w:pPr>
        <w:pStyle w:val="Heading1"/>
      </w:pPr>
      <w:r>
        <w:t xml:space="preserve">Chapter V</w:t>
      </w:r>
    </w:p>
    <w:bookmarkStart w:id="130" w:name="summary-conclusion-and-recommendations"/>
    <w:p>
      <w:pPr>
        <w:pStyle w:val="Heading2"/>
      </w:pPr>
      <w:r>
        <w:t xml:space="preserve">SUMMARY, CONCLUSION AND RECOMMENDATIONS</w:t>
      </w:r>
    </w:p>
    <w:bookmarkStart w:id="127" w:name="summary"/>
    <w:p>
      <w:pPr>
        <w:pStyle w:val="Heading3"/>
      </w:pPr>
      <w:r>
        <w:t xml:space="preserve">Summary</w:t>
      </w:r>
    </w:p>
    <w:bookmarkEnd w:id="127"/>
    <w:bookmarkStart w:id="128" w:name="conclusion"/>
    <w:p>
      <w:pPr>
        <w:pStyle w:val="Heading3"/>
      </w:pPr>
      <w:r>
        <w:t xml:space="preserve">Conclusion</w:t>
      </w:r>
    </w:p>
    <w:bookmarkEnd w:id="128"/>
    <w:bookmarkStart w:id="129" w:name="recommendations"/>
    <w:p>
      <w:pPr>
        <w:pStyle w:val="Heading3"/>
      </w:pPr>
      <w:r>
        <w:t xml:space="preserve">Recommendations</w:t>
      </w:r>
    </w:p>
    <w:bookmarkEnd w:id="129"/>
    <w:bookmarkEnd w:id="130"/>
    <w:bookmarkEnd w:id="131"/>
    <w:bookmarkStart w:id="175" w:name="references"/>
    <w:p>
      <w:pPr>
        <w:pStyle w:val="Heading1"/>
      </w:pPr>
      <w:r>
        <w:t xml:space="preserve">References</w:t>
      </w:r>
    </w:p>
    <w:bookmarkStart w:id="174" w:name="refs"/>
    <w:bookmarkStart w:id="133"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
          <w:iCs/>
        </w:rPr>
        <w:t xml:space="preserve">Agricultural waste to value-added products: Technical, economic and sustainable aspects</w:t>
      </w:r>
      <w:r>
        <w:t xml:space="preserve"> </w:t>
      </w:r>
      <w:r>
        <w:t xml:space="preserve">(pp. 21–45). Springer Nature Singapore.</w:t>
      </w:r>
      <w:r>
        <w:t xml:space="preserve"> </w:t>
      </w:r>
      <w:hyperlink r:id="rId132">
        <w:r>
          <w:rPr>
            <w:rStyle w:val="Hyperlink"/>
          </w:rPr>
          <w:t xml:space="preserve">https://doi.org/10.1007/978-981-99-4472-9_2</w:t>
        </w:r>
      </w:hyperlink>
    </w:p>
    <w:bookmarkEnd w:id="133"/>
    <w:bookmarkStart w:id="134"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
          <w:iCs/>
        </w:rPr>
        <w:t xml:space="preserve">European Journal of Computer Science and Information Technology</w:t>
      </w:r>
      <w:r>
        <w:t xml:space="preserve">,</w:t>
      </w:r>
      <w:r>
        <w:t xml:space="preserve"> </w:t>
      </w:r>
      <w:r>
        <w:rPr>
          <w:i/>
          <w:iCs/>
        </w:rPr>
        <w:t xml:space="preserve">11</w:t>
      </w:r>
      <w:r>
        <w:t xml:space="preserve">(3), 1–13.</w:t>
      </w:r>
    </w:p>
    <w:bookmarkEnd w:id="134"/>
    <w:bookmarkStart w:id="136" w:name="ref-chen18"/>
    <w:p>
      <w:pPr>
        <w:pStyle w:val="Bibliography"/>
      </w:pPr>
      <w:r>
        <w:t xml:space="preserve">Chen, J., Zhou, H., Hu, H., Song, Y., Gifu, D., Li, Y., &amp; Huang, Y. (2018). Research on agricultural monitoring system based on convolutional neural network.</w:t>
      </w:r>
      <w:r>
        <w:t xml:space="preserve"> </w:t>
      </w:r>
      <w:r>
        <w:rPr>
          <w:i/>
          <w:iCs/>
        </w:rPr>
        <w:t xml:space="preserve">Future Generation Computer Systems</w:t>
      </w:r>
      <w:r>
        <w:t xml:space="preserve">,</w:t>
      </w:r>
      <w:r>
        <w:t xml:space="preserve"> </w:t>
      </w:r>
      <w:r>
        <w:rPr>
          <w:i/>
          <w:iCs/>
        </w:rPr>
        <w:t xml:space="preserve">88</w:t>
      </w:r>
      <w:r>
        <w:t xml:space="preserve">, 271–278.</w:t>
      </w:r>
      <w:r>
        <w:t xml:space="preserve"> </w:t>
      </w:r>
      <w:hyperlink r:id="rId135">
        <w:r>
          <w:rPr>
            <w:rStyle w:val="Hyperlink"/>
          </w:rPr>
          <w:t xml:space="preserve">https://doi.org/10.1016/j.future.2018.05.045</w:t>
        </w:r>
      </w:hyperlink>
    </w:p>
    <w:bookmarkEnd w:id="136"/>
    <w:bookmarkStart w:id="138"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
          <w:iCs/>
        </w:rPr>
        <w:t xml:space="preserve">Journal of Official Statistics</w:t>
      </w:r>
      <w:r>
        <w:t xml:space="preserve">,</w:t>
      </w:r>
      <w:r>
        <w:t xml:space="preserve"> </w:t>
      </w:r>
      <w:r>
        <w:rPr>
          <w:i/>
          <w:iCs/>
        </w:rPr>
        <w:t xml:space="preserve">6</w:t>
      </w:r>
      <w:r>
        <w:t xml:space="preserve">(1), 3–33.</w:t>
      </w:r>
      <w:r>
        <w:t xml:space="preserve"> </w:t>
      </w:r>
      <w:hyperlink r:id="rId137">
        <w:r>
          <w:rPr>
            <w:rStyle w:val="Hyperlink"/>
          </w:rPr>
          <w:t xml:space="preserve">http://bit.ly/stl1990</w:t>
        </w:r>
      </w:hyperlink>
    </w:p>
    <w:bookmarkEnd w:id="138"/>
    <w:bookmarkStart w:id="140"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
          <w:iCs/>
        </w:rPr>
        <w:t xml:space="preserve">International Journal of Agricultural Science and Food Technology</w:t>
      </w:r>
      <w:r>
        <w:t xml:space="preserve">, 108–113.</w:t>
      </w:r>
      <w:r>
        <w:t xml:space="preserve"> </w:t>
      </w:r>
      <w:hyperlink r:id="rId139">
        <w:r>
          <w:rPr>
            <w:rStyle w:val="Hyperlink"/>
          </w:rPr>
          <w:t xml:space="preserve">https://doi.org/10.17352/2455-815X.000096</w:t>
        </w:r>
      </w:hyperlink>
    </w:p>
    <w:bookmarkEnd w:id="140"/>
    <w:bookmarkStart w:id="141" w:name="ref-domingo20"/>
    <w:p>
      <w:pPr>
        <w:pStyle w:val="Bibliography"/>
      </w:pPr>
      <w:r>
        <w:t xml:space="preserve">Domingo, S. N., Umlas, A. J. L., &amp; Zuluaga, K. M. C. (2020).</w:t>
      </w:r>
      <w:r>
        <w:t xml:space="preserve"> </w:t>
      </w:r>
      <w:r>
        <w:rPr>
          <w:i/>
          <w:iCs/>
        </w:rPr>
        <w:t xml:space="preserve">Development of crop climate calendars for high-value crops in</w:t>
      </w:r>
      <w:r>
        <w:rPr>
          <w:i/>
          <w:iCs/>
        </w:rPr>
        <w:t xml:space="preserve"> </w:t>
      </w:r>
      <w:r>
        <w:rPr>
          <w:i/>
          <w:iCs/>
        </w:rPr>
        <w:t xml:space="preserve">Atok, Benguet</w:t>
      </w:r>
      <w:r>
        <w:rPr>
          <w:i/>
          <w:iCs/>
        </w:rPr>
        <w:t xml:space="preserve">: Report from preliminary co-learning and co-development engagements with agricultural stakeholders in</w:t>
      </w:r>
      <w:r>
        <w:rPr>
          <w:i/>
          <w:iCs/>
        </w:rPr>
        <w:t xml:space="preserve"> </w:t>
      </w:r>
      <w:r>
        <w:rPr>
          <w:i/>
          <w:iCs/>
        </w:rPr>
        <w:t xml:space="preserve">Benguet</w:t>
      </w:r>
      <w:r>
        <w:rPr>
          <w:i/>
          <w:iCs/>
        </w:rPr>
        <w:t xml:space="preserve"> </w:t>
      </w:r>
      <w:r>
        <w:rPr>
          <w:i/>
          <w:iCs/>
        </w:rPr>
        <w:t xml:space="preserve">province</w:t>
      </w:r>
      <w:r>
        <w:t xml:space="preserve">. PIDS Discussion Paper Series.</w:t>
      </w:r>
    </w:p>
    <w:bookmarkEnd w:id="141"/>
    <w:bookmarkStart w:id="143" w:name="ref-fao"/>
    <w:p>
      <w:pPr>
        <w:pStyle w:val="Bibliography"/>
      </w:pPr>
      <w:r>
        <w:rPr>
          <w:i/>
          <w:iCs/>
        </w:rPr>
        <w:t xml:space="preserve">FAOSTAT</w:t>
      </w:r>
      <w:r>
        <w:t xml:space="preserve">. (n.d.). Retrieved November 16, 2023, from</w:t>
      </w:r>
      <w:r>
        <w:t xml:space="preserve"> </w:t>
      </w:r>
      <w:hyperlink r:id="rId142">
        <w:r>
          <w:rPr>
            <w:rStyle w:val="Hyperlink"/>
          </w:rPr>
          <w:t xml:space="preserve">https://www.fao.org/faostat/en/#home</w:t>
        </w:r>
      </w:hyperlink>
    </w:p>
    <w:bookmarkEnd w:id="143"/>
    <w:bookmarkStart w:id="144"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
          <w:iCs/>
        </w:rPr>
        <w:t xml:space="preserve">Scholarly Journal</w:t>
      </w:r>
      <w:r>
        <w:t xml:space="preserve">,</w:t>
      </w:r>
      <w:r>
        <w:t xml:space="preserve"> </w:t>
      </w:r>
      <w:r>
        <w:rPr>
          <w:i/>
          <w:iCs/>
        </w:rPr>
        <w:t xml:space="preserve">9</w:t>
      </w:r>
      <w:r>
        <w:t xml:space="preserve">(3), 148–155.</w:t>
      </w:r>
    </w:p>
    <w:bookmarkEnd w:id="144"/>
    <w:bookmarkStart w:id="146"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
          <w:iCs/>
        </w:rPr>
        <w:t xml:space="preserve">SSRN Electronic Journal</w:t>
      </w:r>
      <w:r>
        <w:t xml:space="preserve">.</w:t>
      </w:r>
      <w:r>
        <w:t xml:space="preserve"> </w:t>
      </w:r>
      <w:hyperlink r:id="rId145">
        <w:r>
          <w:rPr>
            <w:rStyle w:val="Hyperlink"/>
          </w:rPr>
          <w:t xml:space="preserve">https://doi.org/10.2139/ssrn.4113035</w:t>
        </w:r>
      </w:hyperlink>
    </w:p>
    <w:bookmarkEnd w:id="146"/>
    <w:bookmarkStart w:id="148" w:name="ref-hyndman21"/>
    <w:p>
      <w:pPr>
        <w:pStyle w:val="Bibliography"/>
      </w:pPr>
      <w:r>
        <w:t xml:space="preserve">Hyndman, R. J., &amp; Athanasopoulos, G. (2021).</w:t>
      </w:r>
      <w:r>
        <w:t xml:space="preserve"> </w:t>
      </w:r>
      <w:r>
        <w:rPr>
          <w:i/>
          <w:iCs/>
        </w:rPr>
        <w:t xml:space="preserve">Forecasting: Principles and practice</w:t>
      </w:r>
      <w:r>
        <w:t xml:space="preserve"> </w:t>
      </w:r>
      <w:r>
        <w:t xml:space="preserve">(3rd ed.). OTexts.</w:t>
      </w:r>
      <w:r>
        <w:t xml:space="preserve"> </w:t>
      </w:r>
      <w:hyperlink r:id="rId147">
        <w:r>
          <w:rPr>
            <w:rStyle w:val="Hyperlink"/>
          </w:rPr>
          <w:t xml:space="preserve">OTexts.com/fpp3</w:t>
        </w:r>
      </w:hyperlink>
    </w:p>
    <w:bookmarkEnd w:id="148"/>
    <w:bookmarkStart w:id="149" w:name="ref-illankoon2020"/>
    <w:p>
      <w:pPr>
        <w:pStyle w:val="Bibliography"/>
      </w:pPr>
      <w:r>
        <w:t xml:space="preserve">Illankoon, I. M. G. L., &amp; Kumara, B. T. G. S. (2020). Analyzing the influence of various factors for vegetable price using data mining.</w:t>
      </w:r>
      <w:r>
        <w:t xml:space="preserve"> </w:t>
      </w:r>
      <w:r>
        <w:rPr>
          <w:i/>
          <w:iCs/>
        </w:rPr>
        <w:t xml:space="preserve">Proceedings of the International Research Conference 2020</w:t>
      </w:r>
      <w:r>
        <w:rPr>
          <w:i/>
          <w:iCs/>
        </w:rPr>
        <w:t xml:space="preserve"> </w:t>
      </w:r>
      <w:r>
        <w:rPr>
          <w:i/>
          <w:iCs/>
        </w:rPr>
        <w:t xml:space="preserve">KDUAt: Sri Lanka</w:t>
      </w:r>
      <w:r>
        <w:t xml:space="preserve">, 402–409.</w:t>
      </w:r>
    </w:p>
    <w:bookmarkEnd w:id="149"/>
    <w:bookmarkStart w:id="150" w:name="ref-janssen93"/>
    <w:p>
      <w:pPr>
        <w:pStyle w:val="Bibliography"/>
      </w:pPr>
      <w:r>
        <w:t xml:space="preserve">Janssen, B. H. (1993). Integrated nutrient management: The use of organic and mineral fertilizers. In</w:t>
      </w:r>
      <w:r>
        <w:t xml:space="preserve"> </w:t>
      </w:r>
      <w:r>
        <w:rPr>
          <w:i/>
          <w:iCs/>
        </w:rPr>
        <w:t xml:space="preserve">The role of plant nutrients for sustainable food crop production in</w:t>
      </w:r>
      <w:r>
        <w:rPr>
          <w:i/>
          <w:iCs/>
        </w:rPr>
        <w:t xml:space="preserve"> </w:t>
      </w:r>
      <w:r>
        <w:rPr>
          <w:i/>
          <w:iCs/>
        </w:rPr>
        <w:t xml:space="preserve">Sub-Saharan Africa</w:t>
      </w:r>
      <w:r>
        <w:t xml:space="preserve"> </w:t>
      </w:r>
      <w:r>
        <w:t xml:space="preserve">(pp. 89–105). Ver. Kunstmest Producenten.</w:t>
      </w:r>
    </w:p>
    <w:bookmarkEnd w:id="150"/>
    <w:bookmarkStart w:id="151" w:name="ref-kakulapati22"/>
    <w:p>
      <w:pPr>
        <w:pStyle w:val="Bibliography"/>
      </w:pPr>
      <w:r>
        <w:t xml:space="preserve">Kakulapati, V., &amp; Shaik, S. (2022). Vegetable price prediction against temperature changes using machine learning techniques.</w:t>
      </w:r>
      <w:r>
        <w:t xml:space="preserve"> </w:t>
      </w:r>
      <w:r>
        <w:rPr>
          <w:i/>
          <w:iCs/>
        </w:rPr>
        <w:t xml:space="preserve">Dickensian Journal</w:t>
      </w:r>
      <w:r>
        <w:t xml:space="preserve">,</w:t>
      </w:r>
      <w:r>
        <w:t xml:space="preserve"> </w:t>
      </w:r>
      <w:r>
        <w:rPr>
          <w:i/>
          <w:iCs/>
        </w:rPr>
        <w:t xml:space="preserve">22</w:t>
      </w:r>
      <w:r>
        <w:t xml:space="preserve">, 1547–1554.</w:t>
      </w:r>
    </w:p>
    <w:bookmarkEnd w:id="151"/>
    <w:bookmarkStart w:id="153"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
          <w:iCs/>
        </w:rPr>
        <w:t xml:space="preserve">European Journal of Business and Management</w:t>
      </w:r>
      <w:r>
        <w:t xml:space="preserve">,</w:t>
      </w:r>
      <w:r>
        <w:t xml:space="preserve"> </w:t>
      </w:r>
      <w:r>
        <w:rPr>
          <w:i/>
          <w:iCs/>
        </w:rPr>
        <w:t xml:space="preserve">6</w:t>
      </w:r>
      <w:r>
        <w:t xml:space="preserve">(36), 155–160.</w:t>
      </w:r>
      <w:r>
        <w:t xml:space="preserve"> </w:t>
      </w:r>
      <w:hyperlink r:id="rId152">
        <w:r>
          <w:rPr>
            <w:rStyle w:val="Hyperlink"/>
          </w:rPr>
          <w:t xml:space="preserve">https://catalog.ihsn.org/citations/91017?fbclid=IwAR06pCHPm9d6ko-uxXndkeBPGmpGgp7plCg0BQwlXNBHWh8OdHbY4B23soc</w:t>
        </w:r>
      </w:hyperlink>
    </w:p>
    <w:bookmarkEnd w:id="153"/>
    <w:bookmarkStart w:id="155" w:name="ref-fable"/>
    <w:p>
      <w:pPr>
        <w:pStyle w:val="Bibliography"/>
      </w:pPr>
      <w:r>
        <w:t xml:space="preserve">O’Hara-Wild, M., Hyndman, R., &amp; Wang, E. (2023).</w:t>
      </w:r>
      <w:r>
        <w:t xml:space="preserve"> </w:t>
      </w:r>
      <w:r>
        <w:rPr>
          <w:i/>
          <w:iCs/>
        </w:rPr>
        <w:t xml:space="preserve">Fable: Forecasting models for tidy time series</w:t>
      </w:r>
      <w:r>
        <w:t xml:space="preserve">.</w:t>
      </w:r>
      <w:r>
        <w:t xml:space="preserve"> </w:t>
      </w:r>
      <w:hyperlink r:id="rId154">
        <w:r>
          <w:rPr>
            <w:rStyle w:val="Hyperlink"/>
          </w:rPr>
          <w:t xml:space="preserve">https://CRAN.R-project.org/package=fable</w:t>
        </w:r>
      </w:hyperlink>
    </w:p>
    <w:bookmarkEnd w:id="155"/>
    <w:bookmarkStart w:id="157" w:name="ref-r"/>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156">
        <w:r>
          <w:rPr>
            <w:rStyle w:val="Hyperlink"/>
          </w:rPr>
          <w:t xml:space="preserve">https://www.R-project.org/</w:t>
        </w:r>
      </w:hyperlink>
    </w:p>
    <w:bookmarkEnd w:id="157"/>
    <w:bookmarkStart w:id="158" w:name="ref-subhasree16"/>
    <w:p>
      <w:pPr>
        <w:pStyle w:val="Bibliography"/>
      </w:pPr>
      <w:r>
        <w:t xml:space="preserve">Subhasree, M., &amp; Priya, C. A. (2016). Forecasting vegetable price using time series data.</w:t>
      </w:r>
      <w:r>
        <w:t xml:space="preserve"> </w:t>
      </w:r>
      <w:r>
        <w:rPr>
          <w:i/>
          <w:iCs/>
        </w:rPr>
        <w:t xml:space="preserve">International Journal of Advanced Research</w:t>
      </w:r>
      <w:r>
        <w:t xml:space="preserve">,</w:t>
      </w:r>
      <w:r>
        <w:t xml:space="preserve"> </w:t>
      </w:r>
      <w:r>
        <w:rPr>
          <w:i/>
          <w:iCs/>
        </w:rPr>
        <w:t xml:space="preserve">3</w:t>
      </w:r>
      <w:r>
        <w:t xml:space="preserve">, 535–641.</w:t>
      </w:r>
    </w:p>
    <w:bookmarkEnd w:id="158"/>
    <w:bookmarkStart w:id="160" w:name="ref-sun23"/>
    <w:p>
      <w:pPr>
        <w:pStyle w:val="Bibliography"/>
      </w:pPr>
      <w:r>
        <w:t xml:space="preserve">Sun, F., Meng, X., Zhang, Y., Wang, Y., Jiang, H., &amp; Liu, P. (2023). Agricultural product price forecasting methods: A review.</w:t>
      </w:r>
      <w:r>
        <w:t xml:space="preserve"> </w:t>
      </w:r>
      <w:r>
        <w:rPr>
          <w:i/>
          <w:iCs/>
        </w:rPr>
        <w:t xml:space="preserve">Agriculture</w:t>
      </w:r>
      <w:r>
        <w:t xml:space="preserve">,</w:t>
      </w:r>
      <w:r>
        <w:t xml:space="preserve"> </w:t>
      </w:r>
      <w:r>
        <w:rPr>
          <w:i/>
          <w:iCs/>
        </w:rPr>
        <w:t xml:space="preserve">13</w:t>
      </w:r>
      <w:r>
        <w:t xml:space="preserve">(9), 1671.</w:t>
      </w:r>
      <w:r>
        <w:t xml:space="preserve"> </w:t>
      </w:r>
      <w:hyperlink r:id="rId159">
        <w:r>
          <w:rPr>
            <w:rStyle w:val="Hyperlink"/>
          </w:rPr>
          <w:t xml:space="preserve">https://doi.org/10.3390/agriculture13091671</w:t>
        </w:r>
      </w:hyperlink>
    </w:p>
    <w:bookmarkEnd w:id="160"/>
    <w:bookmarkStart w:id="161" w:name="ref-tulin19"/>
    <w:p>
      <w:pPr>
        <w:pStyle w:val="Bibliography"/>
      </w:pPr>
      <w:r>
        <w:t xml:space="preserve">Tulin, A., Dorahy, C., Eldridge, S., Mercado, A., Salvani, J., Lapoot, C., Justo, V., Duna, L., Gonzaga, N., Quinones, C. M., Rallos, R., Rañises, M., Bicamon, R., &amp; Galambao, M. (2019).</w:t>
      </w:r>
      <w:r>
        <w:t xml:space="preserve"> </w:t>
      </w:r>
      <w:r>
        <w:rPr>
          <w:i/>
          <w:iCs/>
        </w:rPr>
        <w:t xml:space="preserve">Enhancing profitability of selected vegetable value chains in the southern</w:t>
      </w:r>
      <w:r>
        <w:rPr>
          <w:i/>
          <w:iCs/>
        </w:rPr>
        <w:t xml:space="preserve"> </w:t>
      </w:r>
      <w:r>
        <w:rPr>
          <w:i/>
          <w:iCs/>
        </w:rPr>
        <w:t xml:space="preserve">Philippines</w:t>
      </w:r>
      <w:r>
        <w:rPr>
          <w:i/>
          <w:iCs/>
        </w:rPr>
        <w:t xml:space="preserve"> </w:t>
      </w:r>
      <w:r>
        <w:rPr>
          <w:i/>
          <w:iCs/>
        </w:rPr>
        <w:t xml:space="preserve">and</w:t>
      </w:r>
      <w:r>
        <w:rPr>
          <w:i/>
          <w:iCs/>
        </w:rPr>
        <w:t xml:space="preserve"> </w:t>
      </w:r>
      <w:r>
        <w:rPr>
          <w:i/>
          <w:iCs/>
        </w:rPr>
        <w:t xml:space="preserve">Australia</w:t>
      </w:r>
      <w:r>
        <w:rPr>
          <w:i/>
          <w:iCs/>
        </w:rPr>
        <w:t xml:space="preserve"> </w:t>
      </w:r>
      <w:r>
        <w:rPr>
          <w:i/>
          <w:iCs/>
        </w:rPr>
        <w:t xml:space="preserve">component 1 – integrated soil and crop nutrient management</w:t>
      </w:r>
      <w:r>
        <w:t xml:space="preserve">. Australian Centre for International Agricultural Research.</w:t>
      </w:r>
    </w:p>
    <w:bookmarkEnd w:id="161"/>
    <w:bookmarkStart w:id="163"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
          <w:iCs/>
        </w:rPr>
        <w:t xml:space="preserve">International Journal of Advance Study and Research Work</w:t>
      </w:r>
      <w:r>
        <w:t xml:space="preserve">.</w:t>
      </w:r>
      <w:r>
        <w:t xml:space="preserve"> </w:t>
      </w:r>
      <w:hyperlink r:id="rId162">
        <w:r>
          <w:rPr>
            <w:rStyle w:val="Hyperlink"/>
          </w:rPr>
          <w:t xml:space="preserve">https://doi.org/10.5281/ZENODO.3333529</w:t>
        </w:r>
      </w:hyperlink>
    </w:p>
    <w:bookmarkEnd w:id="163"/>
    <w:bookmarkStart w:id="165" w:name="ref-wang20"/>
    <w:p>
      <w:pPr>
        <w:pStyle w:val="Bibliography"/>
      </w:pPr>
      <w:r>
        <w:t xml:space="preserve">Wang, E., Cook, D., &amp; Hyndman, R. J. (2020). A new tidy data structure to support exploration and modeling of temporal data.</w:t>
      </w:r>
      <w:r>
        <w:t xml:space="preserve"> </w:t>
      </w:r>
      <w:r>
        <w:rPr>
          <w:i/>
          <w:iCs/>
        </w:rPr>
        <w:t xml:space="preserve">Journal of Computational and Graphical Statistics</w:t>
      </w:r>
      <w:r>
        <w:t xml:space="preserve">,</w:t>
      </w:r>
      <w:r>
        <w:t xml:space="preserve"> </w:t>
      </w:r>
      <w:r>
        <w:rPr>
          <w:i/>
          <w:iCs/>
        </w:rPr>
        <w:t xml:space="preserve">29</w:t>
      </w:r>
      <w:r>
        <w:t xml:space="preserve">(3), 466–478.</w:t>
      </w:r>
      <w:r>
        <w:t xml:space="preserve"> </w:t>
      </w:r>
      <w:hyperlink r:id="rId164">
        <w:r>
          <w:rPr>
            <w:rStyle w:val="Hyperlink"/>
          </w:rPr>
          <w:t xml:space="preserve">https://doi.org/10.1080/10618600.2019.1695624</w:t>
        </w:r>
      </w:hyperlink>
    </w:p>
    <w:bookmarkEnd w:id="165"/>
    <w:bookmarkStart w:id="167"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66">
        <w:r>
          <w:rPr>
            <w:rStyle w:val="Hyperlink"/>
          </w:rPr>
          <w:t xml:space="preserve">https://doi.org/10.21105/joss.01686</w:t>
        </w:r>
      </w:hyperlink>
    </w:p>
    <w:bookmarkEnd w:id="167"/>
    <w:bookmarkStart w:id="169"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
          <w:iCs/>
        </w:rPr>
        <w:t xml:space="preserve">Agronomy</w:t>
      </w:r>
      <w:r>
        <w:t xml:space="preserve">,</w:t>
      </w:r>
      <w:r>
        <w:t xml:space="preserve"> </w:t>
      </w:r>
      <w:r>
        <w:rPr>
          <w:i/>
          <w:iCs/>
        </w:rPr>
        <w:t xml:space="preserve">12</w:t>
      </w:r>
      <w:r>
        <w:t xml:space="preserve">(11), 2680.</w:t>
      </w:r>
      <w:r>
        <w:t xml:space="preserve"> </w:t>
      </w:r>
      <w:hyperlink r:id="rId168">
        <w:r>
          <w:rPr>
            <w:rStyle w:val="Hyperlink"/>
          </w:rPr>
          <w:t xml:space="preserve">https://doi.org/10.3390/agronomy12112680</w:t>
        </w:r>
      </w:hyperlink>
    </w:p>
    <w:bookmarkEnd w:id="169"/>
    <w:bookmarkStart w:id="171"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
          <w:iCs/>
        </w:rPr>
        <w:t xml:space="preserve">Agriculture</w:t>
      </w:r>
      <w:r>
        <w:t xml:space="preserve">, 577. https://doi.org/</w:t>
      </w:r>
      <w:hyperlink r:id="rId170">
        <w:r>
          <w:rPr>
            <w:rStyle w:val="Hyperlink"/>
          </w:rPr>
          <w:t xml:space="preserve">https://doi.org/10.3390/agriculture13030577</w:t>
        </w:r>
      </w:hyperlink>
    </w:p>
    <w:bookmarkEnd w:id="171"/>
    <w:bookmarkStart w:id="173"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
          <w:iCs/>
        </w:rPr>
        <w:t xml:space="preserve">International Food and Agribusiness Management Review</w:t>
      </w:r>
      <w:r>
        <w:t xml:space="preserve">,</w:t>
      </w:r>
      <w:r>
        <w:t xml:space="preserve"> </w:t>
      </w:r>
      <w:r>
        <w:rPr>
          <w:i/>
          <w:iCs/>
        </w:rPr>
        <w:t xml:space="preserve">23</w:t>
      </w:r>
      <w:r>
        <w:t xml:space="preserve">.</w:t>
      </w:r>
      <w:r>
        <w:t xml:space="preserve"> </w:t>
      </w:r>
      <w:hyperlink r:id="rId172">
        <w:r>
          <w:rPr>
            <w:rStyle w:val="Hyperlink"/>
          </w:rPr>
          <w:t xml:space="preserve">https://doi.org/10.22434/IFAMR2019.0172</w:t>
        </w:r>
      </w:hyperlink>
    </w:p>
    <w:bookmarkEnd w:id="173"/>
    <w:bookmarkEnd w:id="174"/>
    <w:bookmarkEnd w:id="175"/>
    <w:sectPr w:rsidR="00106E44"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995765"/>
      <w:docPartObj>
        <w:docPartGallery w:val="Page Numbers (Top of Page)"/>
        <w:docPartUnique/>
      </w:docPartObj>
    </w:sdtPr>
    <w:sdtEndPr>
      <w:rPr>
        <w:noProof/>
      </w:rPr>
    </w:sdtEndPr>
    <w:sdtContent>
      <w:p w14:paraId="35A8749B"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8E2A5D"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094D5" w14:textId="77777777" w:rsidR="00E5125E" w:rsidRDefault="00E5125E">
    <w:pPr>
      <w:pStyle w:val="Header"/>
      <w:jc w:val="right"/>
    </w:pPr>
  </w:p>
  <w:p w14:paraId="274A5F09"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6111391" w:numId="51">
    <w:abstractNumId w:val="0"/>
  </w:num>
  <w:num w16cid:durableId="750547537"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79718517" w:numId="53">
    <w:abstractNumId w:val="0"/>
  </w:num>
  <w:num w16cid:durableId="726270820"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0702126" w:numId="55">
    <w:abstractNumId w:val="0"/>
  </w:num>
  <w:num w16cid:durableId="1143355938"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254528" w:numId="57">
    <w:abstractNumId w:val="0"/>
  </w:num>
  <w:num w16cid:durableId="774520070"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87877" w:numId="59">
    <w:abstractNumId w:val="0"/>
  </w:num>
  <w:num w16cid:durableId="145317147"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5E"/>
    <w:rsid w:val="000C7BEE"/>
    <w:rsid w:val="000F5153"/>
    <w:rsid w:val="00106E44"/>
    <w:rsid w:val="00114CDB"/>
    <w:rsid w:val="00282BC1"/>
    <w:rsid w:val="003138E6"/>
    <w:rsid w:val="003408B0"/>
    <w:rsid w:val="00364E0C"/>
    <w:rsid w:val="0040049F"/>
    <w:rsid w:val="00542A5E"/>
    <w:rsid w:val="005C692C"/>
    <w:rsid w:val="00605A5C"/>
    <w:rsid w:val="006861F4"/>
    <w:rsid w:val="006F0C86"/>
    <w:rsid w:val="007D6AD0"/>
    <w:rsid w:val="009728B7"/>
    <w:rsid w:val="00990C2F"/>
    <w:rsid w:val="009D6C13"/>
    <w:rsid w:val="00AA0130"/>
    <w:rsid w:val="00AE5B9B"/>
    <w:rsid w:val="00B44632"/>
    <w:rsid w:val="00B56DFF"/>
    <w:rsid w:val="00B87147"/>
    <w:rsid w:val="00BA4620"/>
    <w:rsid w:val="00E5125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ead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3138E6"/>
    <w:pPr>
      <w:spacing w:after="0" w:before="200" w:line="240" w:lineRule="auto"/>
      <w:outlineLvl w:val="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AA0130"/>
    <w:rPr>
      <w:color w:val="auto"/>
    </w:rPr>
  </w:style>
  <w:style w:styleId="TOCHeading" w:type="paragraph">
    <w:name w:val="TOC Heading"/>
    <w:basedOn w:val="Heading1"/>
    <w:next w:val="BodyText"/>
    <w:uiPriority w:val="39"/>
    <w:unhideWhenUsed/>
    <w:qFormat/>
    <w:rsid w:val="007D6AD0"/>
    <w:pPr>
      <w:spacing w:before="240" w:line="259" w:lineRule="auto"/>
      <w:outlineLvl w:val="9"/>
    </w:pPr>
    <w:rPr>
      <w:b w:val="0"/>
      <w:bCs w:val="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 w:styleId="TOC1" w:type="paragraph">
    <w:name w:val="toc 1"/>
    <w:basedOn w:val="Normal"/>
    <w:next w:val="Normal"/>
    <w:autoRedefine/>
    <w:uiPriority w:val="39"/>
    <w:rsid w:val="007D6AD0"/>
    <w:pPr>
      <w:spacing w:after="100"/>
    </w:pPr>
  </w:style>
  <w:style w:styleId="TOC2" w:type="paragraph">
    <w:name w:val="toc 2"/>
    <w:basedOn w:val="Normal"/>
    <w:next w:val="Normal"/>
    <w:autoRedefine/>
    <w:uiPriority w:val="39"/>
    <w:rsid w:val="007D6AD0"/>
    <w:pPr>
      <w:spacing w:after="100"/>
      <w:ind w:left="240"/>
    </w:pPr>
  </w:style>
  <w:style w:styleId="TOC3" w:type="paragraph">
    <w:name w:val="toc 3"/>
    <w:basedOn w:val="Normal"/>
    <w:next w:val="Normal"/>
    <w:autoRedefine/>
    <w:uiPriority w:val="39"/>
    <w:rsid w:val="007D6AD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53" Target="media/rId53.png" /><Relationship Type="http://schemas.openxmlformats.org/officeDocument/2006/relationships/image" Id="rId114" Target="media/rId114.png" /><Relationship Type="http://schemas.openxmlformats.org/officeDocument/2006/relationships/image" Id="rId119" Target="media/rId119.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37" Target="http://bit.ly/stl1990" TargetMode="External" /><Relationship Type="http://schemas.openxmlformats.org/officeDocument/2006/relationships/hyperlink" Id="rId154" Target="https://CRAN.R-project.org/package=fable" TargetMode="External" /><Relationship Type="http://schemas.openxmlformats.org/officeDocument/2006/relationships/hyperlink" Id="rId147" Target="https://OTexts.com/fpp3" TargetMode="External" /><Relationship Type="http://schemas.openxmlformats.org/officeDocument/2006/relationships/hyperlink" Id="rId152"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64" Target="https://doi.org/10.1080/10618600.2019.1695624" TargetMode="External" /><Relationship Type="http://schemas.openxmlformats.org/officeDocument/2006/relationships/hyperlink" Id="rId139" Target="https://doi.org/10.17352/2455-815X.000096" TargetMode="External" /><Relationship Type="http://schemas.openxmlformats.org/officeDocument/2006/relationships/hyperlink" Id="rId166" Target="https://doi.org/10.21105/joss.01686" TargetMode="External" /><Relationship Type="http://schemas.openxmlformats.org/officeDocument/2006/relationships/hyperlink" Id="rId145" Target="https://doi.org/10.2139/ssrn.4113035" TargetMode="External" /><Relationship Type="http://schemas.openxmlformats.org/officeDocument/2006/relationships/hyperlink" Id="rId172" Target="https://doi.org/10.22434/IFAMR2019.0172" TargetMode="External" /><Relationship Type="http://schemas.openxmlformats.org/officeDocument/2006/relationships/hyperlink" Id="rId170" Target="https://doi.org/10.3390/agriculture13030577" TargetMode="External" /><Relationship Type="http://schemas.openxmlformats.org/officeDocument/2006/relationships/hyperlink" Id="rId159" Target="https://doi.org/10.3390/agriculture13091671" TargetMode="External" /><Relationship Type="http://schemas.openxmlformats.org/officeDocument/2006/relationships/hyperlink" Id="rId168" Target="https://doi.org/10.3390/agronomy12112680" TargetMode="External" /><Relationship Type="http://schemas.openxmlformats.org/officeDocument/2006/relationships/hyperlink" Id="rId162" Target="https://doi.org/10.5281/ZENODO.3333529" TargetMode="External" /><Relationship Type="http://schemas.openxmlformats.org/officeDocument/2006/relationships/hyperlink" Id="rId156" Target="https://www.R-project.org/" TargetMode="External" /><Relationship Type="http://schemas.openxmlformats.org/officeDocument/2006/relationships/hyperlink" Id="rId142"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37" Target="http://bit.ly/stl1990" TargetMode="External" /><Relationship Type="http://schemas.openxmlformats.org/officeDocument/2006/relationships/hyperlink" Id="rId154" Target="https://CRAN.R-project.org/package=fable" TargetMode="External" /><Relationship Type="http://schemas.openxmlformats.org/officeDocument/2006/relationships/hyperlink" Id="rId147" Target="https://OTexts.com/fpp3" TargetMode="External" /><Relationship Type="http://schemas.openxmlformats.org/officeDocument/2006/relationships/hyperlink" Id="rId152"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64" Target="https://doi.org/10.1080/10618600.2019.1695624" TargetMode="External" /><Relationship Type="http://schemas.openxmlformats.org/officeDocument/2006/relationships/hyperlink" Id="rId139" Target="https://doi.org/10.17352/2455-815X.000096" TargetMode="External" /><Relationship Type="http://schemas.openxmlformats.org/officeDocument/2006/relationships/hyperlink" Id="rId166" Target="https://doi.org/10.21105/joss.01686" TargetMode="External" /><Relationship Type="http://schemas.openxmlformats.org/officeDocument/2006/relationships/hyperlink" Id="rId145" Target="https://doi.org/10.2139/ssrn.4113035" TargetMode="External" /><Relationship Type="http://schemas.openxmlformats.org/officeDocument/2006/relationships/hyperlink" Id="rId172" Target="https://doi.org/10.22434/IFAMR2019.0172" TargetMode="External" /><Relationship Type="http://schemas.openxmlformats.org/officeDocument/2006/relationships/hyperlink" Id="rId170" Target="https://doi.org/10.3390/agriculture13030577" TargetMode="External" /><Relationship Type="http://schemas.openxmlformats.org/officeDocument/2006/relationships/hyperlink" Id="rId159" Target="https://doi.org/10.3390/agriculture13091671" TargetMode="External" /><Relationship Type="http://schemas.openxmlformats.org/officeDocument/2006/relationships/hyperlink" Id="rId168" Target="https://doi.org/10.3390/agronomy12112680" TargetMode="External" /><Relationship Type="http://schemas.openxmlformats.org/officeDocument/2006/relationships/hyperlink" Id="rId162" Target="https://doi.org/10.5281/ZENODO.3333529" TargetMode="External" /><Relationship Type="http://schemas.openxmlformats.org/officeDocument/2006/relationships/hyperlink" Id="rId156" Target="https://www.R-project.org/" TargetMode="External" /><Relationship Type="http://schemas.openxmlformats.org/officeDocument/2006/relationships/hyperlink" Id="rId142"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54</Pages>
  <Words>13056</Words>
  <Characters>74425</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Forecasting Monthly Vegetable Prices in the Province of Nueva Vizcaya</vt:lpstr>
    </vt:vector>
  </TitlesOfParts>
  <Company/>
  <LinksUpToDate>false</LinksUpToDate>
  <CharactersWithSpaces>87307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2024-08-06T14:37:57Z</dcterms:created>
  <dcterms:modified xsi:type="dcterms:W3CDTF">2024-08-06T14:37:57Z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apa.csl</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