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would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Determine the optimal AutoRegressive Integrated Moving Average (ARIMA) and Exponential Smoothing (ETS) models for forecasting monthly prices for each vegetable in Nueva Vizcaya from 2017-2023.</w:t>
      </w:r>
    </w:p>
    <w:p>
      <w:pPr>
        <w:numPr>
          <w:ilvl w:val="0"/>
          <w:numId w:val="1001"/>
        </w:numPr>
      </w:pPr>
      <w:r>
        <w:t xml:space="preserve">Determine the performance of the optimal model — whether ARIMA or ETS — for forecasting monthly prices for each vegetable data available within five (5) to six (6) months in a year in Nueva Vizcaya from 2017-2023.</w:t>
      </w:r>
    </w:p>
    <w:p>
      <w:pPr>
        <w:numPr>
          <w:ilvl w:val="0"/>
          <w:numId w:val="1001"/>
        </w:numPr>
      </w:pPr>
      <w:r>
        <w:t xml:space="preserve">Use the optimal AutoRegressive Integrated Moving Average (ARIMA) or Exponential Smoothing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would guide the researchers in conducting the study. It consists of input, process, and output. The input would be the available time series of vegetable prices from NVAT. The output would be ARIMA and/or ETS models and their corresponding monthly forecasts. Under process, automatic algorithms would determine the best ARIMA and ETS models. From this, the better model would be determined using time series cross-validation; comparing their point forecast accuracy measures.</w:t>
      </w:r>
    </w:p>
    <w:tbl>
      <w:tblPr>
        <w:tblStyle w:val="Table"/>
        <w:tblW w:type="pct" w:w="5000"/>
        <w:tblLook w:firstRow="0" w:lastRow="0" w:firstColumn="0" w:lastColumn="0" w:noHBand="0" w:noVBand="0" w:val="0000"/>
        <w:jc w:val="start"/>
        <w:tblLayout w:type="fixed"/>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would be employed for time series analysis to identify the optimal ARIMA and ETS models for each vegetable. Subsequently, the optimal ARIMA or ETS model for forecasting the prices of each vegetable would be determined using time series cross-validation, enabling a comparison of their point forecast accuracy measures.Also, a portmanteau test of residuals would be performed to describe the performance of the optimal model for each vegetable.</w:t>
      </w:r>
    </w:p>
    <w:bookmarkEnd w:id="29"/>
    <w:bookmarkStart w:id="30" w:name="definition-of-terms"/>
    <w:p>
      <w:pPr>
        <w:pStyle w:val="Heading3"/>
      </w:pPr>
      <w:r>
        <w:t xml:space="preserve">Definition of Terms</w:t>
      </w:r>
    </w:p>
    <w:p>
      <w:pPr>
        <w:pStyle w:val="FirstParagraph"/>
      </w:pPr>
      <w:r>
        <w:rPr>
          <w:bCs/>
          <w:b/>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Cs/>
          <w:b/>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The Nueva Vizcaya Agricultural Terminal (NVAT).</w:t>
      </w:r>
      <w:r>
        <w:t xml:space="preserve"> </w:t>
      </w:r>
      <w:r>
        <w:t xml:space="preserve">Place to gather data of monthly vegetable prices.</w:t>
      </w:r>
    </w:p>
    <w:p>
      <w:pPr>
        <w:pStyle w:val="BodyText"/>
      </w:pPr>
      <w:r>
        <w:rPr>
          <w:bCs/>
          <w:b/>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Cs/>
          <w:b/>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Cs/>
          <w:b/>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Cs/>
          <w:b/>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would purely be quantitative in nature. Specifically, the researchers would employ comparative time series forecasting</w:t>
      </w:r>
      <w:r>
        <w:t xml:space="preserve"> </w:t>
      </w:r>
      <w:r>
        <w:t xml:space="preserve">(Hyndman &amp; Athanasopoulos, 2021)</w:t>
      </w:r>
      <w:r>
        <w:t xml:space="preserve">. In this study, AutoRegressive Integrated Moving Average (ARIMA) and Exponential Smoothing (ETS) models would be estimated using the monthly vegetable prices from NVAT. The researchers would then compare the estimated models and choose the one with higher accuracy to forecast monthly vegetable prices in Nueva Vizcaya.</w:t>
      </w:r>
    </w:p>
    <w:bookmarkEnd w:id="38"/>
    <w:bookmarkStart w:id="43" w:name="locale-of-the-study"/>
    <w:p>
      <w:pPr>
        <w:pStyle w:val="Heading3"/>
      </w:pPr>
      <w:r>
        <w:t xml:space="preserve">Locale of the Study</w:t>
      </w:r>
    </w:p>
    <w:p>
      <w:pPr>
        <w:pStyle w:val="FirstParagraph"/>
      </w:pPr>
      <w:r>
        <w:t xml:space="preserve">The study would be conducted in Bambang, Nueva Vizcaya. Specifically, the data for this study would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would be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would inquire about the background and data policy of NVAT by visiting its office. Additionally, letters requesting permission to gather data for the research would be written to the NVSU President, NVAT General Manager, and the Municipal Mayor of Bambang (refer to Appendix A, B, and C, respectively). Subsequently, the researchers would collect five (5) years available time series of vegetable prices. Throughout the data collection process, strict adherence to ethical considerations, including data confidentiality and approval from appropriate authorities, would be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would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would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would visualize the monthly vegetable prices in Nueva Vizcaya. The trend and seasonal components of the data would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would be used to estimate or fit the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would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would be computed and compared to determine the better model for each vegetable. The model with lower point forecast accuracy measures would be selected.</w:t>
      </w:r>
    </w:p>
    <w:p>
      <w:pPr>
        <w:pStyle w:val="BodyText"/>
      </w:pPr>
      <w:r>
        <w:t xml:space="preserve">Furthermore, a portmanteau test in the form of the Ljung-Box test would be computed. This would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selected models would be used to forecast monthly vegetable prices in Nueva Vizcaya.</w:t>
      </w:r>
    </w:p>
    <w:bookmarkEnd w:id="50"/>
    <w:bookmarkEnd w:id="51"/>
    <w:bookmarkEnd w:id="52"/>
    <w:bookmarkStart w:id="62" w:name="chapter-iv"/>
    <w:p>
      <w:pPr>
        <w:pStyle w:val="Heading1"/>
      </w:pPr>
      <w:r>
        <w:t xml:space="preserve">CHAPTER IV</w:t>
      </w:r>
    </w:p>
    <w:bookmarkStart w:id="61" w:name="results-and-discussion"/>
    <w:p>
      <w:pPr>
        <w:pStyle w:val="Heading2"/>
      </w:pPr>
      <w:r>
        <w:t xml:space="preserve">RESULTS AND DISCUSSION</w:t>
      </w:r>
    </w:p>
    <w:bookmarkStart w:id="59" w:name="monthly-prices-of-vegetables-in-nvat"/>
    <w:p>
      <w:pPr>
        <w:pStyle w:val="Heading3"/>
      </w:pPr>
      <w:r>
        <w:t xml:space="preserve">Monthly Prices of Vegetables in NVAT</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and Taiwan), potato, and wombok. The graph of the monthly time series of these vegetables are shown in figure 4.</w:t>
      </w:r>
    </w:p>
    <w:tbl>
      <w:tblPr>
        <w:tblStyle w:val="Table"/>
        <w:tblW w:type="pct" w:w="5000"/>
        <w:tblLook w:firstRow="0" w:lastRow="0" w:firstColumn="0" w:lastColumn="0" w:noHBand="0" w:noVBand="0" w:val="0000"/>
        <w:jc w:val="start"/>
        <w:tblLayout w:type="fixed"/>
      </w:tblPr>
      <w:tblGrid>
        <w:gridCol w:w="7920"/>
      </w:tblGrid>
      <w:tr>
        <w:tc>
          <w:tcPr/>
          <w:bookmarkStart w:id="56" w:name="fig-plot_all"/>
          <w:p>
            <w:pPr>
              <w:pStyle w:val="Compact"/>
              <w:jc w:val="center"/>
            </w:pPr>
            <w:r>
              <w:drawing>
                <wp:inline>
                  <wp:extent cx="4620126"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of Monthly Vegetable Prices</w:t>
            </w:r>
          </w:p>
          <w:bookmarkEnd w:id="56"/>
        </w:tc>
      </w:tr>
    </w:tbl>
    <w:p>
      <w:pPr>
        <w:pStyle w:val="BodyText"/>
      </w:pPr>
      <w:r>
        <w:t xml:space="preserve">The vegetable with the most variability is pepper (Taiwan) with a standard deviation of 106.29. Its minimum price is 11.50 and its maximum price is 424.38, the highest price recorded among the vegetables. It also has the highest average price of 112.32. On the other hand, the vegetable that has the least variability is chayote (bunga) with a standard deviation of 7.81. Its minimum price is 4.17 and its maximum price is 45.25. It has the lowest average price of 12.99. The vegetable that has the lowest price is wombok with a minimum price of 4.14. The summary of monthly vegetable prices is shown in table 1.</w:t>
      </w:r>
    </w:p>
    <w:tbl>
      <w:tblPr>
        <w:tblStyle w:val="Table"/>
        <w:tblW w:type="pct" w:w="5000"/>
        <w:tblLook w:firstRow="0" w:lastRow="0" w:firstColumn="0" w:lastColumn="0" w:noHBand="0" w:noVBand="0" w:val="0000"/>
        <w:jc w:val="start"/>
        <w:tblLayout w:type="fixed"/>
      </w:tblPr>
      <w:tblGrid>
        <w:gridCol w:w="7920"/>
      </w:tblGrid>
      <w:tr>
        <w:tc>
          <w:tcPr/>
          <w:bookmarkStart w:id="57" w:name="tbl-all"/>
          <w:p>
            <w:pPr>
              <w:jc w:val="center"/>
            </w:pPr>
            <w:pPr>
              <w:jc w:val="start"/>
              <w:spacing w:before="200"/>
              <w:pStyle w:val="ImageCaption"/>
            </w:pPr>
            <w:r>
              <w:t xml:space="preserve">Table 1: Summary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58" w:name="tbl-stl"/>
          <w:p>
            <w:pPr>
              <w:jc w:val="center"/>
            </w:pPr>
            <w:pPr>
              <w:jc w:val="start"/>
              <w:spacing w:before="200"/>
              <w:pStyle w:val="ImageCaption"/>
            </w:pPr>
            <w:r>
              <w:t xml:space="preserve">Table 2: STL Features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r>
        <w:t xml:space="preserve">Table 2 shows the STL features of monthly vegetable prices. The vegetable that has the strongest trend is gabi (galyang) with 0.91, showing that 91% of the time series is accounted by trend not considering seasonality. It is on upward trend. Meanwhile, the vegetable that has the weakest trend is wombok with 0.14, showing that 14% of the time series is accounted by trend not considering seasonality. The vegetable that has the strongest seasonality is cauliflower with 0.72, showing that 72% of the time series is accounted by seasonality not considering trend. Its peak is in August and its trough is March. The vegetable that has the weakest seasonality is cabbage with 0.18, showing that 18% of the time series is accounted by seasonality not considering trend.</w:t>
      </w:r>
    </w:p>
    <w:bookmarkEnd w:id="59"/>
    <w:bookmarkStart w:id="60" w:name="X6cb70d80c3569e987471e3e88cd884cf5e318cc"/>
    <w:p>
      <w:pPr>
        <w:pStyle w:val="Heading3"/>
      </w:pPr>
      <w:r>
        <w:t xml:space="preserve">ARIMA and ETS Models for Monthly Vegetable Prices</w:t>
      </w:r>
    </w:p>
    <w:p>
      <w:pPr>
        <w:pStyle w:val="SourceCode"/>
      </w:pPr>
      <w:r>
        <w:rPr>
          <w:rStyle w:val="VerbatimChar"/>
        </w:rPr>
        <w:t xml:space="preserve"># A tibble: 24 × 6</w:t>
      </w:r>
      <w:r>
        <w:br/>
      </w:r>
      <w:r>
        <w:rPr>
          <w:rStyle w:val="VerbatimChar"/>
        </w:rPr>
        <w:t xml:space="preserve">   Vegetable   Model  RMSE   MAE  MAPE  MASE</w:t>
      </w:r>
      <w:r>
        <w:br/>
      </w:r>
      <w:r>
        <w:rPr>
          <w:rStyle w:val="VerbatimChar"/>
        </w:rPr>
        <w:t xml:space="preserve">   &lt;chr&gt;       &lt;chr&gt; &lt;dbl&gt; &lt;dbl&gt; &lt;dbl&gt; &lt;dbl&gt;</w:t>
      </w:r>
      <w:r>
        <w:br/>
      </w:r>
      <w:r>
        <w:rPr>
          <w:rStyle w:val="VerbatimChar"/>
        </w:rPr>
        <w:t xml:space="preserve"> 1 broccoli    ARIMA  20.0  15.4  38.0  1.18</w:t>
      </w:r>
      <w:r>
        <w:br/>
      </w:r>
      <w:r>
        <w:rPr>
          <w:rStyle w:val="VerbatimChar"/>
        </w:rPr>
        <w:t xml:space="preserve"> 2 broccoli    ETS    19.2  15.6  43.6  1.2 </w:t>
      </w:r>
      <w:r>
        <w:br/>
      </w:r>
      <w:r>
        <w:rPr>
          <w:rStyle w:val="VerbatimChar"/>
        </w:rPr>
        <w:t xml:space="preserve"> 3 cabbage     ARIMA  17.4  12.6  60.0  0.62</w:t>
      </w:r>
      <w:r>
        <w:br/>
      </w:r>
      <w:r>
        <w:rPr>
          <w:rStyle w:val="VerbatimChar"/>
        </w:rPr>
        <w:t xml:space="preserve"> 4 cabbage     ETS    27.6  19.3 106.   0.96</w:t>
      </w:r>
      <w:r>
        <w:br/>
      </w:r>
      <w:r>
        <w:rPr>
          <w:rStyle w:val="VerbatimChar"/>
        </w:rPr>
        <w:t xml:space="preserve"> 5 carrots     ARIMA  19.3  13.9  42.7  0.88</w:t>
      </w:r>
      <w:r>
        <w:br/>
      </w:r>
      <w:r>
        <w:rPr>
          <w:rStyle w:val="VerbatimChar"/>
        </w:rPr>
        <w:t xml:space="preserve"> 6 carrots     ETS    21.2  15.4  50.3  0.98</w:t>
      </w:r>
      <w:r>
        <w:br/>
      </w:r>
      <w:r>
        <w:rPr>
          <w:rStyle w:val="VerbatimChar"/>
        </w:rPr>
        <w:t xml:space="preserve"> 7 cauliflower ARIMA  14.5  10.7  27.6  0.92</w:t>
      </w:r>
      <w:r>
        <w:br/>
      </w:r>
      <w:r>
        <w:rPr>
          <w:rStyle w:val="VerbatimChar"/>
        </w:rPr>
        <w:t xml:space="preserve"> 8 cauliflower ETS    17.3  13.4  38.1  1.15</w:t>
      </w:r>
      <w:r>
        <w:br/>
      </w:r>
      <w:r>
        <w:rPr>
          <w:rStyle w:val="VerbatimChar"/>
        </w:rPr>
        <w:t xml:space="preserve"> 9 celery      ARIMA  26.3  19.4  56.3  0.69</w:t>
      </w:r>
      <w:r>
        <w:br/>
      </w:r>
      <w:r>
        <w:rPr>
          <w:rStyle w:val="VerbatimChar"/>
        </w:rPr>
        <w:t xml:space="preserve">10 celery      ETS    29.3  22.3  62.4  0.79</w:t>
      </w:r>
      <w:r>
        <w:br/>
      </w:r>
      <w:r>
        <w:rPr>
          <w:rStyle w:val="VerbatimChar"/>
        </w:rPr>
        <w:t xml:space="preserve"># ℹ 14 more rows</w:t>
      </w:r>
    </w:p>
    <w:bookmarkEnd w:id="60"/>
    <w:bookmarkEnd w:id="61"/>
    <w:bookmarkEnd w:id="62"/>
    <w:bookmarkStart w:id="106" w:name="references"/>
    <w:p>
      <w:pPr>
        <w:pStyle w:val="Heading1"/>
      </w:pPr>
      <w:r>
        <w:t xml:space="preserve">References</w:t>
      </w:r>
    </w:p>
    <w:bookmarkStart w:id="105" w:name="refs"/>
    <w:bookmarkStart w:id="64"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Cs/>
          <w:i/>
        </w:rPr>
        <w:t xml:space="preserve">Agricultural waste to value-added products: Technical, economic and sustainable aspects</w:t>
      </w:r>
      <w:r>
        <w:t xml:space="preserve"> </w:t>
      </w:r>
      <w:r>
        <w:t xml:space="preserve">(pp. 21–45). Springer Nature Singapore.</w:t>
      </w:r>
      <w:r>
        <w:t xml:space="preserve"> </w:t>
      </w:r>
      <w:hyperlink r:id="rId63">
        <w:r>
          <w:rPr>
            <w:rStyle w:val="Hyperlink"/>
          </w:rPr>
          <w:t xml:space="preserve">https://doi.org/10.1007/978-981-99-4472-9_2</w:t>
        </w:r>
      </w:hyperlink>
    </w:p>
    <w:bookmarkEnd w:id="64"/>
    <w:bookmarkStart w:id="65"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65"/>
    <w:bookmarkStart w:id="67"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66">
        <w:r>
          <w:rPr>
            <w:rStyle w:val="Hyperlink"/>
          </w:rPr>
          <w:t xml:space="preserve">https://doi.org/10.1016/j.future.2018.05.045</w:t>
        </w:r>
      </w:hyperlink>
    </w:p>
    <w:bookmarkEnd w:id="67"/>
    <w:bookmarkStart w:id="69"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68">
        <w:r>
          <w:rPr>
            <w:rStyle w:val="Hyperlink"/>
          </w:rPr>
          <w:t xml:space="preserve">http://bit.ly/stl1990</w:t>
        </w:r>
      </w:hyperlink>
    </w:p>
    <w:bookmarkEnd w:id="69"/>
    <w:bookmarkStart w:id="71"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Cs/>
          <w:i/>
        </w:rPr>
        <w:t xml:space="preserve">International Journal of Agricultural Science and Food Technology</w:t>
      </w:r>
      <w:r>
        <w:t xml:space="preserve">, 108–113.</w:t>
      </w:r>
      <w:r>
        <w:t xml:space="preserve"> </w:t>
      </w:r>
      <w:hyperlink r:id="rId70">
        <w:r>
          <w:rPr>
            <w:rStyle w:val="Hyperlink"/>
          </w:rPr>
          <w:t xml:space="preserve">https://doi.org/10.17352/2455-815X.000096</w:t>
        </w:r>
      </w:hyperlink>
    </w:p>
    <w:bookmarkEnd w:id="71"/>
    <w:bookmarkStart w:id="72"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72"/>
    <w:bookmarkStart w:id="74" w:name="ref-fao"/>
    <w:p>
      <w:pPr>
        <w:pStyle w:val="Bibliography"/>
      </w:pPr>
      <w:r>
        <w:rPr>
          <w:iCs/>
          <w:i/>
        </w:rPr>
        <w:t xml:space="preserve">FAOSTAT</w:t>
      </w:r>
      <w:r>
        <w:t xml:space="preserve">. (n.d.). Retrieved November 16, 2023, from</w:t>
      </w:r>
      <w:r>
        <w:t xml:space="preserve"> </w:t>
      </w:r>
      <w:hyperlink r:id="rId73">
        <w:r>
          <w:rPr>
            <w:rStyle w:val="Hyperlink"/>
          </w:rPr>
          <w:t xml:space="preserve">https://www.fao.org/faostat/en/#home</w:t>
        </w:r>
      </w:hyperlink>
    </w:p>
    <w:bookmarkEnd w:id="74"/>
    <w:bookmarkStart w:id="75"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Cs/>
          <w:i/>
        </w:rPr>
        <w:t xml:space="preserve">Scholarly Journal</w:t>
      </w:r>
      <w:r>
        <w:t xml:space="preserve">,</w:t>
      </w:r>
      <w:r>
        <w:t xml:space="preserve"> </w:t>
      </w:r>
      <w:r>
        <w:rPr>
          <w:iCs/>
          <w:i/>
        </w:rPr>
        <w:t xml:space="preserve">9</w:t>
      </w:r>
      <w:r>
        <w:t xml:space="preserve">(3), 148–155.</w:t>
      </w:r>
    </w:p>
    <w:bookmarkEnd w:id="75"/>
    <w:bookmarkStart w:id="77"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76">
        <w:r>
          <w:rPr>
            <w:rStyle w:val="Hyperlink"/>
          </w:rPr>
          <w:t xml:space="preserve">https://doi.org/10.2139/ssrn.4113035</w:t>
        </w:r>
      </w:hyperlink>
    </w:p>
    <w:bookmarkEnd w:id="77"/>
    <w:bookmarkStart w:id="79"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78">
        <w:r>
          <w:rPr>
            <w:rStyle w:val="Hyperlink"/>
          </w:rPr>
          <w:t xml:space="preserve">OTexts.com/fpp3</w:t>
        </w:r>
      </w:hyperlink>
    </w:p>
    <w:bookmarkEnd w:id="79"/>
    <w:bookmarkStart w:id="80" w:name="ref-illankoon2020"/>
    <w:p>
      <w:pPr>
        <w:pStyle w:val="Bibliography"/>
      </w:pPr>
      <w:r>
        <w:t xml:space="preserve">Illankoon, I. M. G. L., &amp; Kumara, B. T. G. S. (2020). Analyzing the influence of various factors for vegetable price using data mining.</w:t>
      </w:r>
      <w:r>
        <w:t xml:space="preserve"> </w:t>
      </w:r>
      <w:r>
        <w:rPr>
          <w:iCs/>
          <w:i/>
        </w:rPr>
        <w:t xml:space="preserve">Proceedings of the International Research Conference 2020</w:t>
      </w:r>
      <w:r>
        <w:rPr>
          <w:iCs/>
          <w:i/>
        </w:rPr>
        <w:t xml:space="preserve"> </w:t>
      </w:r>
      <w:r>
        <w:rPr>
          <w:iCs/>
          <w:i/>
        </w:rPr>
        <w:t xml:space="preserve">KDUAt: Sri Lanka</w:t>
      </w:r>
      <w:r>
        <w:t xml:space="preserve">, 402–409.</w:t>
      </w:r>
    </w:p>
    <w:bookmarkEnd w:id="80"/>
    <w:bookmarkStart w:id="81" w:name="ref-janssen93"/>
    <w:p>
      <w:pPr>
        <w:pStyle w:val="Bibliography"/>
      </w:pPr>
      <w:r>
        <w:t xml:space="preserve">Janssen, B. H. (1993). Integrated nutrient management: The use of organic and mineral fertilizers. In</w:t>
      </w:r>
      <w:r>
        <w:t xml:space="preserve"> </w:t>
      </w:r>
      <w:r>
        <w:rPr>
          <w:iCs/>
          <w:i/>
        </w:rPr>
        <w:t xml:space="preserve">The role of plant nutrients for sustainable food crop production in</w:t>
      </w:r>
      <w:r>
        <w:rPr>
          <w:iCs/>
          <w:i/>
        </w:rPr>
        <w:t xml:space="preserve"> </w:t>
      </w:r>
      <w:r>
        <w:rPr>
          <w:iCs/>
          <w:i/>
        </w:rPr>
        <w:t xml:space="preserve">Sub-Saharan Africa</w:t>
      </w:r>
      <w:r>
        <w:t xml:space="preserve"> </w:t>
      </w:r>
      <w:r>
        <w:t xml:space="preserve">(pp. 89–105). Ver. Kunstmest Producenten.</w:t>
      </w:r>
    </w:p>
    <w:bookmarkEnd w:id="81"/>
    <w:bookmarkStart w:id="82"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82"/>
    <w:bookmarkStart w:id="84"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83">
        <w:r>
          <w:rPr>
            <w:rStyle w:val="Hyperlink"/>
          </w:rPr>
          <w:t xml:space="preserve">https://catalog.ihsn.org/citations/91017?fbclid=IwAR06pCHPm9d6ko-uxXndkeBPGmpGgp7plCg0BQwlXNBHWh8OdHbY4B23soc</w:t>
        </w:r>
      </w:hyperlink>
    </w:p>
    <w:bookmarkEnd w:id="84"/>
    <w:bookmarkStart w:id="86"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85">
        <w:r>
          <w:rPr>
            <w:rStyle w:val="Hyperlink"/>
          </w:rPr>
          <w:t xml:space="preserve">https://CRAN.R-project.org/package=fable</w:t>
        </w:r>
      </w:hyperlink>
    </w:p>
    <w:bookmarkEnd w:id="86"/>
    <w:bookmarkStart w:id="88" w:name="ref-r"/>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87">
        <w:r>
          <w:rPr>
            <w:rStyle w:val="Hyperlink"/>
          </w:rPr>
          <w:t xml:space="preserve">https://www.R-project.org/</w:t>
        </w:r>
      </w:hyperlink>
    </w:p>
    <w:bookmarkEnd w:id="88"/>
    <w:bookmarkStart w:id="89"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89"/>
    <w:bookmarkStart w:id="91"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90">
        <w:r>
          <w:rPr>
            <w:rStyle w:val="Hyperlink"/>
          </w:rPr>
          <w:t xml:space="preserve">https://doi.org/10.3390/agriculture13091671</w:t>
        </w:r>
      </w:hyperlink>
    </w:p>
    <w:bookmarkEnd w:id="91"/>
    <w:bookmarkStart w:id="92"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92"/>
    <w:bookmarkStart w:id="94"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93">
        <w:r>
          <w:rPr>
            <w:rStyle w:val="Hyperlink"/>
          </w:rPr>
          <w:t xml:space="preserve">https://doi.org/10.5281/ZENODO.3333529</w:t>
        </w:r>
      </w:hyperlink>
    </w:p>
    <w:bookmarkEnd w:id="94"/>
    <w:bookmarkStart w:id="96"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95">
        <w:r>
          <w:rPr>
            <w:rStyle w:val="Hyperlink"/>
          </w:rPr>
          <w:t xml:space="preserve">https://doi.org/10.1080/10618600.2019.1695624</w:t>
        </w:r>
      </w:hyperlink>
    </w:p>
    <w:bookmarkEnd w:id="96"/>
    <w:bookmarkStart w:id="98"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97">
        <w:r>
          <w:rPr>
            <w:rStyle w:val="Hyperlink"/>
          </w:rPr>
          <w:t xml:space="preserve">https://doi.org/10.21105/joss.01686</w:t>
        </w:r>
      </w:hyperlink>
    </w:p>
    <w:bookmarkEnd w:id="98"/>
    <w:bookmarkStart w:id="100"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99">
        <w:r>
          <w:rPr>
            <w:rStyle w:val="Hyperlink"/>
          </w:rPr>
          <w:t xml:space="preserve">https://doi.org/10.3390/agronomy12112680</w:t>
        </w:r>
      </w:hyperlink>
    </w:p>
    <w:bookmarkEnd w:id="100"/>
    <w:bookmarkStart w:id="102"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Cs/>
          <w:i/>
        </w:rPr>
        <w:t xml:space="preserve">Agriculture</w:t>
      </w:r>
      <w:r>
        <w:t xml:space="preserve">, 577. https://doi.org/</w:t>
      </w:r>
      <w:hyperlink r:id="rId101">
        <w:r>
          <w:rPr>
            <w:rStyle w:val="Hyperlink"/>
          </w:rPr>
          <w:t xml:space="preserve">https://doi.org/10.3390/agriculture13030577</w:t>
        </w:r>
      </w:hyperlink>
    </w:p>
    <w:bookmarkEnd w:id="102"/>
    <w:bookmarkStart w:id="104"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Cs/>
          <w:i/>
        </w:rPr>
        <w:t xml:space="preserve">International Food and Agribusiness Management Review</w:t>
      </w:r>
      <w:r>
        <w:t xml:space="preserve">,</w:t>
      </w:r>
      <w:r>
        <w:t xml:space="preserve"> </w:t>
      </w:r>
      <w:r>
        <w:rPr>
          <w:iCs/>
          <w:i/>
        </w:rPr>
        <w:t xml:space="preserve">23</w:t>
      </w:r>
      <w:r>
        <w:t xml:space="preserve">.</w:t>
      </w:r>
      <w:r>
        <w:t xml:space="preserve"> </w:t>
      </w:r>
      <w:hyperlink r:id="rId103">
        <w:r>
          <w:rPr>
            <w:rStyle w:val="Hyperlink"/>
          </w:rPr>
          <w:t xml:space="preserve">https://doi.org/10.22434/IFAMR2019.0172</w:t>
        </w:r>
      </w:hyperlink>
    </w:p>
    <w:bookmarkEnd w:id="104"/>
    <w:bookmarkEnd w:id="105"/>
    <w:bookmarkEnd w:id="106"/>
    <w:sectPr w:rsidR="00E5125E"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03805AFC"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F2114"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582D" w14:textId="77777777" w:rsidR="00E5125E" w:rsidRDefault="00E5125E">
    <w:pPr>
      <w:pStyle w:val="Header"/>
      <w:jc w:val="right"/>
    </w:pPr>
  </w:p>
  <w:p w14:paraId="0F7E833A"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9728B7"/>
    <w:pPr>
      <w:spacing w:after="0"/>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01" Target=" https://doi.org/10.3390/agriculture13030577" TargetMode="External" /><Relationship Type="http://schemas.openxmlformats.org/officeDocument/2006/relationships/hyperlink" Id="rId68" Target="http://bit.ly/stl1990" TargetMode="External" /><Relationship Type="http://schemas.openxmlformats.org/officeDocument/2006/relationships/hyperlink" Id="rId85" Target="https://CRAN.R-project.org/package=fable" TargetMode="External" /><Relationship Type="http://schemas.openxmlformats.org/officeDocument/2006/relationships/hyperlink" Id="rId78" Target="https://OTexts.com/fpp3" TargetMode="External" /><Relationship Type="http://schemas.openxmlformats.org/officeDocument/2006/relationships/hyperlink" Id="rId83" Target="https://catalog.ihsn.org/citations/91017?fbclid=IwAR06pCHPm9d6ko-uxXndkeBPGmpGgp7plCg0BQwlXNBHWh8OdHbY4B23soc" TargetMode="External" /><Relationship Type="http://schemas.openxmlformats.org/officeDocument/2006/relationships/hyperlink" Id="rId63" Target="https://doi.org/10.1007/978-981-99-4472-9_2" TargetMode="External" /><Relationship Type="http://schemas.openxmlformats.org/officeDocument/2006/relationships/hyperlink" Id="rId66" Target="https://doi.org/10.1016/j.future.2018.05.045" TargetMode="External" /><Relationship Type="http://schemas.openxmlformats.org/officeDocument/2006/relationships/hyperlink" Id="rId95" Target="https://doi.org/10.1080/10618600.2019.1695624" TargetMode="External" /><Relationship Type="http://schemas.openxmlformats.org/officeDocument/2006/relationships/hyperlink" Id="rId70" Target="https://doi.org/10.17352/2455-815X.000096" TargetMode="External" /><Relationship Type="http://schemas.openxmlformats.org/officeDocument/2006/relationships/hyperlink" Id="rId97" Target="https://doi.org/10.21105/joss.01686" TargetMode="External" /><Relationship Type="http://schemas.openxmlformats.org/officeDocument/2006/relationships/hyperlink" Id="rId76" Target="https://doi.org/10.2139/ssrn.4113035" TargetMode="External" /><Relationship Type="http://schemas.openxmlformats.org/officeDocument/2006/relationships/hyperlink" Id="rId103" Target="https://doi.org/10.22434/IFAMR2019.0172" TargetMode="External" /><Relationship Type="http://schemas.openxmlformats.org/officeDocument/2006/relationships/hyperlink" Id="rId90" Target="https://doi.org/10.3390/agriculture13091671" TargetMode="External" /><Relationship Type="http://schemas.openxmlformats.org/officeDocument/2006/relationships/hyperlink" Id="rId99" Target="https://doi.org/10.3390/agronomy12112680" TargetMode="External" /><Relationship Type="http://schemas.openxmlformats.org/officeDocument/2006/relationships/hyperlink" Id="rId93" Target="https://doi.org/10.5281/ZENODO.3333529" TargetMode="External" /><Relationship Type="http://schemas.openxmlformats.org/officeDocument/2006/relationships/hyperlink" Id="rId87" Target="https://www.R-project.org/" TargetMode="External" /><Relationship Type="http://schemas.openxmlformats.org/officeDocument/2006/relationships/hyperlink" Id="rId73"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01" Target=" https://doi.org/10.3390/agriculture13030577" TargetMode="External" /><Relationship Type="http://schemas.openxmlformats.org/officeDocument/2006/relationships/hyperlink" Id="rId68" Target="http://bit.ly/stl1990" TargetMode="External" /><Relationship Type="http://schemas.openxmlformats.org/officeDocument/2006/relationships/hyperlink" Id="rId85" Target="https://CRAN.R-project.org/package=fable" TargetMode="External" /><Relationship Type="http://schemas.openxmlformats.org/officeDocument/2006/relationships/hyperlink" Id="rId78" Target="https://OTexts.com/fpp3" TargetMode="External" /><Relationship Type="http://schemas.openxmlformats.org/officeDocument/2006/relationships/hyperlink" Id="rId83" Target="https://catalog.ihsn.org/citations/91017?fbclid=IwAR06pCHPm9d6ko-uxXndkeBPGmpGgp7plCg0BQwlXNBHWh8OdHbY4B23soc" TargetMode="External" /><Relationship Type="http://schemas.openxmlformats.org/officeDocument/2006/relationships/hyperlink" Id="rId63" Target="https://doi.org/10.1007/978-981-99-4472-9_2" TargetMode="External" /><Relationship Type="http://schemas.openxmlformats.org/officeDocument/2006/relationships/hyperlink" Id="rId66" Target="https://doi.org/10.1016/j.future.2018.05.045" TargetMode="External" /><Relationship Type="http://schemas.openxmlformats.org/officeDocument/2006/relationships/hyperlink" Id="rId95" Target="https://doi.org/10.1080/10618600.2019.1695624" TargetMode="External" /><Relationship Type="http://schemas.openxmlformats.org/officeDocument/2006/relationships/hyperlink" Id="rId70" Target="https://doi.org/10.17352/2455-815X.000096" TargetMode="External" /><Relationship Type="http://schemas.openxmlformats.org/officeDocument/2006/relationships/hyperlink" Id="rId97" Target="https://doi.org/10.21105/joss.01686" TargetMode="External" /><Relationship Type="http://schemas.openxmlformats.org/officeDocument/2006/relationships/hyperlink" Id="rId76" Target="https://doi.org/10.2139/ssrn.4113035" TargetMode="External" /><Relationship Type="http://schemas.openxmlformats.org/officeDocument/2006/relationships/hyperlink" Id="rId103" Target="https://doi.org/10.22434/IFAMR2019.0172" TargetMode="External" /><Relationship Type="http://schemas.openxmlformats.org/officeDocument/2006/relationships/hyperlink" Id="rId90" Target="https://doi.org/10.3390/agriculture13091671" TargetMode="External" /><Relationship Type="http://schemas.openxmlformats.org/officeDocument/2006/relationships/hyperlink" Id="rId99" Target="https://doi.org/10.3390/agronomy12112680" TargetMode="External" /><Relationship Type="http://schemas.openxmlformats.org/officeDocument/2006/relationships/hyperlink" Id="rId93" Target="https://doi.org/10.5281/ZENODO.3333529" TargetMode="External" /><Relationship Type="http://schemas.openxmlformats.org/officeDocument/2006/relationships/hyperlink" Id="rId87" Target="https://www.R-project.org/" TargetMode="External" /><Relationship Type="http://schemas.openxmlformats.org/officeDocument/2006/relationships/hyperlink" Id="rId73"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29</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2024-05-26T08:16:45Z</dcterms:created>
  <dcterms:modified xsi:type="dcterms:W3CDTF">2024-05-26T08:16:45Z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