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78" w:name="chapter-iv"/>
    <w:p>
      <w:pPr>
        <w:pStyle w:val="Heading1"/>
      </w:pPr>
      <w:r>
        <w:t xml:space="preserve">CHAPTER IV</w:t>
      </w:r>
    </w:p>
    <w:bookmarkStart w:id="77"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On the other hand, it has a seasonal strength of 0.62, showing that 62% of the time series is accounted by seasonality not considering trend. Its peak is in September and its trough is in January.</w:t>
      </w:r>
    </w:p>
    <w:p>
      <w:pPr>
        <w:pStyle w:val="BodyText"/>
      </w:pPr>
      <w:r>
        <w:t xml:space="preserve">The cabbage time series has a trend strength of 0.2, showing that 20% of the time series is accounted by trend not considering seasonality. On the other hand, it has a seasonal strength of 0.18, showing that 18% of the time series is accounted by seasonality not considering trend. Its peak is in September and its trough is in March.</w:t>
      </w:r>
    </w:p>
    <w:p>
      <w:pPr>
        <w:pStyle w:val="BodyText"/>
      </w:pPr>
      <w:r>
        <w:t xml:space="preserve">The carrot time series has a trend strength of 0.35, showing that 35% of the time series is accounted by trend not considering seasonality. On the other hand, it has a seasonal strength of 0.4, showing that 40% of the time series is accounted by seasonality not considering trend. Its peak is in August and its trough is in May.</w:t>
      </w:r>
    </w:p>
    <w:p>
      <w:pPr>
        <w:pStyle w:val="BodyText"/>
      </w:pPr>
      <w:r>
        <w:t xml:space="preserve">The cauliflower time series has a trend strength of 0.44, showing that 44% of the time series is accounted by trend not considering seasonality. On the other hand, it has a seasonal strength of 0.72, showing that 72% of the time series is accounted by seasonality not considering trend. Its peak is in August and its trough is in March.</w:t>
      </w:r>
    </w:p>
    <w:p>
      <w:pPr>
        <w:pStyle w:val="BodyText"/>
      </w:pPr>
      <w:r>
        <w:t xml:space="preserve">The celery time series has a trend strength of 0.34, showing that 34% of the time series is accounted by trend not considering seasonality. On the other hand, it has a seasonal strength of 0.43, showing that 43% of the time series is accounted by seasonality not considering trend. Its peak is in September and its trough is in March.</w:t>
      </w:r>
    </w:p>
    <w:p>
      <w:pPr>
        <w:pStyle w:val="BodyText"/>
      </w:pPr>
      <w:r>
        <w:t xml:space="preserve">The chayote (bunga) time series has a trend strength of 0.32, showing that 32% of the time series is accounted by trend not considering seasonality. On the other hand, it has a seasonal strength of 0.32, showing that 32% of the time series is accounted by seasonality not considering trend. Its peak is in September and its trough is in March.</w:t>
      </w:r>
    </w:p>
    <w:p>
      <w:pPr>
        <w:pStyle w:val="BodyText"/>
      </w:pPr>
      <w:r>
        <w:t xml:space="preserve">The cucumber time series has a trend strength of 0.37, showing that 37% of the time series is accounted by trend not considering seasonality. On the other hand, it has a seasonal strength of 0.26, showing that 26% of the time series is accounted by seasonality not considering trend. Its peak is in December and its trough is in July.</w:t>
      </w:r>
    </w:p>
    <w:p>
      <w:pPr>
        <w:pStyle w:val="BodyText"/>
      </w:pPr>
      <w:r>
        <w:t xml:space="preserve">The gabi (galyang) time series has a trend strength of 0.91, showing that 91% of the time series is accounted by trend not considering seasonality. On the other hand, it has a seasonal strength of 0.55, showing that 55% of the time series is accounted by seasonality not considering trend. Its peak is in September and its trough is in February.</w:t>
      </w:r>
    </w:p>
    <w:p>
      <w:pPr>
        <w:pStyle w:val="BodyText"/>
      </w:pPr>
      <w:r>
        <w:t xml:space="preserve">The pepper (sultan) time series has a trend strength of 0.21, showing that 21% of the time series is accounted by trend not considering seasonality. On the other hand, it has a seasonal strength of 0.2, showing that 20% of the time series is accounted by seasonality not considering trend. Its peak is in September and its trough is in May.</w:t>
      </w:r>
    </w:p>
    <w:p>
      <w:pPr>
        <w:pStyle w:val="BodyText"/>
      </w:pPr>
      <w:r>
        <w:t xml:space="preserve">The pepper (taiwan) time series has a trend strength of 0.26, showing that 26% of the time series is accounted by trend not considering seasonality. On the other hand, it has a seasonal strength of 0.41, showing that 41% of the time series is accounted by seasonality not considering trend. Its peak is in December and its trough is in April.</w:t>
      </w:r>
    </w:p>
    <w:p>
      <w:pPr>
        <w:pStyle w:val="BodyText"/>
      </w:pPr>
      <w:r>
        <w:t xml:space="preserve">The potato time series has a trend strength of 0.72, showing that 72% of the time series is accounted by trend not considering seasonality. On the other hand, it has a seasonal strength of 0.35, showing that 35% of the time series is accounted by seasonality not considering trend. Its peak is in October and its trough is in May.</w:t>
      </w:r>
    </w:p>
    <w:p>
      <w:pPr>
        <w:pStyle w:val="BodyText"/>
      </w:pPr>
      <w:r>
        <w:t xml:space="preserve">The wombok time series has a trend strength of 0.14, showing that 14% of the time series is accounted by trend not considering seasonality. On the other hand, it has a seasonal strength of 0.19, showing that 19% of the time series is accounted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There are 15 ARIMA models and 15 ETS models for each vegetable. Please see Appendix E for the full list of these models.</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will be used to generate forecasts for all the vegetables except for gabi (galyang), for which automatic ETS will be used.</w:t>
      </w:r>
    </w:p>
    <w:bookmarkEnd w:id="62"/>
    <w:bookmarkStart w:id="76"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of broccoli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In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In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In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In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tbl-cabbage">
        <w:r>
          <w:rPr>
            <w:rStyle w:val="Hyperlink"/>
          </w:rPr>
          <w:t xml:space="preserve">Table 5</w:t>
        </w:r>
      </w:hyperlink>
      <w:r>
        <w:t xml:space="preserve"> </w:t>
      </w:r>
      <w:r>
        <w:t xml:space="preserve">shows the forecasts of cabbage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4"/>
        </w:tc>
      </w:tr>
    </w:tbl>
    <w:p>
      <w:pPr>
        <w:pStyle w:val="BodyText"/>
      </w:pPr>
    </w:p>
    <w:p>
      <w:pPr>
        <w:pStyle w:val="BodyText"/>
      </w:pPr>
      <w:r>
        <w:t xml:space="preserve">In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In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In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In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tbl-carrot">
        <w:r>
          <w:rPr>
            <w:rStyle w:val="Hyperlink"/>
          </w:rPr>
          <w:t xml:space="preserve">Table 6</w:t>
        </w:r>
      </w:hyperlink>
      <w:r>
        <w:t xml:space="preserve"> </w:t>
      </w:r>
      <w:r>
        <w:t xml:space="preserve">shows the forecasts of carrot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65"/>
        </w:tc>
      </w:tr>
    </w:tbl>
    <w:p>
      <w:pPr>
        <w:pStyle w:val="BodyText"/>
      </w:pPr>
    </w:p>
    <w:p>
      <w:pPr>
        <w:pStyle w:val="BodyText"/>
      </w:pPr>
      <w:r>
        <w:t xml:space="preserve">In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In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In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In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tbl-cauliflower">
        <w:r>
          <w:rPr>
            <w:rStyle w:val="Hyperlink"/>
          </w:rPr>
          <w:t xml:space="preserve">Table 7</w:t>
        </w:r>
      </w:hyperlink>
      <w:r>
        <w:t xml:space="preserve"> </w:t>
      </w:r>
      <w:r>
        <w:t xml:space="preserve">shows the forecasts of cauliflower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6"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66"/>
        </w:tc>
      </w:tr>
    </w:tbl>
    <w:p>
      <w:pPr>
        <w:pStyle w:val="BodyText"/>
      </w:pPr>
    </w:p>
    <w:tbl>
      <w:tblPr>
        <w:tblStyle w:val="Table"/>
        <w:tblW w:type="pct" w:w="5000"/>
        <w:tblLayout w:type="fixed"/>
        <w:tblLook w:firstRow="0" w:lastRow="0" w:firstColumn="0" w:lastColumn="0" w:noHBand="0" w:noVBand="0" w:val="0000"/>
      </w:tblPr>
      <w:tblGrid>
        <w:gridCol w:w="7920"/>
      </w:tblGrid>
      <w:tr>
        <w:tc>
          <w:tcPr/>
          <w:bookmarkStart w:id="67"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67"/>
        </w:tc>
      </w:tr>
    </w:tbl>
    <w:tbl>
      <w:tblPr>
        <w:tblStyle w:val="Table"/>
        <w:tblW w:type="pct" w:w="5000"/>
        <w:tblLayout w:type="fixed"/>
        <w:tblLook w:firstRow="0" w:lastRow="0" w:firstColumn="0" w:lastColumn="0" w:noHBand="0" w:noVBand="0" w:val="0000"/>
      </w:tblPr>
      <w:tblGrid>
        <w:gridCol w:w="7920"/>
      </w:tblGrid>
      <w:tr>
        <w:tc>
          <w:tcPr/>
          <w:bookmarkStart w:id="6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68"/>
        </w:tc>
      </w:tr>
    </w:tbl>
    <w:tbl>
      <w:tblPr>
        <w:tblStyle w:val="Table"/>
        <w:tblW w:type="pct" w:w="5000"/>
        <w:tblLayout w:type="fixed"/>
        <w:tblLook w:firstRow="0" w:lastRow="0" w:firstColumn="0" w:lastColumn="0" w:noHBand="0" w:noVBand="0" w:val="0000"/>
      </w:tblPr>
      <w:tblGrid>
        <w:gridCol w:w="7920"/>
      </w:tblGrid>
      <w:tr>
        <w:tc>
          <w:tcPr/>
          <w:bookmarkStart w:id="69"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69"/>
        </w:tc>
      </w:tr>
    </w:tbl>
    <w:tbl>
      <w:tblPr>
        <w:tblStyle w:val="Table"/>
        <w:tblW w:type="pct" w:w="5000"/>
        <w:tblLayout w:type="fixed"/>
        <w:tblLook w:firstRow="0" w:lastRow="0" w:firstColumn="0" w:lastColumn="0" w:noHBand="0" w:noVBand="0" w:val="0000"/>
      </w:tblPr>
      <w:tblGrid>
        <w:gridCol w:w="7920"/>
      </w:tblGrid>
      <w:tr>
        <w:tc>
          <w:tcPr/>
          <w:bookmarkStart w:id="70"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70"/>
        </w:tc>
      </w:tr>
    </w:tbl>
    <w:tbl>
      <w:tblPr>
        <w:tblStyle w:val="Table"/>
        <w:tblW w:type="pct" w:w="5000"/>
        <w:tblLayout w:type="fixed"/>
        <w:tblLook w:firstRow="0" w:lastRow="0" w:firstColumn="0" w:lastColumn="0" w:noHBand="0" w:noVBand="0" w:val="0000"/>
      </w:tblPr>
      <w:tblGrid>
        <w:gridCol w:w="7920"/>
      </w:tblGrid>
      <w:tr>
        <w:tc>
          <w:tcPr/>
          <w:bookmarkStart w:id="71"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71"/>
        </w:tc>
      </w:tr>
    </w:tbl>
    <w:tbl>
      <w:tblPr>
        <w:tblStyle w:val="Table"/>
        <w:tblW w:type="pct" w:w="5000"/>
        <w:tblLayout w:type="fixed"/>
        <w:tblLook w:firstRow="0" w:lastRow="0" w:firstColumn="0" w:lastColumn="0" w:noHBand="0" w:noVBand="0" w:val="0000"/>
      </w:tblPr>
      <w:tblGrid>
        <w:gridCol w:w="7920"/>
      </w:tblGrid>
      <w:tr>
        <w:tc>
          <w:tcPr/>
          <w:bookmarkStart w:id="72"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72"/>
        </w:tc>
      </w:tr>
    </w:tbl>
    <w:tbl>
      <w:tblPr>
        <w:tblStyle w:val="Table"/>
        <w:tblW w:type="pct" w:w="5000"/>
        <w:tblLayout w:type="fixed"/>
        <w:tblLook w:firstRow="0" w:lastRow="0" w:firstColumn="0" w:lastColumn="0" w:noHBand="0" w:noVBand="0" w:val="0000"/>
      </w:tblPr>
      <w:tblGrid>
        <w:gridCol w:w="7920"/>
      </w:tblGrid>
      <w:tr>
        <w:tc>
          <w:tcPr/>
          <w:bookmarkStart w:id="7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73"/>
        </w:tc>
      </w:tr>
    </w:tbl>
    <w:tbl>
      <w:tblPr>
        <w:tblStyle w:val="Table"/>
        <w:tblW w:type="pct" w:w="5000"/>
        <w:tblLayout w:type="fixed"/>
        <w:tblLook w:firstRow="0" w:lastRow="0" w:firstColumn="0" w:lastColumn="0" w:noHBand="0" w:noVBand="0" w:val="0000"/>
      </w:tblPr>
      <w:tblGrid>
        <w:gridCol w:w="7920"/>
      </w:tblGrid>
      <w:tr>
        <w:tc>
          <w:tcPr/>
          <w:bookmarkStart w:id="74"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74"/>
        </w:tc>
      </w:tr>
    </w:tbl>
    <w:tbl>
      <w:tblPr>
        <w:tblStyle w:val="Table"/>
        <w:tblW w:type="pct" w:w="5000"/>
        <w:tblLayout w:type="fixed"/>
        <w:tblLook w:firstRow="0" w:lastRow="0" w:firstColumn="0" w:lastColumn="0" w:noHBand="0" w:noVBand="0" w:val="0000"/>
      </w:tblPr>
      <w:tblGrid>
        <w:gridCol w:w="7920"/>
      </w:tblGrid>
      <w:tr>
        <w:tc>
          <w:tcPr/>
          <w:bookmarkStart w:id="75" w:name="tbl-ljb"/>
          <w:p>
            <w:pPr>
              <w:jc w:val="center"/>
            </w:pPr>
            <w:pPr>
              <w:jc w:val="start"/>
              <w:spacing w:before="200"/>
              <w:pStyle w:val="ImageCaption"/>
            </w:pPr>
            <w:r>
              <w:t xml:space="preserve">Table 16.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960"/>
              <w:gridCol w:w="180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LB 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75"/>
        </w:tc>
      </w:tr>
    </w:tbl>
    <w:bookmarkEnd w:id="76"/>
    <w:bookmarkEnd w:id="77"/>
    <w:bookmarkEnd w:id="78"/>
    <w:bookmarkStart w:id="83" w:name="chapter-v"/>
    <w:p>
      <w:pPr>
        <w:pStyle w:val="Heading1"/>
      </w:pPr>
      <w:r>
        <w:t xml:space="preserve">Chapter V</w:t>
      </w:r>
    </w:p>
    <w:bookmarkStart w:id="82" w:name="summary-conclusion-and-recommendations"/>
    <w:p>
      <w:pPr>
        <w:pStyle w:val="Heading2"/>
      </w:pPr>
      <w:r>
        <w:t xml:space="preserve">SUMMARY, CONCLUSION AND RECOMMENDATIONS</w:t>
      </w:r>
    </w:p>
    <w:bookmarkStart w:id="79" w:name="summary"/>
    <w:p>
      <w:pPr>
        <w:pStyle w:val="Heading3"/>
      </w:pPr>
      <w:r>
        <w:t xml:space="preserve">Summary</w:t>
      </w:r>
    </w:p>
    <w:bookmarkEnd w:id="79"/>
    <w:bookmarkStart w:id="80" w:name="conclusion"/>
    <w:p>
      <w:pPr>
        <w:pStyle w:val="Heading3"/>
      </w:pPr>
      <w:r>
        <w:t xml:space="preserve">Conclusion</w:t>
      </w:r>
    </w:p>
    <w:bookmarkEnd w:id="80"/>
    <w:bookmarkStart w:id="81" w:name="recommendations"/>
    <w:p>
      <w:pPr>
        <w:pStyle w:val="Heading3"/>
      </w:pPr>
      <w:r>
        <w:t xml:space="preserve">Recommendations</w:t>
      </w:r>
    </w:p>
    <w:bookmarkEnd w:id="81"/>
    <w:bookmarkEnd w:id="82"/>
    <w:bookmarkEnd w:id="83"/>
    <w:bookmarkStart w:id="127" w:name="references"/>
    <w:p>
      <w:pPr>
        <w:pStyle w:val="Heading1"/>
      </w:pPr>
      <w:r>
        <w:t xml:space="preserve">References</w:t>
      </w:r>
    </w:p>
    <w:bookmarkStart w:id="126" w:name="refs"/>
    <w:bookmarkStart w:id="85"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84">
        <w:r>
          <w:rPr>
            <w:rStyle w:val="Hyperlink"/>
          </w:rPr>
          <w:t xml:space="preserve">https://doi.org/10.1007/978-981-99-4472-9_2</w:t>
        </w:r>
      </w:hyperlink>
    </w:p>
    <w:bookmarkEnd w:id="85"/>
    <w:bookmarkStart w:id="86"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86"/>
    <w:bookmarkStart w:id="88"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87">
        <w:r>
          <w:rPr>
            <w:rStyle w:val="Hyperlink"/>
          </w:rPr>
          <w:t xml:space="preserve">https://doi.org/10.1016/j.future.2018.05.045</w:t>
        </w:r>
      </w:hyperlink>
    </w:p>
    <w:bookmarkEnd w:id="88"/>
    <w:bookmarkStart w:id="90"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89">
        <w:r>
          <w:rPr>
            <w:rStyle w:val="Hyperlink"/>
          </w:rPr>
          <w:t xml:space="preserve">http://bit.ly/stl1990</w:t>
        </w:r>
      </w:hyperlink>
    </w:p>
    <w:bookmarkEnd w:id="90"/>
    <w:bookmarkStart w:id="92"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91">
        <w:r>
          <w:rPr>
            <w:rStyle w:val="Hyperlink"/>
          </w:rPr>
          <w:t xml:space="preserve">https://doi.org/10.17352/2455-815X.000096</w:t>
        </w:r>
      </w:hyperlink>
    </w:p>
    <w:bookmarkEnd w:id="92"/>
    <w:bookmarkStart w:id="93"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93"/>
    <w:bookmarkStart w:id="95" w:name="ref-fao"/>
    <w:p>
      <w:pPr>
        <w:pStyle w:val="Bibliography"/>
      </w:pPr>
      <w:r>
        <w:rPr>
          <w:i/>
          <w:iCs/>
        </w:rPr>
        <w:t xml:space="preserve">FAOSTAT</w:t>
      </w:r>
      <w:r>
        <w:t xml:space="preserve">. (n.d.). Retrieved November 16, 2023, from</w:t>
      </w:r>
      <w:r>
        <w:t xml:space="preserve"> </w:t>
      </w:r>
      <w:hyperlink r:id="rId94">
        <w:r>
          <w:rPr>
            <w:rStyle w:val="Hyperlink"/>
          </w:rPr>
          <w:t xml:space="preserve">https://www.fao.org/faostat/en/#home</w:t>
        </w:r>
      </w:hyperlink>
    </w:p>
    <w:bookmarkEnd w:id="95"/>
    <w:bookmarkStart w:id="96"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96"/>
    <w:bookmarkStart w:id="98"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97">
        <w:r>
          <w:rPr>
            <w:rStyle w:val="Hyperlink"/>
          </w:rPr>
          <w:t xml:space="preserve">https://doi.org/10.2139/ssrn.4113035</w:t>
        </w:r>
      </w:hyperlink>
    </w:p>
    <w:bookmarkEnd w:id="98"/>
    <w:bookmarkStart w:id="10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99">
        <w:r>
          <w:rPr>
            <w:rStyle w:val="Hyperlink"/>
          </w:rPr>
          <w:t xml:space="preserve">OTexts.com/fpp3</w:t>
        </w:r>
      </w:hyperlink>
    </w:p>
    <w:bookmarkEnd w:id="100"/>
    <w:bookmarkStart w:id="101"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01"/>
    <w:bookmarkStart w:id="102"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02"/>
    <w:bookmarkStart w:id="103"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03"/>
    <w:bookmarkStart w:id="105"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04">
        <w:r>
          <w:rPr>
            <w:rStyle w:val="Hyperlink"/>
          </w:rPr>
          <w:t xml:space="preserve">https://catalog.ihsn.org/citations/91017?fbclid=IwAR06pCHPm9d6ko-uxXndkeBPGmpGgp7plCg0BQwlXNBHWh8OdHbY4B23soc</w:t>
        </w:r>
      </w:hyperlink>
    </w:p>
    <w:bookmarkEnd w:id="105"/>
    <w:bookmarkStart w:id="107"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06">
        <w:r>
          <w:rPr>
            <w:rStyle w:val="Hyperlink"/>
          </w:rPr>
          <w:t xml:space="preserve">https://CRAN.R-project.org/package=fable</w:t>
        </w:r>
      </w:hyperlink>
    </w:p>
    <w:bookmarkEnd w:id="107"/>
    <w:bookmarkStart w:id="109"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8">
        <w:r>
          <w:rPr>
            <w:rStyle w:val="Hyperlink"/>
          </w:rPr>
          <w:t xml:space="preserve">https://www.R-project.org/</w:t>
        </w:r>
      </w:hyperlink>
    </w:p>
    <w:bookmarkEnd w:id="109"/>
    <w:bookmarkStart w:id="110"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10"/>
    <w:bookmarkStart w:id="112"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11">
        <w:r>
          <w:rPr>
            <w:rStyle w:val="Hyperlink"/>
          </w:rPr>
          <w:t xml:space="preserve">https://doi.org/10.3390/agriculture13091671</w:t>
        </w:r>
      </w:hyperlink>
    </w:p>
    <w:bookmarkEnd w:id="112"/>
    <w:bookmarkStart w:id="113"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13"/>
    <w:bookmarkStart w:id="115"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14">
        <w:r>
          <w:rPr>
            <w:rStyle w:val="Hyperlink"/>
          </w:rPr>
          <w:t xml:space="preserve">https://doi.org/10.5281/ZENODO.3333529</w:t>
        </w:r>
      </w:hyperlink>
    </w:p>
    <w:bookmarkEnd w:id="115"/>
    <w:bookmarkStart w:id="117"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16">
        <w:r>
          <w:rPr>
            <w:rStyle w:val="Hyperlink"/>
          </w:rPr>
          <w:t xml:space="preserve">https://doi.org/10.1080/10618600.2019.1695624</w:t>
        </w:r>
      </w:hyperlink>
    </w:p>
    <w:bookmarkEnd w:id="117"/>
    <w:bookmarkStart w:id="119"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8">
        <w:r>
          <w:rPr>
            <w:rStyle w:val="Hyperlink"/>
          </w:rPr>
          <w:t xml:space="preserve">https://doi.org/10.21105/joss.01686</w:t>
        </w:r>
      </w:hyperlink>
    </w:p>
    <w:bookmarkEnd w:id="119"/>
    <w:bookmarkStart w:id="121"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20">
        <w:r>
          <w:rPr>
            <w:rStyle w:val="Hyperlink"/>
          </w:rPr>
          <w:t xml:space="preserve">https://doi.org/10.3390/agronomy12112680</w:t>
        </w:r>
      </w:hyperlink>
    </w:p>
    <w:bookmarkEnd w:id="121"/>
    <w:bookmarkStart w:id="123"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22">
        <w:r>
          <w:rPr>
            <w:rStyle w:val="Hyperlink"/>
          </w:rPr>
          <w:t xml:space="preserve">https://doi.org/10.3390/agriculture13030577</w:t>
        </w:r>
      </w:hyperlink>
    </w:p>
    <w:bookmarkEnd w:id="123"/>
    <w:bookmarkStart w:id="125"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24">
        <w:r>
          <w:rPr>
            <w:rStyle w:val="Hyperlink"/>
          </w:rPr>
          <w:t xml:space="preserve">https://doi.org/10.22434/IFAMR2019.0172</w:t>
        </w:r>
      </w:hyperlink>
    </w:p>
    <w:bookmarkEnd w:id="125"/>
    <w:bookmarkEnd w:id="126"/>
    <w:bookmarkEnd w:id="127"/>
    <w:sectPr w:rsidR="006F0C86"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A013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2024-08-05T12:03:27Z</dcterms:created>
  <dcterms:modified xsi:type="dcterms:W3CDTF">2024-08-05T12:03:27Z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