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On the other hand, it has a seasonal strength of 0.62, showing that 62% of the time series is accounted by seasonality not considering trend. Its peak is in September and its trough is in January.</w:t>
      </w:r>
    </w:p>
    <w:p>
      <w:pPr>
        <w:pStyle w:val="BodyText"/>
      </w:pPr>
      <w:r>
        <w:t xml:space="preserve">The cabbage time series has a trend strength of 0.2, showing that 20% of the time series is accounted by trend not considering seasonality. On the other hand, it has a seasonal strength of 0.18, showing that 18% of the time series is accounted by seasonality not considering trend. Its peak is in September and its trough is in March.</w:t>
      </w:r>
    </w:p>
    <w:p>
      <w:pPr>
        <w:pStyle w:val="BodyText"/>
      </w:pPr>
      <w:r>
        <w:t xml:space="preserve">The carrot time series has a trend strength of 0.35, showing that 35% of the time series is accounted by trend not considering seasonality. On the other hand, it has a seasonal strength of 0.4, showing that 40% of the time series is accounted by seasonality not considering trend. Its peak is in August and its trough is in May.</w:t>
      </w:r>
    </w:p>
    <w:p>
      <w:pPr>
        <w:pStyle w:val="BodyText"/>
      </w:pPr>
      <w:r>
        <w:t xml:space="preserve">The cauliflower time series has a trend strength of 0.44, showing that 44% of the time series is accounted by trend not considering seasonality. On the other hand, it has a seasonal strength of 0.72, showing that 72% of the time series is accounted by seasonality not considering trend. Its peak is in August and its trough is in March.</w:t>
      </w:r>
    </w:p>
    <w:p>
      <w:pPr>
        <w:pStyle w:val="BodyText"/>
      </w:pPr>
      <w:r>
        <w:t xml:space="preserve">The celery time series has a trend strength of 0.34, showing that 34% of the time series is accounted by trend not considering seasonality. On the other hand, it has a seasonal strength of 0.43, showing that 43% of the time series is accounted by seasonality not considering trend. Its peak is in September and its trough is in March.</w:t>
      </w:r>
    </w:p>
    <w:p>
      <w:pPr>
        <w:pStyle w:val="BodyText"/>
      </w:pPr>
      <w:r>
        <w:t xml:space="preserve">The chayote (bunga) time series has a trend strength of 0.32, showing that 32% of the time series is accounted by trend not considering seasonality. On the other hand, it has a seasonal strength of 0.32, showing that 32% of the time series is accounted by seasonality not considering trend. Its peak is in September and its trough is in March.</w:t>
      </w:r>
    </w:p>
    <w:p>
      <w:pPr>
        <w:pStyle w:val="BodyText"/>
      </w:pPr>
      <w:r>
        <w:t xml:space="preserve">The cucumber time series has a trend strength of 0.37, showing that 37% of the time series is accounted by trend not considering seasonality. On the other hand, it has a seasonal strength of 0.26, showing that 26% of the time series is accounted by seasonality not considering trend. Its peak is in December and its trough is in July.</w:t>
      </w:r>
    </w:p>
    <w:p>
      <w:pPr>
        <w:pStyle w:val="BodyText"/>
      </w:pPr>
      <w:r>
        <w:t xml:space="preserve">The gabi (galyang) time series has a trend strength of 0.91, showing that 91% of the time series is accounted by trend not considering seasonality. On the other hand, it has a seasonal strength of 0.55, showing that 55% of the time series is accounted by seasonality not considering trend. Its peak is in September and its trough is in February.</w:t>
      </w:r>
    </w:p>
    <w:p>
      <w:pPr>
        <w:pStyle w:val="BodyText"/>
      </w:pPr>
      <w:r>
        <w:t xml:space="preserve">The pepper (sultan) time series has a trend strength of 0.21, showing that 21% of the time series is accounted by trend not considering seasonality. On the other hand, it has a seasonal strength of 0.2, showing that 20% of the time series is accounted by seasonality not considering trend. Its peak is in September and its trough is in May.</w:t>
      </w:r>
    </w:p>
    <w:p>
      <w:pPr>
        <w:pStyle w:val="BodyText"/>
      </w:pPr>
      <w:r>
        <w:t xml:space="preserve">The pepper (taiwan) time series has a trend strength of 0.26, showing that 26% of the time series is accounted by trend not considering seasonality. On the other hand, it has a seasonal strength of 0.41, showing that 41% of the time series is accounted by seasonality not considering trend. Its peak is in December and its trough is in April.</w:t>
      </w:r>
    </w:p>
    <w:p>
      <w:pPr>
        <w:pStyle w:val="BodyText"/>
      </w:pPr>
      <w:r>
        <w:t xml:space="preserve">The potato time series has a trend strength of 0.72, showing that 72% of the time series is accounted by trend not considering seasonality. On the other hand, it has a seasonal strength of 0.35, showing that 35% of the time series is accounted by seasonality not considering trend. Its peak is in October and its trough is in May.</w:t>
      </w:r>
    </w:p>
    <w:p>
      <w:pPr>
        <w:pStyle w:val="BodyText"/>
      </w:pPr>
      <w:r>
        <w:t xml:space="preserve">The wombok time series has a trend strength of 0.14, showing that 14% of the time series is accounted by trend not considering seasonality. On the other hand, it has a seasonal strength of 0.19, showing that 19% of the time series is accounted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automatic ARIMA method proved to be better in forecasting monthly prices for all vegetables except for gabi (galyang). The automatic ETS method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method be used to generate forecasts for all the vegetables except for gabi (galyang), for which automatic ETS method will be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2024-08-06T03:12:47Z</dcterms:created>
  <dcterms:modified xsi:type="dcterms:W3CDTF">2024-08-06T03:12:47Z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