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AutoRegressive Integrated Moving Average (ARIMA) and Exponential Smoothing (ETS) models through time series cross-validation to the monthly prices of each vegetable in Nueva Vizcaya from 2017-2023.</w:t>
      </w:r>
    </w:p>
    <w:p>
      <w:pPr>
        <w:numPr>
          <w:ilvl w:val="0"/>
          <w:numId w:val="1001"/>
        </w:numPr>
      </w:pPr>
      <w:r>
        <w:t xml:space="preserve">Evaluate the performance of ARIMA and ETS models and determine the best model to forecast monthly prices for each vegetable in Nueva Vizcaya.</w:t>
      </w:r>
    </w:p>
    <w:p>
      <w:pPr>
        <w:numPr>
          <w:ilvl w:val="0"/>
          <w:numId w:val="1001"/>
        </w:numPr>
      </w:pPr>
      <w:r>
        <w:t xml:space="preserve">Use either the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 are ARIMA and/or ETS models and their corresponding monthly forecasts. Under process, time series analysis was carried out using automatic algorithms and time series cross-validation to generate different optimal ARIMA and ETS models for each vegetable. From this, the final model for each vegetable were determined by comparing point forecast accuracy measures. Also, portmanteau test of residuals were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be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was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and compared to determine the best model for each vegetable. The model with lower point forecast accuracy measures was selected as the best model for each vegetable.</w:t>
      </w:r>
    </w:p>
    <w:p>
      <w:pPr>
        <w:pStyle w:val="BodyText"/>
      </w:pPr>
      <w:r>
        <w:t xml:space="preserve">Furthermore, a portmanteau test in the form of the Ljung-Box test was computed for the best model for each vegetable. This allowed the researchers to describe the performance of the best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best models were used to forecast monthly vegetable prices in Nueva Vizcaya.</w:t>
      </w:r>
    </w:p>
    <w:bookmarkEnd w:id="50"/>
    <w:bookmarkEnd w:id="51"/>
    <w:bookmarkEnd w:id="52"/>
    <w:bookmarkStart w:id="65" w:name="chapter-iv"/>
    <w:p>
      <w:pPr>
        <w:pStyle w:val="Heading1"/>
      </w:pPr>
      <w:r>
        <w:t xml:space="preserve">CHAPTER IV</w:t>
      </w:r>
    </w:p>
    <w:bookmarkStart w:id="64" w:name="results-and-discussion"/>
    <w:p>
      <w:pPr>
        <w:pStyle w:val="Heading2"/>
      </w:pPr>
      <w:r>
        <w:t xml:space="preserve">RESULTS AND DISCUSSION</w:t>
      </w:r>
    </w:p>
    <w:bookmarkStart w:id="59" w:name="Xe78dd23dd18ee4297e2a53defd31e2cbbec19fd"/>
    <w:p>
      <w:pPr>
        <w:pStyle w:val="Heading3"/>
      </w:pPr>
      <w:r>
        <w:t xml:space="preserve">Time Series of the 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carrots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by trend not considering seasonality. It has an upward trend. On the other hand, it has a seasonal strength of 0.62, showing that 62% of the time series is accounted by seasonality not considering trend. Its peak is in September and its trough is in January.</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yielded 360 models; 180 ARIMA and 180 ETS. That is 15 ARIMA models and 15 ETS models for each vegetable. Please see Appendix E for the full list of these models.</w:t>
      </w:r>
    </w:p>
    <w:bookmarkEnd w:id="60"/>
    <w:bookmarkStart w:id="62" w:name="model-evaluation"/>
    <w:p>
      <w:pPr>
        <w:pStyle w:val="Heading3"/>
      </w:pPr>
      <w:r>
        <w:t xml:space="preserve">Model Evaluation</w:t>
      </w:r>
    </w:p>
    <w:p>
      <w:pPr>
        <w:pStyle w:val="FirstParagraph"/>
      </w:pPr>
      <w:hyperlink w:anchor="tbl-fit">
        <w:r>
          <w:rPr>
            <w:rStyle w:val="Hyperlink"/>
          </w:rPr>
          <w:t xml:space="preserve">Table 3</w:t>
        </w:r>
      </w:hyperlink>
      <w:r>
        <w:t xml:space="preserve"> </w:t>
      </w:r>
      <w:r>
        <w:t xml:space="preserve">shows the performance of ARIMA and ETS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ARIMA and ETS Performance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296"/>
              <w:gridCol w:w="1296"/>
              <w:gridCol w:w="1296"/>
              <w:gridCol w:w="1296"/>
              <w:gridCol w:w="129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bl>
          <w:bookmarkEnd w:id="61"/>
        </w:tc>
      </w:tr>
    </w:tbl>
    <w:p>
      <w:pPr>
        <w:pStyle w:val="BodyText"/>
      </w:pPr>
    </w:p>
    <w:p>
      <w:pPr>
        <w:pStyle w:val="BodyText"/>
      </w:pPr>
      <w:r>
        <w:t xml:space="preserve">The ARIMA model proved to be better in forecasting monthly prices for all vegetables except for gabi (galyang). The ETS model is better in all the accuracy measures for gabi (galyang). However, it is notable that ETS slightly outperformed ARIMA in RMSE for broccoli showing a minimal difference. Nonetheless, ARIMA is better in the other accuracy measures showing a big difference in MAPE and minimal differences in MAE and MASE. It is also notable that there is minimal difference in all the accuracy measures for potato.</w:t>
      </w:r>
    </w:p>
    <w:bookmarkEnd w:id="62"/>
    <w:bookmarkStart w:id="63" w:name="forecasting-monthly-vegetable-prices."/>
    <w:p>
      <w:pPr>
        <w:pStyle w:val="Heading3"/>
      </w:pPr>
      <w:r>
        <w:t xml:space="preserve">Forecasting Monthly Vegetable Prices.</w:t>
      </w:r>
    </w:p>
    <w:p>
      <w:pPr>
        <w:pStyle w:val="SourceCode"/>
      </w:pPr>
      <w:r>
        <w:rPr>
          <w:rStyle w:val="NormalTok"/>
        </w:rPr>
        <w:t xml:space="preserve">tbl_broccoli </w:t>
      </w:r>
      <w:r>
        <w:rPr>
          <w:rStyle w:val="OtherTok"/>
        </w:rPr>
        <w:t xml:space="preserve">&lt;-</w:t>
      </w:r>
      <w:r>
        <w:rPr>
          <w:rStyle w:val="NormalTok"/>
        </w:rPr>
        <w:t xml:space="preserve"> fc_broccoli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(tbl_broccoli)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p>
      <w:pPr>
        <w:pStyle w:val="SourceCode"/>
      </w:pPr>
      <w:r>
        <w:rPr>
          <w:rStyle w:val="NormalTok"/>
        </w:rPr>
        <w:t xml:space="preserve">tbl_cabbage </w:t>
      </w:r>
      <w:r>
        <w:rPr>
          <w:rStyle w:val="OtherTok"/>
        </w:rPr>
        <w:t xml:space="preserve">&lt;-</w:t>
      </w:r>
      <w:r>
        <w:rPr>
          <w:rStyle w:val="NormalTok"/>
        </w:rPr>
        <w:t xml:space="preserve"> fc_cabbage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(tbl_cabbage)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p>
      <w:pPr>
        <w:pStyle w:val="SourceCode"/>
      </w:pPr>
      <w:r>
        <w:rPr>
          <w:rStyle w:val="NormalTok"/>
        </w:rPr>
        <w:t xml:space="preserve">tbl_carrots </w:t>
      </w:r>
      <w:r>
        <w:rPr>
          <w:rStyle w:val="OtherTok"/>
        </w:rPr>
        <w:t xml:space="preserve">&lt;-</w:t>
      </w:r>
      <w:r>
        <w:rPr>
          <w:rStyle w:val="NormalTok"/>
        </w:rPr>
        <w:t xml:space="preserve"> fc_carrots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(tbl_carrots)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p>
      <w:pPr>
        <w:pStyle w:val="SourceCode"/>
      </w:pPr>
      <w:r>
        <w:rPr>
          <w:rStyle w:val="NormalTok"/>
        </w:rPr>
        <w:t xml:space="preserve">tbl_cauliflower </w:t>
      </w:r>
      <w:r>
        <w:rPr>
          <w:rStyle w:val="OtherTok"/>
        </w:rPr>
        <w:t xml:space="preserve">&lt;-</w:t>
      </w:r>
      <w:r>
        <w:rPr>
          <w:rStyle w:val="NormalTok"/>
        </w:rPr>
        <w:t xml:space="preserve"> fc_cauliflower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(tbl_cauliflower)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p>
      <w:pPr>
        <w:pStyle w:val="SourceCode"/>
      </w:pPr>
      <w:r>
        <w:rPr>
          <w:rStyle w:val="NormalTok"/>
        </w:rPr>
        <w:t xml:space="preserve">tbl_celery </w:t>
      </w:r>
      <w:r>
        <w:rPr>
          <w:rStyle w:val="OtherTok"/>
        </w:rPr>
        <w:t xml:space="preserve">&lt;-</w:t>
      </w:r>
      <w:r>
        <w:rPr>
          <w:rStyle w:val="NormalTok"/>
        </w:rPr>
        <w:t xml:space="preserve"> fc_celery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(tbl_celery)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p>
      <w:pPr>
        <w:pStyle w:val="SourceCode"/>
      </w:pPr>
      <w:r>
        <w:rPr>
          <w:rStyle w:val="NormalTok"/>
        </w:rPr>
        <w:t xml:space="preserve">tbl_chayote_bunga </w:t>
      </w:r>
      <w:r>
        <w:rPr>
          <w:rStyle w:val="OtherTok"/>
        </w:rPr>
        <w:t xml:space="preserve">&lt;-</w:t>
      </w:r>
      <w:r>
        <w:rPr>
          <w:rStyle w:val="NormalTok"/>
        </w:rPr>
        <w:t xml:space="preserve"> fc_chayote_bunga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(tbl_chayote_bunga)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p>
      <w:pPr>
        <w:pStyle w:val="SourceCode"/>
      </w:pPr>
      <w:r>
        <w:rPr>
          <w:rStyle w:val="NormalTok"/>
        </w:rPr>
        <w:t xml:space="preserve">tbl_cucumber </w:t>
      </w:r>
      <w:r>
        <w:rPr>
          <w:rStyle w:val="OtherTok"/>
        </w:rPr>
        <w:t xml:space="preserve">&lt;-</w:t>
      </w:r>
      <w:r>
        <w:rPr>
          <w:rStyle w:val="NormalTok"/>
        </w:rPr>
        <w:t xml:space="preserve"> fc_cucumber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(tbl_cucumber)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p>
      <w:pPr>
        <w:pStyle w:val="SourceCode"/>
      </w:pPr>
      <w:r>
        <w:rPr>
          <w:rStyle w:val="NormalTok"/>
        </w:rPr>
        <w:t xml:space="preserve">tbl_gabi_galyang </w:t>
      </w:r>
      <w:r>
        <w:rPr>
          <w:rStyle w:val="OtherTok"/>
        </w:rPr>
        <w:t xml:space="preserve">&lt;-</w:t>
      </w:r>
      <w:r>
        <w:rPr>
          <w:rStyle w:val="NormalTok"/>
        </w:rPr>
        <w:t xml:space="preserve"> fc_gabi_galyang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(tbl_gabi_galyang)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p>
      <w:pPr>
        <w:pStyle w:val="SourceCode"/>
      </w:pPr>
      <w:r>
        <w:rPr>
          <w:rStyle w:val="NormalTok"/>
        </w:rPr>
        <w:t xml:space="preserve">tbl_pepper_sultan </w:t>
      </w:r>
      <w:r>
        <w:rPr>
          <w:rStyle w:val="OtherTok"/>
        </w:rPr>
        <w:t xml:space="preserve">&lt;-</w:t>
      </w:r>
      <w:r>
        <w:rPr>
          <w:rStyle w:val="NormalTok"/>
        </w:rPr>
        <w:t xml:space="preserve"> fc_pepper_sultan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(tbl_pepper_sultan)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p>
      <w:pPr>
        <w:pStyle w:val="SourceCode"/>
      </w:pPr>
      <w:r>
        <w:rPr>
          <w:rStyle w:val="NormalTok"/>
        </w:rPr>
        <w:t xml:space="preserve">tbl_pepper_taiwan </w:t>
      </w:r>
      <w:r>
        <w:rPr>
          <w:rStyle w:val="OtherTok"/>
        </w:rPr>
        <w:t xml:space="preserve">&lt;-</w:t>
      </w:r>
      <w:r>
        <w:rPr>
          <w:rStyle w:val="NormalTok"/>
        </w:rPr>
        <w:t xml:space="preserve"> fc_pepper_taiwan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(tbl_pepper_taiwan)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p>
      <w:pPr>
        <w:pStyle w:val="SourceCode"/>
      </w:pPr>
      <w:r>
        <w:rPr>
          <w:rStyle w:val="NormalTok"/>
        </w:rPr>
        <w:t xml:space="preserve">tbl_potato </w:t>
      </w:r>
      <w:r>
        <w:rPr>
          <w:rStyle w:val="OtherTok"/>
        </w:rPr>
        <w:t xml:space="preserve">&lt;-</w:t>
      </w:r>
      <w:r>
        <w:rPr>
          <w:rStyle w:val="NormalTok"/>
        </w:rPr>
        <w:t xml:space="preserve"> fc_potato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(tbl_potato)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p>
      <w:pPr>
        <w:pStyle w:val="SourceCode"/>
      </w:pPr>
      <w:r>
        <w:rPr>
          <w:rStyle w:val="NormalTok"/>
        </w:rPr>
        <w:t xml:space="preserve">tbl_wombok </w:t>
      </w:r>
      <w:r>
        <w:rPr>
          <w:rStyle w:val="OtherTok"/>
        </w:rPr>
        <w:t xml:space="preserve">&lt;-</w:t>
      </w:r>
      <w:r>
        <w:rPr>
          <w:rStyle w:val="NormalTok"/>
        </w:rPr>
        <w:t xml:space="preserve"> fc_wombok </w:t>
      </w:r>
      <w:r>
        <w:rPr>
          <w:rStyle w:val="SpecialCharTok"/>
        </w:rPr>
        <w:t xml:space="preserve">|&gt;</w:t>
      </w:r>
      <w:r>
        <w:br/>
      </w:r>
      <w:r>
        <w:rPr>
          <w:rStyle w:val="NormalTok"/>
        </w:rPr>
        <w:t xml:space="preserve">  </w:t>
      </w:r>
      <w:r>
        <w:rPr>
          <w:rStyle w:val="FunctionTok"/>
        </w:rPr>
        <w:t xml:space="preserve">hilo</w:t>
      </w:r>
      <w:r>
        <w:rPr>
          <w:rStyle w:val="NormalTok"/>
        </w:rPr>
        <w:t xml:space="preserve">() </w:t>
      </w:r>
      <w:r>
        <w:rPr>
          <w:rStyle w:val="SpecialCharTok"/>
        </w:rPr>
        <w:t xml:space="preserve">|&gt;</w:t>
      </w:r>
      <w:r>
        <w:br/>
      </w:r>
      <w:r>
        <w:rPr>
          <w:rStyle w:val="NormalTok"/>
        </w:rPr>
        <w:t xml:space="preserve">  </w:t>
      </w:r>
      <w:r>
        <w:rPr>
          <w:rStyle w:val="FunctionTok"/>
        </w:rPr>
        <w:t xml:space="preserve">unpack_hilo</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(.mean, </w:t>
      </w:r>
      <w:r>
        <w:rPr>
          <w:rStyle w:val="FunctionTok"/>
        </w:rPr>
        <w:t xml:space="preserve">ends_with</w:t>
      </w:r>
      <w:r>
        <w:rPr>
          <w:rStyle w:val="NormalTok"/>
        </w:rPr>
        <w:t xml:space="preserve">(</w:t>
      </w:r>
      <w:r>
        <w:rPr>
          <w:rStyle w:val="StringTok"/>
        </w:rPr>
        <w:t xml:space="preserve">"upper"</w:t>
      </w:r>
      <w:r>
        <w:rPr>
          <w:rStyle w:val="NormalTok"/>
        </w:rPr>
        <w:t xml:space="preserve">), </w:t>
      </w:r>
      <w:r>
        <w:rPr>
          <w:rStyle w:val="FunctionTok"/>
        </w:rPr>
        <w:t xml:space="preserve">ends_with</w:t>
      </w:r>
      <w:r>
        <w:rPr>
          <w:rStyle w:val="NormalTok"/>
        </w:rPr>
        <w:t xml:space="preserve">(</w:t>
      </w:r>
      <w:r>
        <w:rPr>
          <w:rStyle w:val="StringTok"/>
        </w:rPr>
        <w:t xml:space="preserve">"lower"</w:t>
      </w:r>
      <w:r>
        <w:rPr>
          <w:rStyle w:val="NormalTok"/>
        </w:rPr>
        <w:t xml:space="preserve">)), sum)) </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Date =</w:t>
      </w:r>
      <w:r>
        <w:rPr>
          <w:rStyle w:val="NormalTok"/>
        </w:rPr>
        <w:t xml:space="preserve"> date,</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StringTok"/>
        </w:rPr>
        <w:t xml:space="preserve">"80% Lower"</w:t>
      </w:r>
      <w:r>
        <w:rPr>
          <w:rStyle w:val="NormalTok"/>
        </w:rPr>
        <w:t xml:space="preserve"> </w:t>
      </w:r>
      <w:r>
        <w:rPr>
          <w:rStyle w:val="OtherTok"/>
        </w:rPr>
        <w:t xml:space="preserve">=</w:t>
      </w:r>
      <w:r>
        <w:rPr>
          <w:rStyle w:val="NormalTok"/>
        </w:rPr>
        <w:t xml:space="preserve"> </w:t>
      </w:r>
      <w:r>
        <w:rPr>
          <w:rStyle w:val="StringTok"/>
        </w:rPr>
        <w:t xml:space="preserve">"80%_lower"</w:t>
      </w:r>
      <w:r>
        <w:rPr>
          <w:rStyle w:val="NormalTok"/>
        </w:rPr>
        <w:t xml:space="preserve">,</w:t>
      </w:r>
      <w:r>
        <w:br/>
      </w:r>
      <w:r>
        <w:rPr>
          <w:rStyle w:val="NormalTok"/>
        </w:rPr>
        <w:t xml:space="preserve">    </w:t>
      </w:r>
      <w:r>
        <w:rPr>
          <w:rStyle w:val="StringTok"/>
        </w:rPr>
        <w:t xml:space="preserve">"80% Upper"</w:t>
      </w:r>
      <w:r>
        <w:rPr>
          <w:rStyle w:val="NormalTok"/>
        </w:rPr>
        <w:t xml:space="preserve"> </w:t>
      </w:r>
      <w:r>
        <w:rPr>
          <w:rStyle w:val="OtherTok"/>
        </w:rPr>
        <w:t xml:space="preserve">=</w:t>
      </w:r>
      <w:r>
        <w:rPr>
          <w:rStyle w:val="NormalTok"/>
        </w:rPr>
        <w:t xml:space="preserve"> </w:t>
      </w:r>
      <w:r>
        <w:rPr>
          <w:rStyle w:val="StringTok"/>
        </w:rPr>
        <w:t xml:space="preserve">"80%_upper"</w:t>
      </w:r>
      <w:r>
        <w:rPr>
          <w:rStyle w:val="NormalTok"/>
        </w:rPr>
        <w:t xml:space="preserve">,</w:t>
      </w:r>
      <w:r>
        <w:br/>
      </w:r>
      <w:r>
        <w:rPr>
          <w:rStyle w:val="NormalTok"/>
        </w:rPr>
        <w:t xml:space="preserve">    </w:t>
      </w:r>
      <w:r>
        <w:rPr>
          <w:rStyle w:val="StringTok"/>
        </w:rPr>
        <w:t xml:space="preserve">"95% Lower"</w:t>
      </w:r>
      <w:r>
        <w:rPr>
          <w:rStyle w:val="NormalTok"/>
        </w:rPr>
        <w:t xml:space="preserve"> </w:t>
      </w:r>
      <w:r>
        <w:rPr>
          <w:rStyle w:val="OtherTok"/>
        </w:rPr>
        <w:t xml:space="preserve">=</w:t>
      </w:r>
      <w:r>
        <w:rPr>
          <w:rStyle w:val="NormalTok"/>
        </w:rPr>
        <w:t xml:space="preserve"> </w:t>
      </w:r>
      <w:r>
        <w:rPr>
          <w:rStyle w:val="StringTok"/>
        </w:rPr>
        <w:t xml:space="preserve">"95%_lower"</w:t>
      </w:r>
      <w:r>
        <w:rPr>
          <w:rStyle w:val="NormalTok"/>
        </w:rPr>
        <w:t xml:space="preserve">,</w:t>
      </w:r>
      <w:r>
        <w:br/>
      </w:r>
      <w:r>
        <w:rPr>
          <w:rStyle w:val="NormalTok"/>
        </w:rPr>
        <w:t xml:space="preserve">    </w:t>
      </w:r>
      <w:r>
        <w:rPr>
          <w:rStyle w:val="StringTok"/>
        </w:rPr>
        <w:t xml:space="preserve">"95% Upper"</w:t>
      </w:r>
      <w:r>
        <w:rPr>
          <w:rStyle w:val="NormalTok"/>
        </w:rPr>
        <w:t xml:space="preserve"> </w:t>
      </w:r>
      <w:r>
        <w:rPr>
          <w:rStyle w:val="OtherTok"/>
        </w:rPr>
        <w:t xml:space="preserve">=</w:t>
      </w:r>
      <w:r>
        <w:rPr>
          <w:rStyle w:val="NormalTok"/>
        </w:rPr>
        <w:t xml:space="preserve"> </w:t>
      </w:r>
      <w:r>
        <w:rPr>
          <w:rStyle w:val="StringTok"/>
        </w:rPr>
        <w:t xml:space="preserve">"95%_upper"</w:t>
      </w:r>
      <w:r>
        <w:rPr>
          <w:rStyle w:val="NormalTok"/>
        </w:rPr>
        <w:t xml:space="preserve"> </w:t>
      </w:r>
      <w:r>
        <w:br/>
      </w:r>
      <w:r>
        <w:rPr>
          <w:rStyle w:val="NormalTok"/>
        </w:rPr>
        <w:t xml:space="preserve">  )</w:t>
      </w:r>
      <w:r>
        <w:br/>
      </w:r>
      <w:r>
        <w:br/>
      </w:r>
      <w:r>
        <w:rPr>
          <w:rStyle w:val="FunctionTok"/>
        </w:rPr>
        <w:t xml:space="preserve">flextable</w:t>
      </w:r>
      <w:r>
        <w:rPr>
          <w:rStyle w:val="NormalTok"/>
        </w:rPr>
        <w:t xml:space="preserve">(tbl_wombok)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p>
      <w:pPr>
        <w:pStyle w:val="SourceCode"/>
      </w:pPr>
      <w:r>
        <w:rPr>
          <w:rStyle w:val="NormalTok"/>
        </w:rPr>
        <w:t xml:space="preserve">tbl_ljb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tbl_ljb_broccoli,</w:t>
      </w:r>
      <w:r>
        <w:br/>
      </w:r>
      <w:r>
        <w:rPr>
          <w:rStyle w:val="NormalTok"/>
        </w:rPr>
        <w:t xml:space="preserve">  tbl_ljb_cabbage,</w:t>
      </w:r>
      <w:r>
        <w:br/>
      </w:r>
      <w:r>
        <w:rPr>
          <w:rStyle w:val="NormalTok"/>
        </w:rPr>
        <w:t xml:space="preserve">  tbl_ljb_carrots,</w:t>
      </w:r>
      <w:r>
        <w:br/>
      </w:r>
      <w:r>
        <w:rPr>
          <w:rStyle w:val="NormalTok"/>
        </w:rPr>
        <w:t xml:space="preserve">  tbl_ljb_cauliflower,</w:t>
      </w:r>
      <w:r>
        <w:br/>
      </w:r>
      <w:r>
        <w:rPr>
          <w:rStyle w:val="NormalTok"/>
        </w:rPr>
        <w:t xml:space="preserve">  tbl_ljb_celery,</w:t>
      </w:r>
      <w:r>
        <w:br/>
      </w:r>
      <w:r>
        <w:rPr>
          <w:rStyle w:val="NormalTok"/>
        </w:rPr>
        <w:t xml:space="preserve">  tbl_ljb_chayote_bunga,</w:t>
      </w:r>
      <w:r>
        <w:br/>
      </w:r>
      <w:r>
        <w:rPr>
          <w:rStyle w:val="NormalTok"/>
        </w:rPr>
        <w:t xml:space="preserve">  tbl_ljb_cucumber,</w:t>
      </w:r>
      <w:r>
        <w:br/>
      </w:r>
      <w:r>
        <w:rPr>
          <w:rStyle w:val="NormalTok"/>
        </w:rPr>
        <w:t xml:space="preserve">  tbl_ljb_gabi_galyang,</w:t>
      </w:r>
      <w:r>
        <w:br/>
      </w:r>
      <w:r>
        <w:rPr>
          <w:rStyle w:val="NormalTok"/>
        </w:rPr>
        <w:t xml:space="preserve">  tbl_ljb_pepper_sultan,</w:t>
      </w:r>
      <w:r>
        <w:br/>
      </w:r>
      <w:r>
        <w:rPr>
          <w:rStyle w:val="NormalTok"/>
        </w:rPr>
        <w:t xml:space="preserve">  tbl_ljb_pepper_taiwan,</w:t>
      </w:r>
      <w:r>
        <w:br/>
      </w:r>
      <w:r>
        <w:rPr>
          <w:rStyle w:val="NormalTok"/>
        </w:rPr>
        <w:t xml:space="preserve">  tbl_ljb_potato,</w:t>
      </w:r>
      <w:r>
        <w:br/>
      </w:r>
      <w:r>
        <w:rPr>
          <w:rStyle w:val="NormalTok"/>
        </w:rPr>
        <w:t xml:space="preserve">  tbl_ljb_wombok</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as.character</w:t>
      </w:r>
      <w:r>
        <w:rPr>
          <w:rStyle w:val="NormalTok"/>
        </w:rPr>
        <w:t xml:space="preserve">(Model),</w:t>
      </w:r>
      <w:r>
        <w:br/>
      </w:r>
      <w:r>
        <w:rPr>
          <w:rStyle w:val="NormalTok"/>
        </w:rPr>
        <w:t xml:space="preserve">    </w:t>
      </w:r>
      <w:r>
        <w:rPr>
          <w:rStyle w:val="AttributeTok"/>
        </w:rPr>
        <w:t xml:space="preserve">Model =</w:t>
      </w:r>
      <w:r>
        <w:rPr>
          <w:rStyle w:val="NormalTok"/>
        </w:rPr>
        <w:t xml:space="preserve"> </w:t>
      </w:r>
      <w:r>
        <w:rPr>
          <w:rStyle w:val="FunctionTok"/>
        </w:rPr>
        <w:t xml:space="preserve">str_sub</w:t>
      </w:r>
      <w:r>
        <w:rPr>
          <w:rStyle w:val="NormalTok"/>
        </w:rPr>
        <w:t xml:space="preserve">(Model, </w:t>
      </w:r>
      <w:r>
        <w:rPr>
          <w:rStyle w:val="DecValTok"/>
        </w:rPr>
        <w:t xml:space="preserve">2</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Vegetable =</w:t>
      </w:r>
      <w:r>
        <w:rPr>
          <w:rStyle w:val="NormalTok"/>
        </w:rPr>
        <w:t xml:space="preserve"> veg_labels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"LB"</w:t>
      </w:r>
      <w:r>
        <w:rPr>
          <w:rStyle w:val="NormalTok"/>
        </w:rPr>
        <w:t xml:space="preserve">), </w:t>
      </w:r>
      <w:r>
        <w:rPr>
          <w:rStyle w:val="SpecialCharTok"/>
        </w:rPr>
        <w:t xml:space="preserve">~</w:t>
      </w:r>
      <w:r>
        <w:rPr>
          <w:rStyle w:val="FunctionTok"/>
        </w:rPr>
        <w:t xml:space="preserve">round</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"P"</w:t>
      </w:r>
      <w:r>
        <w:rPr>
          <w:rStyle w:val="NormalTok"/>
        </w:rPr>
        <w:t xml:space="preserve">), </w:t>
      </w:r>
      <w:r>
        <w:rPr>
          <w:rStyle w:val="SpecialCharTok"/>
        </w:rPr>
        <w:t xml:space="preserve">~</w:t>
      </w:r>
      <w:r>
        <w:rPr>
          <w:rStyle w:val="FunctionTok"/>
        </w:rPr>
        <w:t xml:space="preserve">apa</w:t>
      </w:r>
      <w:r>
        <w:rPr>
          <w:rStyle w:val="NormalTok"/>
        </w:rPr>
        <w:t xml:space="preserve">(., </w:t>
      </w:r>
      <w:r>
        <w:rPr>
          <w:rStyle w:val="DecValTok"/>
        </w:rPr>
        <w:t xml:space="preserve">3</w:t>
      </w:r>
      <w:r>
        <w:rPr>
          <w:rStyle w:val="NormalTok"/>
        </w:rPr>
        <w:t xml:space="preserve">, </w:t>
      </w:r>
      <w:r>
        <w:rPr>
          <w:rStyle w:val="ConstantTok"/>
        </w:rPr>
        <w:t xml:space="preserve">FALSE</w:t>
      </w:r>
      <w:r>
        <w:rPr>
          <w:rStyle w:val="NormalTok"/>
        </w:rPr>
        <w:t xml:space="preserve">)))</w:t>
      </w:r>
      <w:r>
        <w:br/>
      </w:r>
      <w:r>
        <w:br/>
      </w:r>
      <w:r>
        <w:rPr>
          <w:rStyle w:val="FunctionTok"/>
        </w:rPr>
        <w:t xml:space="preserve">flextable</w:t>
      </w:r>
      <w:r>
        <w:rPr>
          <w:rStyle w:val="NormalTok"/>
        </w:rPr>
        <w:t xml:space="preserve">(tbl_ljb)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4</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LB 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63"/>
    <w:bookmarkEnd w:id="64"/>
    <w:bookmarkEnd w:id="65"/>
    <w:bookmarkStart w:id="109" w:name="references"/>
    <w:p>
      <w:pPr>
        <w:pStyle w:val="Heading1"/>
      </w:pPr>
      <w:r>
        <w:t xml:space="preserve">References</w:t>
      </w:r>
    </w:p>
    <w:bookmarkStart w:id="108" w:name="refs"/>
    <w:bookmarkStart w:id="67"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66">
        <w:r>
          <w:rPr>
            <w:rStyle w:val="Hyperlink"/>
          </w:rPr>
          <w:t xml:space="preserve">https://doi.org/10.1007/978-981-99-4472-9_2</w:t>
        </w:r>
      </w:hyperlink>
    </w:p>
    <w:bookmarkEnd w:id="67"/>
    <w:bookmarkStart w:id="68"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68"/>
    <w:bookmarkStart w:id="70"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69">
        <w:r>
          <w:rPr>
            <w:rStyle w:val="Hyperlink"/>
          </w:rPr>
          <w:t xml:space="preserve">https://doi.org/10.1016/j.future.2018.05.045</w:t>
        </w:r>
      </w:hyperlink>
    </w:p>
    <w:bookmarkEnd w:id="70"/>
    <w:bookmarkStart w:id="72"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71">
        <w:r>
          <w:rPr>
            <w:rStyle w:val="Hyperlink"/>
          </w:rPr>
          <w:t xml:space="preserve">http://bit.ly/stl1990</w:t>
        </w:r>
      </w:hyperlink>
    </w:p>
    <w:bookmarkEnd w:id="72"/>
    <w:bookmarkStart w:id="74"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73">
        <w:r>
          <w:rPr>
            <w:rStyle w:val="Hyperlink"/>
          </w:rPr>
          <w:t xml:space="preserve">https://doi.org/10.17352/2455-815X.000096</w:t>
        </w:r>
      </w:hyperlink>
    </w:p>
    <w:bookmarkEnd w:id="74"/>
    <w:bookmarkStart w:id="75"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75"/>
    <w:bookmarkStart w:id="77" w:name="ref-fao"/>
    <w:p>
      <w:pPr>
        <w:pStyle w:val="Bibliography"/>
      </w:pPr>
      <w:r>
        <w:rPr>
          <w:i/>
          <w:iCs/>
        </w:rPr>
        <w:t xml:space="preserve">FAOSTAT</w:t>
      </w:r>
      <w:r>
        <w:t xml:space="preserve">. (n.d.). Retrieved November 16, 2023, from</w:t>
      </w:r>
      <w:r>
        <w:t xml:space="preserve"> </w:t>
      </w:r>
      <w:hyperlink r:id="rId76">
        <w:r>
          <w:rPr>
            <w:rStyle w:val="Hyperlink"/>
          </w:rPr>
          <w:t xml:space="preserve">https://www.fao.org/faostat/en/#home</w:t>
        </w:r>
      </w:hyperlink>
    </w:p>
    <w:bookmarkEnd w:id="77"/>
    <w:bookmarkStart w:id="78"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78"/>
    <w:bookmarkStart w:id="80"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79">
        <w:r>
          <w:rPr>
            <w:rStyle w:val="Hyperlink"/>
          </w:rPr>
          <w:t xml:space="preserve">https://doi.org/10.2139/ssrn.4113035</w:t>
        </w:r>
      </w:hyperlink>
    </w:p>
    <w:bookmarkEnd w:id="80"/>
    <w:bookmarkStart w:id="82"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81">
        <w:r>
          <w:rPr>
            <w:rStyle w:val="Hyperlink"/>
          </w:rPr>
          <w:t xml:space="preserve">OTexts.com/fpp3</w:t>
        </w:r>
      </w:hyperlink>
    </w:p>
    <w:bookmarkEnd w:id="82"/>
    <w:bookmarkStart w:id="83"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83"/>
    <w:bookmarkStart w:id="84"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84"/>
    <w:bookmarkStart w:id="85"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85"/>
    <w:bookmarkStart w:id="87"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86">
        <w:r>
          <w:rPr>
            <w:rStyle w:val="Hyperlink"/>
          </w:rPr>
          <w:t xml:space="preserve">https://catalog.ihsn.org/citations/91017?fbclid=IwAR06pCHPm9d6ko-uxXndkeBPGmpGgp7plCg0BQwlXNBHWh8OdHbY4B23soc</w:t>
        </w:r>
      </w:hyperlink>
    </w:p>
    <w:bookmarkEnd w:id="87"/>
    <w:bookmarkStart w:id="89"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88">
        <w:r>
          <w:rPr>
            <w:rStyle w:val="Hyperlink"/>
          </w:rPr>
          <w:t xml:space="preserve">https://CRAN.R-project.org/package=fable</w:t>
        </w:r>
      </w:hyperlink>
    </w:p>
    <w:bookmarkEnd w:id="89"/>
    <w:bookmarkStart w:id="91"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90">
        <w:r>
          <w:rPr>
            <w:rStyle w:val="Hyperlink"/>
          </w:rPr>
          <w:t xml:space="preserve">https://www.R-project.org/</w:t>
        </w:r>
      </w:hyperlink>
    </w:p>
    <w:bookmarkEnd w:id="91"/>
    <w:bookmarkStart w:id="92"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92"/>
    <w:bookmarkStart w:id="94"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93">
        <w:r>
          <w:rPr>
            <w:rStyle w:val="Hyperlink"/>
          </w:rPr>
          <w:t xml:space="preserve">https://doi.org/10.3390/agriculture13091671</w:t>
        </w:r>
      </w:hyperlink>
    </w:p>
    <w:bookmarkEnd w:id="94"/>
    <w:bookmarkStart w:id="95"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95"/>
    <w:bookmarkStart w:id="97"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96">
        <w:r>
          <w:rPr>
            <w:rStyle w:val="Hyperlink"/>
          </w:rPr>
          <w:t xml:space="preserve">https://doi.org/10.5281/ZENODO.3333529</w:t>
        </w:r>
      </w:hyperlink>
    </w:p>
    <w:bookmarkEnd w:id="97"/>
    <w:bookmarkStart w:id="99"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98">
        <w:r>
          <w:rPr>
            <w:rStyle w:val="Hyperlink"/>
          </w:rPr>
          <w:t xml:space="preserve">https://doi.org/10.1080/10618600.2019.1695624</w:t>
        </w:r>
      </w:hyperlink>
    </w:p>
    <w:bookmarkEnd w:id="99"/>
    <w:bookmarkStart w:id="101"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0">
        <w:r>
          <w:rPr>
            <w:rStyle w:val="Hyperlink"/>
          </w:rPr>
          <w:t xml:space="preserve">https://doi.org/10.21105/joss.01686</w:t>
        </w:r>
      </w:hyperlink>
    </w:p>
    <w:bookmarkEnd w:id="101"/>
    <w:bookmarkStart w:id="103"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02">
        <w:r>
          <w:rPr>
            <w:rStyle w:val="Hyperlink"/>
          </w:rPr>
          <w:t xml:space="preserve">https://doi.org/10.3390/agronomy12112680</w:t>
        </w:r>
      </w:hyperlink>
    </w:p>
    <w:bookmarkEnd w:id="103"/>
    <w:bookmarkStart w:id="105"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04">
        <w:r>
          <w:rPr>
            <w:rStyle w:val="Hyperlink"/>
          </w:rPr>
          <w:t xml:space="preserve">https://doi.org/10.3390/agriculture13030577</w:t>
        </w:r>
      </w:hyperlink>
    </w:p>
    <w:bookmarkEnd w:id="105"/>
    <w:bookmarkStart w:id="107"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06">
        <w:r>
          <w:rPr>
            <w:rStyle w:val="Hyperlink"/>
          </w:rPr>
          <w:t xml:space="preserve">https://doi.org/10.22434/IFAMR2019.0172</w:t>
        </w:r>
      </w:hyperlink>
    </w:p>
    <w:bookmarkEnd w:id="107"/>
    <w:bookmarkEnd w:id="108"/>
    <w:bookmarkEnd w:id="109"/>
    <w:sectPr w:rsidR="006F0C86"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7C97DF15"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561E0A"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22CBA" w14:textId="77777777" w:rsidR="00E5125E" w:rsidRDefault="00E5125E">
    <w:pPr>
      <w:pStyle w:val="Header"/>
      <w:jc w:val="right"/>
    </w:pPr>
  </w:p>
  <w:p w14:paraId="6BAABC73"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114CDB"/>
    <w:rsid w:val="00282BC1"/>
    <w:rsid w:val="003138E6"/>
    <w:rsid w:val="003408B0"/>
    <w:rsid w:val="00364E0C"/>
    <w:rsid w:val="0040049F"/>
    <w:rsid w:val="00542A5E"/>
    <w:rsid w:val="00605A5C"/>
    <w:rsid w:val="006861F4"/>
    <w:rsid w:val="006F0C86"/>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AA013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04" Target=" https://doi.org/10.3390/agriculture13030577" TargetMode="External" /><Relationship Type="http://schemas.openxmlformats.org/officeDocument/2006/relationships/hyperlink" Id="rId71" Target="http://bit.ly/stl1990" TargetMode="External" /><Relationship Type="http://schemas.openxmlformats.org/officeDocument/2006/relationships/hyperlink" Id="rId88" Target="https://CRAN.R-project.org/package=fable" TargetMode="External" /><Relationship Type="http://schemas.openxmlformats.org/officeDocument/2006/relationships/hyperlink" Id="rId81" Target="https://OTexts.com/fpp3" TargetMode="External" /><Relationship Type="http://schemas.openxmlformats.org/officeDocument/2006/relationships/hyperlink" Id="rId86" Target="https://catalog.ihsn.org/citations/91017?fbclid=IwAR06pCHPm9d6ko-uxXndkeBPGmpGgp7plCg0BQwlXNBHWh8OdHbY4B23soc" TargetMode="External" /><Relationship Type="http://schemas.openxmlformats.org/officeDocument/2006/relationships/hyperlink" Id="rId66" Target="https://doi.org/10.1007/978-981-99-4472-9_2" TargetMode="External" /><Relationship Type="http://schemas.openxmlformats.org/officeDocument/2006/relationships/hyperlink" Id="rId69" Target="https://doi.org/10.1016/j.future.2018.05.045" TargetMode="External" /><Relationship Type="http://schemas.openxmlformats.org/officeDocument/2006/relationships/hyperlink" Id="rId98" Target="https://doi.org/10.1080/10618600.2019.1695624" TargetMode="External" /><Relationship Type="http://schemas.openxmlformats.org/officeDocument/2006/relationships/hyperlink" Id="rId73" Target="https://doi.org/10.17352/2455-815X.000096" TargetMode="External" /><Relationship Type="http://schemas.openxmlformats.org/officeDocument/2006/relationships/hyperlink" Id="rId100" Target="https://doi.org/10.21105/joss.01686" TargetMode="External" /><Relationship Type="http://schemas.openxmlformats.org/officeDocument/2006/relationships/hyperlink" Id="rId79" Target="https://doi.org/10.2139/ssrn.4113035" TargetMode="External" /><Relationship Type="http://schemas.openxmlformats.org/officeDocument/2006/relationships/hyperlink" Id="rId106" Target="https://doi.org/10.22434/IFAMR2019.0172" TargetMode="External" /><Relationship Type="http://schemas.openxmlformats.org/officeDocument/2006/relationships/hyperlink" Id="rId93" Target="https://doi.org/10.3390/agriculture13091671" TargetMode="External" /><Relationship Type="http://schemas.openxmlformats.org/officeDocument/2006/relationships/hyperlink" Id="rId102" Target="https://doi.org/10.3390/agronomy12112680" TargetMode="External" /><Relationship Type="http://schemas.openxmlformats.org/officeDocument/2006/relationships/hyperlink" Id="rId96" Target="https://doi.org/10.5281/ZENODO.3333529" TargetMode="External" /><Relationship Type="http://schemas.openxmlformats.org/officeDocument/2006/relationships/hyperlink" Id="rId90" Target="https://www.R-project.org/" TargetMode="External" /><Relationship Type="http://schemas.openxmlformats.org/officeDocument/2006/relationships/hyperlink" Id="rId76"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04" Target=" https://doi.org/10.3390/agriculture13030577" TargetMode="External" /><Relationship Type="http://schemas.openxmlformats.org/officeDocument/2006/relationships/hyperlink" Id="rId71" Target="http://bit.ly/stl1990" TargetMode="External" /><Relationship Type="http://schemas.openxmlformats.org/officeDocument/2006/relationships/hyperlink" Id="rId88" Target="https://CRAN.R-project.org/package=fable" TargetMode="External" /><Relationship Type="http://schemas.openxmlformats.org/officeDocument/2006/relationships/hyperlink" Id="rId81" Target="https://OTexts.com/fpp3" TargetMode="External" /><Relationship Type="http://schemas.openxmlformats.org/officeDocument/2006/relationships/hyperlink" Id="rId86" Target="https://catalog.ihsn.org/citations/91017?fbclid=IwAR06pCHPm9d6ko-uxXndkeBPGmpGgp7plCg0BQwlXNBHWh8OdHbY4B23soc" TargetMode="External" /><Relationship Type="http://schemas.openxmlformats.org/officeDocument/2006/relationships/hyperlink" Id="rId66" Target="https://doi.org/10.1007/978-981-99-4472-9_2" TargetMode="External" /><Relationship Type="http://schemas.openxmlformats.org/officeDocument/2006/relationships/hyperlink" Id="rId69" Target="https://doi.org/10.1016/j.future.2018.05.045" TargetMode="External" /><Relationship Type="http://schemas.openxmlformats.org/officeDocument/2006/relationships/hyperlink" Id="rId98" Target="https://doi.org/10.1080/10618600.2019.1695624" TargetMode="External" /><Relationship Type="http://schemas.openxmlformats.org/officeDocument/2006/relationships/hyperlink" Id="rId73" Target="https://doi.org/10.17352/2455-815X.000096" TargetMode="External" /><Relationship Type="http://schemas.openxmlformats.org/officeDocument/2006/relationships/hyperlink" Id="rId100" Target="https://doi.org/10.21105/joss.01686" TargetMode="External" /><Relationship Type="http://schemas.openxmlformats.org/officeDocument/2006/relationships/hyperlink" Id="rId79" Target="https://doi.org/10.2139/ssrn.4113035" TargetMode="External" /><Relationship Type="http://schemas.openxmlformats.org/officeDocument/2006/relationships/hyperlink" Id="rId106" Target="https://doi.org/10.22434/IFAMR2019.0172" TargetMode="External" /><Relationship Type="http://schemas.openxmlformats.org/officeDocument/2006/relationships/hyperlink" Id="rId93" Target="https://doi.org/10.3390/agriculture13091671" TargetMode="External" /><Relationship Type="http://schemas.openxmlformats.org/officeDocument/2006/relationships/hyperlink" Id="rId102" Target="https://doi.org/10.3390/agronomy12112680" TargetMode="External" /><Relationship Type="http://schemas.openxmlformats.org/officeDocument/2006/relationships/hyperlink" Id="rId96" Target="https://doi.org/10.5281/ZENODO.3333529" TargetMode="External" /><Relationship Type="http://schemas.openxmlformats.org/officeDocument/2006/relationships/hyperlink" Id="rId90" Target="https://www.R-project.org/" TargetMode="External" /><Relationship Type="http://schemas.openxmlformats.org/officeDocument/2006/relationships/hyperlink" Id="rId76"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31</Pages>
  <Words>7270</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48612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2024-08-05T08:42:58Z</dcterms:created>
  <dcterms:modified xsi:type="dcterms:W3CDTF">2024-08-05T08:42:58Z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