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provided forecasts of monthly vegetable prices in Nueva Vizcaya. This effort aimed to assist them in making informed decisions regarding agricultural production, distribution, and vegetable purchases.</w:t>
      </w:r>
    </w:p>
    <w:p>
      <w:pPr>
        <w:pStyle w:val="BodyText"/>
      </w:pPr>
      <w:r>
        <w:t xml:space="preserve">To do this, the researchers used five years of available time series data on vegetable prices from the Nueva Vizcaya Agricultural Terminal (NVAT) to come up with models that forecast monthly vegetable prices in Nueva Vizcaya. First, the researchers described the monthly vegetable prices in Nueva Vizcaya. Next, they fitted models to the data using automatic methods. The researchers then determined which automatic method had the best forecast performance for each vegetable and used these methods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forecasted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methods to the monthly prices of each vegetable in Nueva Vizcaya from 2017-2023.</w:t>
      </w:r>
    </w:p>
    <w:p>
      <w:pPr>
        <w:numPr>
          <w:ilvl w:val="0"/>
          <w:numId w:val="1001"/>
        </w:numPr>
      </w:pPr>
      <w:r>
        <w:t xml:space="preserve">Evaluate the performance of these models and determine the best method to forecast monthly prices for each vegetable in Nueva Vizcaya.</w:t>
      </w:r>
    </w:p>
    <w:p>
      <w:pPr>
        <w:numPr>
          <w:ilvl w:val="0"/>
          <w:numId w:val="1001"/>
        </w:numPr>
      </w:pPr>
      <w:r>
        <w:t xml:space="preserve">Use the best method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focused on forecasting the monthly prices of vegetables in NVAT, Bambang, Nueva Vizcaya. The researchers used time series of vegetable prices for five years available from NVAT. From this data, monthly time series of prices for each vegetable were described. ARIMA, SARIMA, and ETS models were then fitted to the data using automatic algorithms and time series cross-validation to generate optimal models for each vegetable. Comparison of computed point forecast measures for the generated models determined the best automatic method to use in forecasting monthly prices for each vegetable. A portmanteau test of residuals was used to assess the performance of the models generated by the best automatic method to forecast monthly prices for each vegetable.</w:t>
      </w:r>
    </w:p>
    <w:p>
      <w:pPr>
        <w:pStyle w:val="BodyText"/>
      </w:pPr>
      <w:r>
        <w:t xml:space="preserve">The researchers performed log transformations with the data to make sure that forecasts stay positive. Model specifications were not set either, as this process was performed automatically using default settings. All computations and visualizations were performed in the R programming language</w:t>
      </w:r>
      <w:r>
        <w:t xml:space="preserve"> </w:t>
      </w:r>
      <w:r>
        <w:t xml:space="preserve">(R Core Team, 2023)</w:t>
      </w:r>
      <w:r>
        <w:t xml:space="preserve">. Moreover, external variables impacting vegetable prices were not investigated nor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outputs are ARIMA, SARIMA, and ETS models generated by the best automatic method for each vegetable, along with their corresponding monthly forecasts. Under process, time series analysis was carried out using automatic algorithms in time series cross-validation to generate different optimal ARIMA, SARIMA, and ETS models for each vegetable. From this, the best automatic method for each vegetable was determined by comparing the point forecast accuracy measures of the models generated. Also, portmanteau test of residuals was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 </w:t>
      </w:r>
      <w:r>
        <w:t xml:space="preserve">(O’Hara-Wild et al., 2023)</w:t>
      </w:r>
      <w:r>
        <w:t xml:space="preserve">.</w:t>
      </w:r>
    </w:p>
    <w:p>
      <w:pPr>
        <w:pStyle w:val="BodyText"/>
      </w:pPr>
      <w:r>
        <w:t xml:space="preserve">Moreover, time series cross-validation was used to evaluate the forecast accuracy of the automatic ARIMA method and the automatic ETS method</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method to be used in forecasting monthly vegetable prices. The method with lower point forecast accuracy measures was selected as the best method for each vegetable.</w:t>
      </w:r>
    </w:p>
    <w:p>
      <w:pPr>
        <w:pStyle w:val="BodyText"/>
      </w:pPr>
      <w:r>
        <w:t xml:space="preserve">Then, the best method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Computed p-values greater than .05 confirm that the residuals are similar to white noise. Otherwise, the residuals still have some remaining autocorrelation that is not accounted for in the model</w:t>
      </w:r>
      <w:r>
        <w:t xml:space="preserve"> </w:t>
      </w:r>
      <w:r>
        <w:t xml:space="preserve">(Hyndman &amp; Athanasopoulos, 2021)</w:t>
      </w:r>
      <w:r>
        <w:t xml:space="preserve">.</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consists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943600" cy="3657600"/>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30"/>
              <w:gridCol w:w="2004"/>
              <w:gridCol w:w="2258"/>
              <w:gridCol w:w="1871"/>
              <w:gridCol w:w="2138"/>
            </w:tblGrid>
            <w:tr>
              <w:trPr>
                <w:trHeight w:val="62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62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6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62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62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62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62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629"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for by trend not considering seasonality. On the other hand, it has a seasonal strength of 0.62, showing that 62% of the time series is accounted for by seasonality not considering trend. Its peak is in September and its trough is in January.</w:t>
      </w:r>
    </w:p>
    <w:p>
      <w:pPr>
        <w:pStyle w:val="BodyText"/>
      </w:pPr>
      <w:r>
        <w:t xml:space="preserve">The cabbage time series has a trend strength of 0.2, showing that 20% of the time series is accounted for by trend not considering seasonality. On the other hand, it has a seasonal strength of 0.18, showing that 18% of the time series is accounted for by seasonality not considering trend. Its peak is in September and its trough is in March.</w:t>
      </w:r>
    </w:p>
    <w:p>
      <w:pPr>
        <w:pStyle w:val="BodyText"/>
      </w:pPr>
      <w:r>
        <w:t xml:space="preserve">The carrot time series has a trend strength of 0.35, showing that 35% of the time series is accounted for by trend not considering seasonality. On the other hand, it has a seasonal strength of 0.4, showing that 40% of the time series is accounted for by seasonality not considering trend. Its peak is in August and its trough is in May.</w:t>
      </w:r>
    </w:p>
    <w:p>
      <w:pPr>
        <w:pStyle w:val="BodyText"/>
      </w:pPr>
      <w:r>
        <w:t xml:space="preserve">The cauliflower time series has a trend strength of 0.44, showing that 44% of the time series is accounted for by trend not considering seasonality. On the other hand, it has a seasonal strength of 0.72, showing that 72% of the time series is accounted for by seasonality not considering trend. Its peak is in August and its trough is in March.</w:t>
      </w:r>
    </w:p>
    <w:p>
      <w:pPr>
        <w:pStyle w:val="BodyText"/>
      </w:pPr>
      <w:r>
        <w:t xml:space="preserve">The celery time series has a trend strength of 0.34, showing that 34% of the time series is accounted for by trend not considering seasonality. On the other hand, it has a seasonal strength of 0.43, showing that 43% of the time series is accounted for by seasonality not considering trend. Its peak is in September and its trough is in March.</w:t>
      </w:r>
    </w:p>
    <w:p>
      <w:pPr>
        <w:pStyle w:val="BodyText"/>
      </w:pPr>
      <w:r>
        <w:t xml:space="preserve">The chayote (bunga) time series has a trend strength of 0.32, showing that 32% of the time series is accounted for by trend not considering seasonality. On the other hand, it has a seasonal strength of 0.32, showing that 32% of the time series is accounted for by seasonality not considering trend. Its peak is in September and its trough is in March.</w:t>
      </w:r>
    </w:p>
    <w:p>
      <w:pPr>
        <w:pStyle w:val="BodyText"/>
      </w:pPr>
      <w:r>
        <w:t xml:space="preserve">The cucumber time series has a trend strength of 0.37, showing that 37% of the time series is accounted for by trend not considering seasonality. On the other hand, it has a seasonal strength of 0.26, showing that 26% of the time series is accounted for by seasonality not considering trend. Its peak is in December and its trough is in July.</w:t>
      </w:r>
    </w:p>
    <w:p>
      <w:pPr>
        <w:pStyle w:val="BodyText"/>
      </w:pPr>
      <w:r>
        <w:t xml:space="preserve">The gabi (galyang) time series has a trend strength of 0.91, showing that 91% of the time series is accounted for by trend not considering seasonality. On the other hand, it has a seasonal strength of 0.55, showing that 55% of the time series is accounted for by seasonality not considering trend. Its peak is in September and its trough is in February.</w:t>
      </w:r>
    </w:p>
    <w:p>
      <w:pPr>
        <w:pStyle w:val="BodyText"/>
      </w:pPr>
      <w:r>
        <w:t xml:space="preserve">The pepper (sultan) time series has a trend strength of 0.21, showing that 21% of the time series is accounted for by trend not considering seasonality. On the other hand, it has a seasonal strength of 0.2, showing that 20% of the time series is accounted for by seasonality not considering trend. Its peak is in September and its trough is in May.</w:t>
      </w:r>
    </w:p>
    <w:p>
      <w:pPr>
        <w:pStyle w:val="BodyText"/>
      </w:pPr>
      <w:r>
        <w:t xml:space="preserve">The pepper (taiwan) time series has a trend strength of 0.26, showing that 26% of the time series is accounted for by trend not considering seasonality. On the other hand, it has a seasonal strength of 0.41, showing that 41% of the time series is accounted for by seasonality not considering trend. Its peak is in December and its trough is in April.</w:t>
      </w:r>
    </w:p>
    <w:p>
      <w:pPr>
        <w:pStyle w:val="BodyText"/>
      </w:pPr>
      <w:r>
        <w:t xml:space="preserve">The potato time series has a trend strength of 0.72, showing that 72% of the time series is accounted for by trend not considering seasonality. On the other hand, it has a seasonal strength of 0.35, showing that 35% of the time series is accounted for by seasonality not considering trend. Its peak is in October and its trough is in May.</w:t>
      </w:r>
    </w:p>
    <w:p>
      <w:pPr>
        <w:pStyle w:val="BodyText"/>
      </w:pPr>
      <w:r>
        <w:t xml:space="preserve">The wombok time series has a trend strength of 0.14, showing that 14% of the time series is accounted for by trend not considering seasonality. On the other hand, it has a seasonal strength of 0.19, showing that 19% of the time series is accounted for by seasonality not considering trend. Its peak is in September and its trough is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yielded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r>
          </w:tbl>
          <w:bookmarkEnd w:id="61"/>
        </w:tc>
      </w:tr>
    </w:tbl>
    <w:p>
      <w:pPr>
        <w:pStyle w:val="BodyText"/>
      </w:pPr>
    </w:p>
    <w:p>
      <w:pPr>
        <w:pStyle w:val="BodyText"/>
      </w:pPr>
      <w:r>
        <w:t xml:space="preserve">The automatic ARIMA method proved to be better than the automatic ETS method based on the time series cross-validation performance measures, except for gabi (galyang). The automatic ARIMA method showed higher accuracy on all performance measures for all vegetables except for gabi (galyang). The automatic ETS method also showed higher accuracy on all performance measures for gabi (galyang). Thus, the automatic ARIMA method was used to generate models and forecasts for all the vegetables except for gabi (galyang), for which automatic ETS method was used.</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943600" cy="3657600"/>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943600" cy="3657600"/>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943600" cy="3657600"/>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943600" cy="3657600"/>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943600" cy="3657600"/>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943600" cy="3657600"/>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943600" cy="3657600"/>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943600" cy="3657600"/>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943600" cy="3657600"/>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943600" cy="3657600"/>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943600" cy="3657600"/>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943600" cy="3657600"/>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 that all the ARIMA models have a large p-value but the ETS model for gabi (galyang) has a p-value less than .05. This shows that the residuals of all the ARIMA models are independently distributed. This indicates that there is no significant autocorrelation in the residuals up to 12 lags. The ARIMA models are a good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bookmarkEnd w:id="127"/>
    <w:bookmarkStart w:id="128" w:name="conclusion"/>
    <w:p>
      <w:pPr>
        <w:pStyle w:val="Heading3"/>
      </w:pPr>
      <w:r>
        <w:t xml:space="preserve">Conclusion</w:t>
      </w:r>
    </w:p>
    <w:bookmarkEnd w:id="128"/>
    <w:bookmarkStart w:id="129" w:name="recommendations"/>
    <w:p>
      <w:pPr>
        <w:pStyle w:val="Heading3"/>
      </w:pPr>
      <w:r>
        <w:t xml:space="preserve">Recommendations</w:t>
      </w:r>
    </w:p>
    <w:bookmarkEnd w:id="129"/>
    <w:bookmarkEnd w:id="130"/>
    <w:bookmarkEnd w:id="131"/>
    <w:bookmarkStart w:id="175" w:name="references"/>
    <w:p>
      <w:pPr>
        <w:pStyle w:val="Heading1"/>
      </w:pPr>
      <w:r>
        <w:t xml:space="preserve">References</w:t>
      </w:r>
    </w:p>
    <w:bookmarkStart w:id="174"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4"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4"/>
    <w:bookmarkStart w:id="146"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5">
        <w:r>
          <w:rPr>
            <w:rStyle w:val="Hyperlink"/>
          </w:rPr>
          <w:t xml:space="preserve">https://doi.org/10.2139/ssrn.4113035</w:t>
        </w:r>
      </w:hyperlink>
    </w:p>
    <w:bookmarkEnd w:id="146"/>
    <w:bookmarkStart w:id="148"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7">
        <w:r>
          <w:rPr>
            <w:rStyle w:val="Hyperlink"/>
          </w:rPr>
          <w:t xml:space="preserve">OTexts.com/fpp3</w:t>
        </w:r>
      </w:hyperlink>
    </w:p>
    <w:bookmarkEnd w:id="148"/>
    <w:bookmarkStart w:id="149"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49"/>
    <w:bookmarkStart w:id="150"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0"/>
    <w:bookmarkStart w:id="151"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1"/>
    <w:bookmarkStart w:id="153"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2">
        <w:r>
          <w:rPr>
            <w:rStyle w:val="Hyperlink"/>
          </w:rPr>
          <w:t xml:space="preserve">https://catalog.ihsn.org/citations/91017?fbclid=IwAR06pCHPm9d6ko-uxXndkeBPGmpGgp7plCg0BQwlXNBHWh8OdHbY4B23soc</w:t>
        </w:r>
      </w:hyperlink>
    </w:p>
    <w:bookmarkEnd w:id="153"/>
    <w:bookmarkStart w:id="155"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54">
        <w:r>
          <w:rPr>
            <w:rStyle w:val="Hyperlink"/>
          </w:rPr>
          <w:t xml:space="preserve">https://CRAN.R-project.org/package=fable</w:t>
        </w:r>
      </w:hyperlink>
    </w:p>
    <w:bookmarkEnd w:id="155"/>
    <w:bookmarkStart w:id="157"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56">
        <w:r>
          <w:rPr>
            <w:rStyle w:val="Hyperlink"/>
          </w:rPr>
          <w:t xml:space="preserve">https://www.R-project.org/</w:t>
        </w:r>
      </w:hyperlink>
    </w:p>
    <w:bookmarkEnd w:id="157"/>
    <w:bookmarkStart w:id="158"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58"/>
    <w:bookmarkStart w:id="160"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59">
        <w:r>
          <w:rPr>
            <w:rStyle w:val="Hyperlink"/>
          </w:rPr>
          <w:t xml:space="preserve">https://doi.org/10.3390/agriculture13091671</w:t>
        </w:r>
      </w:hyperlink>
    </w:p>
    <w:bookmarkEnd w:id="160"/>
    <w:bookmarkStart w:id="161"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1"/>
    <w:bookmarkStart w:id="163"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2">
        <w:r>
          <w:rPr>
            <w:rStyle w:val="Hyperlink"/>
          </w:rPr>
          <w:t xml:space="preserve">https://doi.org/10.5281/ZENODO.3333529</w:t>
        </w:r>
      </w:hyperlink>
    </w:p>
    <w:bookmarkEnd w:id="163"/>
    <w:bookmarkStart w:id="165"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64">
        <w:r>
          <w:rPr>
            <w:rStyle w:val="Hyperlink"/>
          </w:rPr>
          <w:t xml:space="preserve">https://doi.org/10.1080/10618600.2019.1695624</w:t>
        </w:r>
      </w:hyperlink>
    </w:p>
    <w:bookmarkEnd w:id="165"/>
    <w:bookmarkStart w:id="167"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66">
        <w:r>
          <w:rPr>
            <w:rStyle w:val="Hyperlink"/>
          </w:rPr>
          <w:t xml:space="preserve">https://doi.org/10.21105/joss.01686</w:t>
        </w:r>
      </w:hyperlink>
    </w:p>
    <w:bookmarkEnd w:id="167"/>
    <w:bookmarkStart w:id="169"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68">
        <w:r>
          <w:rPr>
            <w:rStyle w:val="Hyperlink"/>
          </w:rPr>
          <w:t xml:space="preserve">https://doi.org/10.3390/agronomy12112680</w:t>
        </w:r>
      </w:hyperlink>
    </w:p>
    <w:bookmarkEnd w:id="169"/>
    <w:bookmarkStart w:id="171"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0">
        <w:r>
          <w:rPr>
            <w:rStyle w:val="Hyperlink"/>
          </w:rPr>
          <w:t xml:space="preserve">https://doi.org/10.3390/agriculture13030577</w:t>
        </w:r>
      </w:hyperlink>
    </w:p>
    <w:bookmarkEnd w:id="171"/>
    <w:bookmarkStart w:id="173"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72">
        <w:r>
          <w:rPr>
            <w:rStyle w:val="Hyperlink"/>
          </w:rPr>
          <w:t xml:space="preserve">https://doi.org/10.22434/IFAMR2019.0172</w:t>
        </w:r>
      </w:hyperlink>
    </w:p>
    <w:bookmarkEnd w:id="173"/>
    <w:bookmarkEnd w:id="174"/>
    <w:bookmarkEnd w:id="175"/>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70" Target="https://doi.org/10.3390/agriculture13030577"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70" Target="https://doi.org/10.3390/agriculture13030577"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2024-08-07T01:23:07Z</dcterms:created>
  <dcterms:modified xsi:type="dcterms:W3CDTF">2024-08-07T01:23:07Z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