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5.png" ContentType="image/png"/>
  <Override PartName="/word/media/rId43.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r>
        <w:t xml:space="preserve"> </w:t>
      </w:r>
      <w:r>
        <w:t xml:space="preserve">in</w:t>
      </w:r>
      <w:r>
        <w:t xml:space="preserve"> </w:t>
      </w:r>
      <w:r>
        <w:t xml:space="preserve">the</w:t>
      </w:r>
      <w:r>
        <w:t xml:space="preserve"> </w:t>
      </w:r>
      <w:r>
        <w:t xml:space="preserve">Province</w:t>
      </w:r>
      <w:r>
        <w:t xml:space="preserve"> </w:t>
      </w:r>
      <w:r>
        <w:t xml:space="preserve">of</w:t>
      </w:r>
      <w:r>
        <w:t xml:space="preserve"> </w:t>
      </w:r>
      <w:r>
        <w:t xml:space="preserve">Nueva</w:t>
      </w:r>
      <w:r>
        <w:t xml:space="preserve"> </w:t>
      </w:r>
      <w:r>
        <w:t xml:space="preserve">Vizcaya</w:t>
      </w:r>
    </w:p>
    <w:p>
      <w:pPr>
        <w:pStyle w:val="Author"/>
      </w:pPr>
      <w:r>
        <w:t xml:space="preserve">Jaime</w:t>
      </w:r>
      <w:r>
        <w:t xml:space="preserve"> </w:t>
      </w:r>
      <w:r>
        <w:t xml:space="preserve">Neil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bookmarkStart w:id="32" w:name="chapter-i"/>
    <w:p>
      <w:pPr>
        <w:pStyle w:val="Heading1"/>
      </w:pPr>
      <w:r>
        <w:t xml:space="preserve">Chapter I</w:t>
      </w:r>
    </w:p>
    <w:bookmarkStart w:id="31"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demand for vegetables as a primary source of essential nutrients and dietary variety has increased concomitantly with urbanization and global population growth. Consequently, the dynamics of vegetable pricing have grown more intricate and significant, having an effect not just on consumer choices but also on food security, economic stability, and agricultural practices.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r>
        <w:t xml:space="preserve"> </w:t>
      </w:r>
      <w:r>
        <w:t xml:space="preserve">(Chen et al., 2018)</w:t>
      </w:r>
      <w:r>
        <w:t xml:space="preserve">.</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w:t>
      </w:r>
      <w:r>
        <w:t xml:space="preserve"> </w:t>
      </w:r>
      <w:r>
        <w:t xml:space="preserve">(Mchopa et al., 2014)</w:t>
      </w:r>
      <w:r>
        <w:t xml:space="preserve">.</w:t>
      </w:r>
    </w:p>
    <w:p>
      <w:pPr>
        <w:pStyle w:val="BodyText"/>
      </w:pPr>
      <w:r>
        <w:t xml:space="preserve">According to</w:t>
      </w:r>
      <w:r>
        <w:t xml:space="preserve"> </w:t>
      </w:r>
      <w:r>
        <w:rPr>
          <w:iCs/>
          <w:i/>
        </w:rPr>
        <w:t xml:space="preserve">FAOSTAT</w:t>
      </w:r>
      <w:r>
        <w:t xml:space="preserve"> </w:t>
      </w:r>
      <w:r>
        <w:t xml:space="preserve">(n.d.)</w:t>
      </w:r>
      <w:r>
        <w:t xml:space="preserve">,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 supply of agricultural items raises prices and burdens consumers, an oversupply of agricultural products causes vegetable prices to increase and causes financial losses to farming households.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 (Ocampo, 2021)</w:t>
      </w:r>
    </w:p>
    <w:p>
      <w:pPr>
        <w:pStyle w:val="BodyText"/>
      </w:pPr>
      <w:r>
        <w:t xml:space="preserve">As stated by</w:t>
      </w:r>
      <w:r>
        <w:t xml:space="preserve"> </w:t>
      </w:r>
      <w:r>
        <w:t xml:space="preserve">Vibas &amp; Raqueño (2019)</w:t>
      </w:r>
      <w:r>
        <w:t xml:space="preserve">,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(NVAT)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Vegetable prices in Nueva Vizcaya is volatile. Consumers are having hard time to provide necessities due to this reason. This study will forecast monthly vegetable prices in Nueva Vizcaya to serve as guide to consumers directly affected by the problem.</w:t>
      </w:r>
    </w:p>
    <w:bookmarkEnd w:id="20"/>
    <w:bookmarkStart w:id="21" w:name="statement-of-the-problem"/>
    <w:p>
      <w:pPr>
        <w:pStyle w:val="Heading3"/>
      </w:pPr>
      <w:r>
        <w:t xml:space="preserve">Statement of the Problem</w:t>
      </w:r>
    </w:p>
    <w:p>
      <w:pPr>
        <w:pStyle w:val="FirstParagraph"/>
      </w:pPr>
      <w:r>
        <w:t xml:space="preserve">In response to the problem of volatile vegetable prices faced by local farmers, distributors, and consumers, the researchers will provide forecasts of monthly vegetable prices in Nueva Vizcaya. This will assist them in making informed decisions regarding agricultural production, distribution, and vegetable purchases.</w:t>
      </w:r>
    </w:p>
    <w:p>
      <w:pPr>
        <w:pStyle w:val="BodyText"/>
      </w:pPr>
      <w:r>
        <w:t xml:space="preserve">To do this, the researchers will use available time series of vegetable prices from the Nueva Vizcaya Agricultural Terminal (NVAT) to come up with models that will forecast monthly vegetable prices in Nueva Vizcaya. First, the researchers will define and describe the monthly vegetable prices in Nueva Vizcaya. Next, the researchers will fit models to the data. The researchers will then determine which model has the the best forecast performance for each vegetable and then them to forecast monthly vegetable prices in Nueva Vizcaya.</w:t>
      </w:r>
    </w:p>
    <w:bookmarkEnd w:id="21"/>
    <w:bookmarkStart w:id="22" w:name="objectives-of-the-study"/>
    <w:p>
      <w:pPr>
        <w:pStyle w:val="Heading3"/>
      </w:pPr>
      <w:r>
        <w:t xml:space="preserve">Objectives of the Study</w:t>
      </w:r>
    </w:p>
    <w:p>
      <w:pPr>
        <w:pStyle w:val="FirstParagraph"/>
      </w:pPr>
      <w:r>
        <w:t xml:space="preserve">The researchers will forecast monthly vegetable prices in Nueva Vizcaya by accomplishing the following:</w:t>
      </w:r>
    </w:p>
    <w:p>
      <w:pPr>
        <w:numPr>
          <w:ilvl w:val="0"/>
          <w:numId w:val="1001"/>
        </w:numPr>
      </w:pPr>
      <w:r>
        <w:t xml:space="preserve">Define and describe the monthly prices for each vegetable in Nueva Vizcaya.</w:t>
      </w:r>
    </w:p>
    <w:p>
      <w:pPr>
        <w:numPr>
          <w:ilvl w:val="0"/>
          <w:numId w:val="1001"/>
        </w:numPr>
      </w:pPr>
      <w:r>
        <w:t xml:space="preserve">Identify the best AutoRegressive Integrated Moving Average (ARIMA) model and Exponential Smoothing (ETS) model for forecasting monthly prices for each vegetable in Nueva Vizcaya.</w:t>
      </w:r>
    </w:p>
    <w:p>
      <w:pPr>
        <w:numPr>
          <w:ilvl w:val="0"/>
          <w:numId w:val="1001"/>
        </w:numPr>
      </w:pPr>
      <w:r>
        <w:t xml:space="preserve">Determine the better model between ARIMA and ETS for forecasting monthly prices for each vegetable in Nueva Vizcaya.</w:t>
      </w:r>
    </w:p>
    <w:p>
      <w:pPr>
        <w:numPr>
          <w:ilvl w:val="0"/>
          <w:numId w:val="1001"/>
        </w:numPr>
      </w:pPr>
      <w:r>
        <w:t xml:space="preserve">Forecast monthly prices for each vegetable in Nueva Vizcaya using the better model ARIMA and ETS.</w:t>
      </w:r>
    </w:p>
    <w:bookmarkEnd w:id="22"/>
    <w:bookmarkStart w:id="23" w:name="significance-of-the-study"/>
    <w:p>
      <w:pPr>
        <w:pStyle w:val="Heading3"/>
      </w:pPr>
      <w:r>
        <w:t xml:space="preserve">Significance of the Study</w:t>
      </w:r>
    </w:p>
    <w:p>
      <w:pPr>
        <w:pStyle w:val="FirstParagraph"/>
      </w:pPr>
      <w:r>
        <w:t xml:space="preserve">This study is focused on forecasting monthly vegetable prices in Nueva Vizcaya. The results of the study will be beneficial to the following:</w:t>
      </w:r>
    </w:p>
    <w:p>
      <w:pPr>
        <w:pStyle w:val="BodyText"/>
      </w:pPr>
      <w:r>
        <w:rPr>
          <w:bCs/>
          <w:b/>
        </w:rPr>
        <w:t xml:space="preserve">Department of Agriculture.</w:t>
      </w:r>
      <w:r>
        <w:t xml:space="preserve"> </w:t>
      </w:r>
      <w:r>
        <w:t xml:space="preserve">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Cs/>
          <w:b/>
        </w:rPr>
        <w:t xml:space="preserve">Local Farmers.</w:t>
      </w:r>
      <w:r>
        <w:t xml:space="preserve"> </w:t>
      </w:r>
      <w:r>
        <w:t xml:space="preserve">This research would be beneficial to the local farmers. It will provide them with valuable insights into future vegetable price trends. Accurate price forecasts will enable farmers to plan their planting and harvesting schedules efficiently, reduce wastage, and optimize their crop yields, ultimately leading to improved income stability and sustainable agricultural practices.</w:t>
      </w:r>
    </w:p>
    <w:p>
      <w:pPr>
        <w:pStyle w:val="BodyText"/>
      </w:pPr>
      <w:r>
        <w:rPr>
          <w:bCs/>
          <w:b/>
        </w:rPr>
        <w:t xml:space="preserve">Vendors.</w:t>
      </w:r>
      <w:r>
        <w:t xml:space="preserve"> </w:t>
      </w:r>
      <w:r>
        <w:t xml:space="preserve">This research would be beneficial to vendors in Nueva Vizcaya’s vegetable markets. With reliable vegetable price forecasts, they can make informed purchasing decisions, maintain competitive prices, and increase profit margins. This, in turn, fosters a more stable and profitable business environment for vendors.</w:t>
      </w:r>
    </w:p>
    <w:p>
      <w:pPr>
        <w:pStyle w:val="BodyText"/>
      </w:pPr>
      <w:r>
        <w:rPr>
          <w:bCs/>
          <w:b/>
        </w:rPr>
        <w:t xml:space="preserve">Consumers.</w:t>
      </w:r>
      <w:r>
        <w:t xml:space="preserve"> </w:t>
      </w:r>
      <w:r>
        <w:t xml:space="preserve">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Cs/>
          <w:b/>
        </w:rPr>
        <w:t xml:space="preserve">Future Entrepreneurs.</w:t>
      </w:r>
      <w:r>
        <w:t xml:space="preserve"> </w:t>
      </w:r>
      <w:r>
        <w:t xml:space="preserve">This research would be beneficial to future entrepreneurs as they want to enter the vegetable market in Nueva Vizcaya. They can use the results of this study to make informed business decisions. This information helps develop market entry strategies, inventory management strategies, and pricing strategies to reduce the risks associated with launching a new business.</w:t>
      </w:r>
    </w:p>
    <w:p>
      <w:pPr>
        <w:pStyle w:val="BodyText"/>
      </w:pPr>
      <w:r>
        <w:rPr>
          <w:bCs/>
          <w:b/>
        </w:rPr>
        <w:t xml:space="preserve">Business Owners.</w:t>
      </w:r>
      <w:r>
        <w:t xml:space="preserve"> </w:t>
      </w:r>
      <w:r>
        <w:t xml:space="preserve">This research would be beneficial to business owners in Nueva Vizcaya, whether they are in the agricultural sector or the retail and distribution sector. They can leverage predictive insights to optimize their supply chain operations. Improved supply chain efficiency can lead to cost savings and increased profitability.</w:t>
      </w:r>
    </w:p>
    <w:p>
      <w:pPr>
        <w:pStyle w:val="BodyText"/>
      </w:pPr>
      <w:r>
        <w:rPr>
          <w:bCs/>
          <w:b/>
        </w:rPr>
        <w:t xml:space="preserve">Future Researchers.</w:t>
      </w:r>
      <w:r>
        <w:t xml:space="preserve"> </w:t>
      </w:r>
      <w:r>
        <w:t xml:space="preserve">This research serves as a valuable foundation for future researchers interested in agricultural economics, market dynamics, and forecasting methodologies. It provides a benchmark data set and insights that can be expanded upon and refined in subsequent research efforts, contributing to the continuous advancement of agricultural forecasting and market analysis.</w:t>
      </w:r>
    </w:p>
    <w:bookmarkEnd w:id="23"/>
    <w:bookmarkStart w:id="24" w:name="scope-and-delimitation-of-the-study"/>
    <w:p>
      <w:pPr>
        <w:pStyle w:val="Heading3"/>
      </w:pPr>
      <w:r>
        <w:t xml:space="preserve">Scope and Delimitation of the Study</w:t>
      </w:r>
    </w:p>
    <w:p>
      <w:pPr>
        <w:pStyle w:val="FirstParagraph"/>
      </w:pPr>
      <w:r>
        <w:t xml:space="preserve">The study will focus forecasting the monthly prices of vegetables in the NVAT, Bambang, Nueva Vizcaya, for the years 2013 to 2023. The researchers decided that the Box and Jenkins models were the best strategy for forecasting monthly prices of vegetables in NVAT, Bambang, Nueva Vizcaya. However, it is vital to highlight that the study’s findings and conclusions are limited to this specific locale, the vegetables, and the timeframe mentioned. Alternative forecasting methodologies and external variables impacting vegetable prices are not investigated in this study. As a result, the findings should be regarded with caution and applied exclusively within the defined boundaries of NVAT, Bambang, Nueva Vizcaya, and the chosen vegetables during the specified study period.</w:t>
      </w:r>
    </w:p>
    <w:bookmarkEnd w:id="24"/>
    <w:bookmarkStart w:id="29" w:name="conceptual-framework"/>
    <w:p>
      <w:pPr>
        <w:pStyle w:val="Heading3"/>
      </w:pPr>
      <w:r>
        <w:t xml:space="preserve">Conceptual Framework</w:t>
      </w:r>
    </w:p>
    <w:p>
      <w:pPr>
        <w:pStyle w:val="FirstParagraph"/>
      </w:pPr>
      <w:r>
        <w:t xml:space="preserve">The research paradigm as shown in</w:t>
      </w:r>
      <w:r>
        <w:t xml:space="preserve"> </w:t>
      </w:r>
      <w:hyperlink w:anchor="fig-rp">
        <w:r>
          <w:rPr>
            <w:rStyle w:val="Hyperlink"/>
          </w:rPr>
          <w:t xml:space="preserve">Figure 1</w:t>
        </w:r>
      </w:hyperlink>
      <w:r>
        <w:t xml:space="preserve"> </w:t>
      </w:r>
      <w:r>
        <w:t xml:space="preserve">will guide the researchers in conducting the study. It consists of input, process, and output. The input will be the available time series of vegetable prices from NVAT. The output will be ARIMA and/or ETS models and their corresponding monthly forecasts. Under process, automatic algorithms will determine the best ARIMA and ETS models. From this, the better model will be determined using time series cross-validation; comparing their point forecast accuracy measures.</w:t>
      </w:r>
    </w:p>
    <w:tbl>
      <w:tblPr>
        <w:tblStyle w:val="Table"/>
        <w:tblW w:type="pct" w:w="5000"/>
        <w:tblLook w:firstRow="0" w:lastRow="0" w:firstColumn="0" w:lastColumn="0" w:noHBand="0" w:noVBand="0" w:val="0000"/>
        <w:jc w:val="start"/>
      </w:tblPr>
      <w:tblGrid>
        <w:gridCol w:w="7920"/>
      </w:tblGrid>
      <w:tr>
        <w:tc>
          <w:tcPr/>
          <w:bookmarkStart w:id="28" w:name="fig-rp"/>
          <w:p>
            <w:pPr>
              <w:jc w:val="center"/>
            </w:pPr>
            <w:r>
              <w:drawing>
                <wp:inline>
                  <wp:extent cx="5715000" cy="1542379"/>
                  <wp:effectExtent b="0" l="0" r="0" t="0"/>
                  <wp:docPr descr="" title="" id="26" name="Picture"/>
                  <a:graphic>
                    <a:graphicData uri="http://schemas.openxmlformats.org/drawingml/2006/picture">
                      <pic:pic>
                        <pic:nvPicPr>
                          <pic:cNvPr descr="pictures/rp.png" id="27" name="Picture"/>
                          <pic:cNvPicPr>
                            <a:picLocks noChangeArrowheads="1" noChangeAspect="1"/>
                          </pic:cNvPicPr>
                        </pic:nvPicPr>
                        <pic:blipFill>
                          <a:blip r:embed="rId25"/>
                          <a:stretch>
                            <a:fillRect/>
                          </a:stretch>
                        </pic:blipFill>
                        <pic:spPr bwMode="auto">
                          <a:xfrm>
                            <a:off x="0" y="0"/>
                            <a:ext cx="5715000" cy="15423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Research Paradigm</w:t>
            </w:r>
          </w:p>
          <w:bookmarkEnd w:id="28"/>
        </w:tc>
      </w:tr>
    </w:tbl>
    <w:bookmarkEnd w:id="29"/>
    <w:bookmarkStart w:id="30" w:name="definition-of-terms"/>
    <w:p>
      <w:pPr>
        <w:pStyle w:val="Heading3"/>
      </w:pPr>
      <w:r>
        <w:t xml:space="preserve">Definition of Terms</w:t>
      </w:r>
    </w:p>
    <w:p>
      <w:pPr>
        <w:pStyle w:val="FirstParagraph"/>
      </w:pPr>
      <w:r>
        <w:rPr>
          <w:bCs/>
          <w:b/>
        </w:rPr>
        <w:t xml:space="preserve">ARIMA (AutoRegressive Integrated Moving Average)</w:t>
      </w:r>
      <w:r>
        <w:t xml:space="preserve">. ARIMA is a popular time series forecasting model that combines autoregressive (AR) and moving average (MA) components with differencing to make a time series stationary. It is used for modeling and forecasting univariate time series data.</w:t>
      </w:r>
    </w:p>
    <w:p>
      <w:pPr>
        <w:pStyle w:val="BodyText"/>
      </w:pPr>
      <w:r>
        <w:rPr>
          <w:bCs/>
          <w:b/>
        </w:rPr>
        <w:t xml:space="preserve">Best Fit Model</w:t>
      </w:r>
      <w:r>
        <w:t xml:space="preserve">. The best fit model is the statistical or mathematical model that most accurately describes and predicts the patterns and trends within a given time series. It is selected based on criteria like RMSE, AIC, BIC, or other statistical measures.</w:t>
      </w:r>
    </w:p>
    <w:p>
      <w:pPr>
        <w:pStyle w:val="BodyText"/>
      </w:pPr>
      <w:r>
        <w:rPr>
          <w:bCs/>
          <w:b/>
        </w:rPr>
        <w:t xml:space="preserve">Exponential Smoothing</w:t>
      </w:r>
      <w:r>
        <w:t xml:space="preserve">. Is a time series forecasting method for univariate data that can be extended to support data with a systematic trend or seasonal component. It is a powerful forecasting method that may be used as an alternative to the popular Box-Jenkins ARIMA family of methods.</w:t>
      </w:r>
    </w:p>
    <w:p>
      <w:pPr>
        <w:pStyle w:val="BodyText"/>
      </w:pPr>
      <w:r>
        <w:rPr>
          <w:bCs/>
          <w:b/>
        </w:rPr>
        <w:t xml:space="preserve">Forecasting</w:t>
      </w:r>
      <w:r>
        <w:t xml:space="preserve">. Is the process of making predictions or estimates about future values or events based on historical data and patterns. It is widely used in various fields, including economics, finance, and weather prediction.</w:t>
      </w:r>
    </w:p>
    <w:p>
      <w:pPr>
        <w:pStyle w:val="BodyText"/>
      </w:pPr>
      <w:r>
        <w:rPr>
          <w:bCs/>
          <w:b/>
        </w:rPr>
        <w:t xml:space="preserve">Inflation</w:t>
      </w:r>
      <w:r>
        <w:t xml:space="preserve">. It refers to a broad rise in the prices of goods and services across the economy over time, eroding purchasing power for both consumers and businesses.</w:t>
      </w:r>
    </w:p>
    <w:p>
      <w:pPr>
        <w:pStyle w:val="BodyText"/>
      </w:pPr>
      <w:r>
        <w:rPr>
          <w:bCs/>
          <w:b/>
        </w:rPr>
        <w:t xml:space="preserve">The Nueva Vizcaya Agricultural Terminal (NVAT), Philippines</w:t>
      </w:r>
      <w:r>
        <w:t xml:space="preserve">. NVAT is a mixed capital public-private joint venture established in Nueva Vizcaya in 2004 to address problems such as lack of markets and keen market competition.</w:t>
      </w:r>
    </w:p>
    <w:p>
      <w:pPr>
        <w:pStyle w:val="BodyText"/>
      </w:pPr>
      <w:r>
        <w:rPr>
          <w:bCs/>
          <w:b/>
        </w:rPr>
        <w:t xml:space="preserve">Root Mean Squared Error (RMSE)</w:t>
      </w:r>
      <w:r>
        <w:t xml:space="preserve">. RMSE is a measure of the average deviation between the values predicted by a model or forecast and the actual observed values in a time series. It quantifies the accuracy of a predictive model, with lower values indicating better predictive performance.</w:t>
      </w:r>
    </w:p>
    <w:p>
      <w:pPr>
        <w:pStyle w:val="BodyText"/>
      </w:pPr>
      <w:r>
        <w:rPr>
          <w:bCs/>
          <w:b/>
        </w:rPr>
        <w:t xml:space="preserve">SARIMA (Seasonal AutoRegressive Integrated Moving Average)</w:t>
      </w:r>
      <w:r>
        <w:t xml:space="preserve">. SARIMA is an extension of the ARIMA model that includes seasonal components to account for seasonality in time series data. It is particularly useful for data with recurring seasonal patterns.</w:t>
      </w:r>
    </w:p>
    <w:p>
      <w:pPr>
        <w:pStyle w:val="BodyText"/>
      </w:pPr>
      <w:r>
        <w:rPr>
          <w:bCs/>
          <w:b/>
        </w:rPr>
        <w:t xml:space="preserve">Time Series</w:t>
      </w:r>
      <w:r>
        <w:t xml:space="preserve">. A time series is a sequence of data points collected or recorded at specific time intervals. It is used to analyze and predict trends, patterns, and behavior over time.</w:t>
      </w:r>
    </w:p>
    <w:p>
      <w:pPr>
        <w:pStyle w:val="BodyText"/>
      </w:pPr>
      <w:r>
        <w:rPr>
          <w:bCs/>
          <w:b/>
        </w:rPr>
        <w:t xml:space="preserve">Vegetable Price</w:t>
      </w:r>
      <w:r>
        <w:t xml:space="preserve">. Vegetable price refers to the cost or price at which vegetables are bought or sold in a market or region. It is a key indicator in economics and agriculture, reflecting supply and demand dynamics.</w:t>
      </w:r>
    </w:p>
    <w:bookmarkEnd w:id="30"/>
    <w:bookmarkEnd w:id="31"/>
    <w:bookmarkEnd w:id="32"/>
    <w:bookmarkStart w:id="34" w:name="chapter-ii"/>
    <w:p>
      <w:pPr>
        <w:pStyle w:val="Heading1"/>
      </w:pPr>
      <w:r>
        <w:t xml:space="preserve">Chapter II</w:t>
      </w:r>
    </w:p>
    <w:bookmarkStart w:id="33" w:name="review-of-related-literature"/>
    <w:p>
      <w:pPr>
        <w:pStyle w:val="Heading2"/>
      </w:pPr>
      <w:r>
        <w:t xml:space="preserve">REVIEW OF RELATED LITERATURE</w:t>
      </w:r>
    </w:p>
    <w:p>
      <w:pPr>
        <w:pStyle w:val="FirstParagraph"/>
      </w:pPr>
      <w:r>
        <w:rPr>
          <w:bCs/>
          <w:b/>
        </w:rPr>
        <w:t xml:space="preserve">Vegetable</w:t>
      </w:r>
    </w:p>
    <w:p>
      <w:pPr>
        <w:pStyle w:val="BodyText"/>
      </w:pPr>
      <w:r>
        <w:t xml:space="preserve">The term</w:t>
      </w:r>
      <w:r>
        <w:t xml:space="preserve"> </w:t>
      </w:r>
      <w:r>
        <w:t xml:space="preserve">“</w:t>
      </w:r>
      <w:r>
        <w:t xml:space="preserve">vegetable</w:t>
      </w:r>
      <w:r>
        <w:t xml:space="preserve">”</w:t>
      </w:r>
      <w:r>
        <w:t xml:space="preserve"> </w:t>
      </w:r>
      <w:r>
        <w:t xml:space="preserve">typically refers to the living, edible components of some herbaceous plants, such as their roots, stems, leaves, flowers, fruit, or seeds. These plant components are eaten raw or cooked in a number of ways, primarily as a savory dish rather than a dessert. Vegetables are low in calories, include more than 70% water, only have a little amount of protein (about 3.5%), and less than 1% fat. These are a good source of minerals like calcium and iron as well as vitamins like A and C. Almost all vegetables are rich in dietary fiber and antioxidants</w:t>
      </w:r>
      <w:r>
        <w:t xml:space="preserve"> </w:t>
      </w:r>
      <w:r>
        <w:t xml:space="preserve">(Petruzzello, 2023)</w:t>
      </w:r>
      <w:r>
        <w:t xml:space="preserve">.</w:t>
      </w:r>
    </w:p>
    <w:p>
      <w:pPr>
        <w:pStyle w:val="BodyText"/>
      </w:pPr>
      <w:r>
        <w:t xml:space="preserve">Vegetables have various types, and these include cabbage, stalk vegetables, leafy vegetables, salad greens, vegetable fruits, bulbs, mushrooms, tubers, and specialty vegetables. Stalk vegetables are made from cellulose-rich plant stalks, whereas cabbage vegetables are those grown for their heads, leaves, or flowers. Among the salad greens grown for their edible leaves are endives, lettuce stems, edible pods, and immature shoots. Additionally, specialty vegetables, tubers, and fungi are included in this categorization (Rajak, 2023).</w:t>
      </w:r>
    </w:p>
    <w:p>
      <w:pPr>
        <w:pStyle w:val="BodyText"/>
      </w:pPr>
      <w:r>
        <w:t xml:space="preserve">Vegetables are full of essential vitamins, minerals, and antioxidants that provide many important health benefits to your body. For instance, carrots are known for being very high in vitamin A, which plays an important role in eye health, as you grow older.</w:t>
      </w:r>
    </w:p>
    <w:p>
      <w:pPr>
        <w:pStyle w:val="BodyText"/>
      </w:pPr>
      <w:r>
        <w:t xml:space="preserve">Vegetables also offer many other health benefits like:</w:t>
      </w:r>
    </w:p>
    <w:p>
      <w:pPr>
        <w:pStyle w:val="BodyText"/>
      </w:pPr>
      <w:r>
        <w:rPr>
          <w:bCs/>
          <w:b/>
        </w:rPr>
        <w:t xml:space="preserve">1. Improved Digestive Health</w:t>
      </w:r>
    </w:p>
    <w:p>
      <w:pPr>
        <w:pStyle w:val="BodyText"/>
      </w:pPr>
      <w:r>
        <w:t xml:space="preserve">Vegetables are a good source of dietary fiber, a type of carbohydrate that helps pass food through your digestive system. Studies show that fiber may also improve vitamin and mineral absorption in the body, which could potentially raise your daily energy levels.</w:t>
      </w:r>
    </w:p>
    <w:p>
      <w:pPr>
        <w:pStyle w:val="BodyText"/>
      </w:pPr>
      <w:r>
        <w:rPr>
          <w:bCs/>
          <w:b/>
        </w:rPr>
        <w:t xml:space="preserve">2. Lower Blood Pressure</w:t>
      </w:r>
    </w:p>
    <w:p>
      <w:pPr>
        <w:pStyle w:val="BodyText"/>
      </w:pPr>
      <w:r>
        <w:t xml:space="preserve">Many green leafy vegetables like kale, spinach, and chard contain potassium. Potassium helps your kidneys filter sodium out of your body more efficiently, which can reduce your blood pressure.</w:t>
      </w:r>
    </w:p>
    <w:p>
      <w:pPr>
        <w:pStyle w:val="BodyText"/>
      </w:pPr>
      <w:r>
        <w:rPr>
          <w:bCs/>
          <w:b/>
        </w:rPr>
        <w:t xml:space="preserve">3. Lower Risk of Heart Disease</w:t>
      </w:r>
    </w:p>
    <w:p>
      <w:pPr>
        <w:pStyle w:val="BodyText"/>
      </w:pPr>
      <w:r>
        <w:t xml:space="preserve">Green leafy vegetables also contain vitamin K, which is believed to prevent calcium from building up in your arteries. This can lower your risk of arterial damage and help prevent many heart health complications in the future.</w:t>
      </w:r>
    </w:p>
    <w:p>
      <w:pPr>
        <w:pStyle w:val="BodyText"/>
      </w:pPr>
      <w:r>
        <w:rPr>
          <w:bCs/>
          <w:b/>
        </w:rPr>
        <w:t xml:space="preserve">4. Diabetes Control</w:t>
      </w:r>
    </w:p>
    <w:p>
      <w:pPr>
        <w:pStyle w:val="BodyText"/>
      </w:pPr>
      <w:r>
        <w:t xml:space="preserve">Vegetables are particularly high in fiber, which is needed for optimal digestion. They have a low glycemic index, so your blood sugar won’t rise quickly after a meal. The American Diabetes Association recommends at least 3 to 5 servings per day of non-starchy vegetables like broccoli, carrots, or cauliflower.</w:t>
      </w:r>
    </w:p>
    <w:p>
      <w:pPr>
        <w:pStyle w:val="BodyText"/>
      </w:pPr>
      <w:r>
        <w:rPr>
          <w:bCs/>
          <w:b/>
        </w:rPr>
        <w:t xml:space="preserve">5. Nutrition</w:t>
      </w:r>
    </w:p>
    <w:p>
      <w:pPr>
        <w:pStyle w:val="BodyText"/>
      </w:pPr>
      <w:r>
        <w:t xml:space="preserve">Vegetables are a rich source of folate, a B vitamin that helps your body make new red blood cells. Folate is especially important for children’s health and may also reduce the risk of cancer and depression.</w:t>
      </w:r>
    </w:p>
    <w:p>
      <w:pPr>
        <w:pStyle w:val="BodyText"/>
      </w:pPr>
      <w:r>
        <w:t xml:space="preserve">The World Health Organization (WHO) recommends that adults eat at least 400g, or 5 portions, of fruit and vegetables (excluding potatoes, sweet potatoes and other starchy roots) per day to reduce the risk of disease. This number of fruits and vegetables also ensures adequate fiber intake and can also reduce total sugar intake. A national nutrition survey conducted by the Australian Government showed only 6.8% of Australians eat the recommended number of vegetables, whilst just over half (54%) met the recommendations for usual serves of fruit (Fruit and Vegetables, n.d.).</w:t>
      </w:r>
    </w:p>
    <w:p>
      <w:pPr>
        <w:pStyle w:val="BodyText"/>
      </w:pPr>
      <w:r>
        <w:rPr>
          <w:bCs/>
          <w:b/>
        </w:rPr>
        <w:t xml:space="preserve">Vegetable Prices</w:t>
      </w:r>
    </w:p>
    <w:p>
      <w:pPr>
        <w:pStyle w:val="BodyText"/>
      </w:pPr>
      <w:r>
        <w:t xml:space="preserve">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 (Illankoon &amp; Kumara, 2020).</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 (IStudj on Vegetable Price Fluctuation and Its Impact in Guangxi - ProQuest, n.d.).</w:t>
      </w:r>
    </w:p>
    <w:p>
      <w:pPr>
        <w:pStyle w:val="BodyText"/>
      </w:pPr>
      <w:r>
        <w:t xml:space="preserve">In the Philippines, sustainable soil nutrient-enhancing strategies involve the wise use and management of inorganic and organic nutrient sources in ecologically sound production systems (Janssen, 1993).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w:t>
      </w:r>
      <w:r>
        <w:t xml:space="preserve"> </w:t>
      </w:r>
      <w:r>
        <w:t xml:space="preserve">(</w:t>
      </w:r>
      <w:r>
        <w:rPr>
          <w:bCs/>
          <w:b/>
        </w:rPr>
        <w:t xml:space="preserve">luebbers98?</w:t>
      </w:r>
      <w:r>
        <w:t xml:space="preserve">)</w:t>
      </w:r>
      <w:r>
        <w:t xml:space="preserve">.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w:t>
      </w:r>
      <w:r>
        <w:t xml:space="preserve"> </w:t>
      </w:r>
      <w:r>
        <w:t xml:space="preserve">(Tulin et al., 2019)</w:t>
      </w:r>
      <w:r>
        <w:t xml:space="preserve">.</w:t>
      </w:r>
    </w:p>
    <w:p>
      <w:pPr>
        <w:pStyle w:val="BodyText"/>
      </w:pPr>
      <w:r>
        <w:t xml:space="preserve">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w:t>
      </w:r>
      <w:r>
        <w:t xml:space="preserve"> </w:t>
      </w:r>
      <w:r>
        <w:t xml:space="preserve">(Guerrero &amp; Garcia-Vigonte, 2022)</w:t>
      </w:r>
      <w:r>
        <w:t xml:space="preserve">.</w:t>
      </w:r>
    </w:p>
    <w:p>
      <w:pPr>
        <w:pStyle w:val="BodyText"/>
      </w:pPr>
      <w:r>
        <w:rPr>
          <w:bCs/>
          <w:b/>
        </w:rPr>
        <w:t xml:space="preserve">Forecasting Vegetable Prices</w:t>
      </w:r>
    </w:p>
    <w:p>
      <w:pPr>
        <w:pStyle w:val="BodyText"/>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w:t>
      </w:r>
      <w:r>
        <w:t xml:space="preserve"> </w:t>
      </w:r>
      <w:r>
        <w:t xml:space="preserve">(Sun et al., 2023)</w:t>
      </w:r>
      <w:r>
        <w:t xml:space="preserve">.</w:t>
      </w:r>
    </w:p>
    <w:p>
      <w:pPr>
        <w:pStyle w:val="BodyText"/>
      </w:pPr>
      <w:r>
        <w:t xml:space="preserve">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w:t>
      </w:r>
      <w:r>
        <w:t xml:space="preserve"> </w:t>
      </w:r>
      <w:r>
        <w:t xml:space="preserve">(Kakulapati &amp; Shaik, 2022)</w:t>
      </w:r>
      <w:r>
        <w:t xml:space="preserve">.</w:t>
      </w:r>
    </w:p>
    <w:p>
      <w:pPr>
        <w:pStyle w:val="BodyText"/>
      </w:pPr>
      <w:r>
        <w:t xml:space="preserve">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w:t>
      </w:r>
      <w:r>
        <w:t xml:space="preserve"> </w:t>
      </w:r>
      <w:r>
        <w:t xml:space="preserve">(Subhasree &amp; Priya, 2016)</w:t>
      </w:r>
      <w:r>
        <w:t xml:space="preserve">.</w:t>
      </w:r>
    </w:p>
    <w:p>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r>
        <w:t xml:space="preserve"> </w:t>
      </w:r>
      <w:r>
        <w:t xml:space="preserve">(Capiral et al., 2023)</w:t>
      </w:r>
      <w:r>
        <w:t xml:space="preserve">.</w:t>
      </w:r>
    </w:p>
    <w:p>
      <w:pPr>
        <w:pStyle w:val="BodyText"/>
      </w:pPr>
      <w:r>
        <w:t xml:space="preserve">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as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as a solid foundation for investigating the area’s climate-sensitive agricultural methods</w:t>
      </w:r>
      <w:r>
        <w:t xml:space="preserve"> </w:t>
      </w:r>
      <w:r>
        <w:t xml:space="preserve">(Domingo et al., 2020)</w:t>
      </w:r>
      <w:r>
        <w:t xml:space="preserve">.</w:t>
      </w:r>
    </w:p>
    <w:bookmarkEnd w:id="33"/>
    <w:bookmarkEnd w:id="34"/>
    <w:bookmarkStart w:id="49" w:name="chapter-iii"/>
    <w:p>
      <w:pPr>
        <w:pStyle w:val="Heading1"/>
      </w:pPr>
      <w:r>
        <w:t xml:space="preserve">Chapter III</w:t>
      </w:r>
    </w:p>
    <w:bookmarkStart w:id="48" w:name="research-methodology"/>
    <w:p>
      <w:pPr>
        <w:pStyle w:val="Heading2"/>
      </w:pPr>
      <w:r>
        <w:t xml:space="preserve">RESEARCH METHODOLOGY</w:t>
      </w:r>
    </w:p>
    <w:bookmarkStart w:id="35" w:name="research-design"/>
    <w:p>
      <w:pPr>
        <w:pStyle w:val="Heading3"/>
      </w:pPr>
      <w:r>
        <w:t xml:space="preserve">Research Design</w:t>
      </w:r>
    </w:p>
    <w:p>
      <w:pPr>
        <w:pStyle w:val="FirstParagraph"/>
      </w:pPr>
      <w:r>
        <w:t xml:space="preserve">The research will purely be quantitative in nature. Specifically, the researchers will employ comparative time series forecasting</w:t>
      </w:r>
      <w:r>
        <w:t xml:space="preserve"> </w:t>
      </w:r>
      <w:r>
        <w:t xml:space="preserve">(Hyndman &amp; Athanasopoulos, 2021)</w:t>
      </w:r>
      <w:r>
        <w:t xml:space="preserve">. In this study, AutoRegressive Integrated Moving Average (ARIMA) and Exponential Smoothing (ETS) models will be estimated using the monthly vegetable prices from NVAT. The researchers will then compare the estimated models and choose the one with higher accuracy to forecast monthly vegetable prices in Nueva Vizcaya.</w:t>
      </w:r>
    </w:p>
    <w:bookmarkEnd w:id="35"/>
    <w:bookmarkStart w:id="40" w:name="locale-of-the-study"/>
    <w:p>
      <w:pPr>
        <w:pStyle w:val="Heading3"/>
      </w:pPr>
      <w:r>
        <w:t xml:space="preserve">Locale of the Study</w:t>
      </w:r>
    </w:p>
    <w:p>
      <w:pPr>
        <w:pStyle w:val="FirstParagraph"/>
      </w:pPr>
      <w:r>
        <w:t xml:space="preserve">The study will be conducted in Bambang, Nueva Vizcaya. Specifically, the data for this study will be collected from NVAT, which is located in Bambang. Bambang is the next town south of Bayombong — the capital town of the province of Nueva Vizcaya. Please see</w:t>
      </w:r>
      <w:r>
        <w:t xml:space="preserve"> </w:t>
      </w:r>
      <w:hyperlink w:anchor="fig-bambang">
        <w:r>
          <w:rPr>
            <w:rStyle w:val="Hyperlink"/>
          </w:rPr>
          <w:t xml:space="preserve">Figure 2</w:t>
        </w:r>
      </w:hyperlink>
      <w:r>
        <w:t xml:space="preserve"> </w:t>
      </w:r>
      <w:r>
        <w:t xml:space="preserve">below.</w:t>
      </w:r>
    </w:p>
    <w:tbl>
      <w:tblPr>
        <w:tblStyle w:val="Table"/>
        <w:tblW w:type="pct" w:w="5000"/>
        <w:tblLook w:firstRow="0" w:lastRow="0" w:firstColumn="0" w:lastColumn="0" w:noHBand="0" w:noVBand="0" w:val="0000"/>
        <w:jc w:val="start"/>
      </w:tblPr>
      <w:tblGrid>
        <w:gridCol w:w="7920"/>
      </w:tblGrid>
      <w:tr>
        <w:tc>
          <w:tcPr/>
          <w:bookmarkStart w:id="39" w:name="fig-bambang"/>
          <w:p>
            <w:pPr>
              <w:jc w:val="center"/>
            </w:pPr>
            <w:r>
              <w:drawing>
                <wp:inline>
                  <wp:extent cx="3810000" cy="3810000"/>
                  <wp:effectExtent b="0" l="0" r="0" t="0"/>
                  <wp:docPr descr="" title="" id="37" name="Picture"/>
                  <a:graphic>
                    <a:graphicData uri="http://schemas.openxmlformats.org/drawingml/2006/picture">
                      <pic:pic>
                        <pic:nvPicPr>
                          <pic:cNvPr descr="pictures/bambang.png" id="38" name="Picture"/>
                          <pic:cNvPicPr>
                            <a:picLocks noChangeArrowheads="1" noChangeAspect="1"/>
                          </pic:cNvPicPr>
                        </pic:nvPicPr>
                        <pic:blipFill>
                          <a:blip r:embed="rId36"/>
                          <a:stretch>
                            <a:fillRect/>
                          </a:stretch>
                        </pic:blipFill>
                        <pic:spPr bwMode="auto">
                          <a:xfrm>
                            <a:off x="0" y="0"/>
                            <a:ext cx="3810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Bambang, Nueva Vizcaya (https://en.wikipedia.org/wiki/Bambang,_Nueva_Vizcaya#/media/File:Ph_locator_nueva_vizcaya_bambang.png)</w:t>
            </w:r>
          </w:p>
          <w:bookmarkEnd w:id="39"/>
        </w:tc>
      </w:tr>
    </w:tbl>
    <w:bookmarkEnd w:id="40"/>
    <w:bookmarkStart w:id="41" w:name="source-and-subject-of-the-study"/>
    <w:p>
      <w:pPr>
        <w:pStyle w:val="Heading3"/>
      </w:pPr>
      <w:r>
        <w:t xml:space="preserve">Source and Subject of the Study</w:t>
      </w:r>
    </w:p>
    <w:p>
      <w:pPr>
        <w:pStyle w:val="FirstParagraph"/>
      </w:pPr>
      <w:r>
        <w:t xml:space="preserve">The primary source of data for the research is the NVAT. Available time series of vegetable prices from the NVAT will be used to come up with forecasts of monthly vegetable prices in Nueva Vizcaya.</w:t>
      </w:r>
    </w:p>
    <w:bookmarkEnd w:id="41"/>
    <w:bookmarkStart w:id="42" w:name="data-gathering-procedure"/>
    <w:p>
      <w:pPr>
        <w:pStyle w:val="Heading3"/>
      </w:pPr>
      <w:r>
        <w:t xml:space="preserve">Data Gathering Procedure</w:t>
      </w:r>
    </w:p>
    <w:p>
      <w:pPr>
        <w:pStyle w:val="FirstParagraph"/>
      </w:pPr>
      <w:r>
        <w:t xml:space="preserve">The researchers will inquire about the background and data policy of NVAT by visiting its office. Additionally, letters requesting permission to gather data for the research will be written to the NVSU President, NVAT General Manager, and the Municipal Mayor of Bambang (refer to Appendix A, B, and C, respectively). Subsequently, the researchers will collect available time series of vegetable prices. Throughout the data collection process, strict adherence to ethical considerations, including data confidentiality and approval from appropriate authorities, will be maintained.</w:t>
      </w:r>
    </w:p>
    <w:bookmarkEnd w:id="42"/>
    <w:bookmarkStart w:id="47" w:name="data-analysis-and-treatment-of-data"/>
    <w:p>
      <w:pPr>
        <w:pStyle w:val="Heading3"/>
      </w:pPr>
      <w:r>
        <w:t xml:space="preserve">Data Analysis and Treatment of Data</w:t>
      </w:r>
    </w:p>
    <w:p>
      <w:pPr>
        <w:pStyle w:val="FirstParagraph"/>
      </w:pPr>
      <w:r>
        <w:t xml:space="preserve">In forecasting monthly vegetable prices in Nueva Vizcaya, the researchers will follow the process illustrated in</w:t>
      </w:r>
      <w:r>
        <w:t xml:space="preserve"> </w:t>
      </w:r>
      <w:hyperlink w:anchor="fig-workflow">
        <w:r>
          <w:rPr>
            <w:rStyle w:val="Hyperlink"/>
          </w:rPr>
          <w:t xml:space="preserve">Figure 3</w:t>
        </w:r>
      </w:hyperlink>
      <w:r>
        <w:t xml:space="preserve">. It is an adapted representation of the workflow introduced by</w:t>
      </w:r>
      <w:r>
        <w:t xml:space="preserve"> </w:t>
      </w:r>
      <w:r>
        <w:t xml:space="preserve">Hyndman &amp; Athanasopoulos (2021)</w:t>
      </w:r>
      <w:r>
        <w:t xml:space="preserve">.</w:t>
      </w:r>
    </w:p>
    <w:tbl>
      <w:tblPr>
        <w:tblStyle w:val="Table"/>
        <w:tblW w:type="pct" w:w="5000"/>
        <w:tblLook w:firstRow="0" w:lastRow="0" w:firstColumn="0" w:lastColumn="0" w:noHBand="0" w:noVBand="0" w:val="0000"/>
        <w:jc w:val="start"/>
      </w:tblPr>
      <w:tblGrid>
        <w:gridCol w:w="7920"/>
      </w:tblGrid>
      <w:tr>
        <w:tc>
          <w:tcPr/>
          <w:bookmarkStart w:id="46" w:name="fig-workflow"/>
          <w:p>
            <w:pPr>
              <w:jc w:val="center"/>
            </w:pPr>
            <w:r>
              <w:drawing>
                <wp:inline>
                  <wp:extent cx="5715000" cy="533400"/>
                  <wp:effectExtent b="0" l="0" r="0" t="0"/>
                  <wp:docPr descr="" title="" id="44" name="Picture"/>
                  <a:graphic>
                    <a:graphicData uri="http://schemas.openxmlformats.org/drawingml/2006/picture">
                      <pic:pic>
                        <pic:nvPicPr>
                          <pic:cNvPr descr="pictures/workflow.png" id="45" name="Picture"/>
                          <pic:cNvPicPr>
                            <a:picLocks noChangeArrowheads="1" noChangeAspect="1"/>
                          </pic:cNvPicPr>
                        </pic:nvPicPr>
                        <pic:blipFill>
                          <a:blip r:embed="rId43"/>
                          <a:stretch>
                            <a:fillRect/>
                          </a:stretch>
                        </pic:blipFill>
                        <pic:spPr bwMode="auto">
                          <a:xfrm>
                            <a:off x="0" y="0"/>
                            <a:ext cx="5715000" cy="533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Data Treatment and Analysis Workflow</w:t>
            </w:r>
          </w:p>
          <w:bookmarkEnd w:id="46"/>
        </w:tc>
      </w:tr>
    </w:tbl>
    <w:p>
      <w:pPr>
        <w:pStyle w:val="BodyText"/>
      </w:pPr>
      <w:r>
        <w:t xml:space="preserve">The tidy part involves preparing the raw data in the correct format. This includes loading the raw data into R and identifying and resolving missing values in order to create a tidy time series data for monthly vegetable prices. The researchers will utilize the</w:t>
      </w:r>
      <w:r>
        <w:t xml:space="preserve"> </w:t>
      </w:r>
      <w:r>
        <w:rPr>
          <w:rStyle w:val="VerbatimChar"/>
        </w:rPr>
        <w:t xml:space="preserve">tsibble</w:t>
      </w:r>
      <w:r>
        <w:t xml:space="preserve"> </w:t>
      </w:r>
      <w:r>
        <w:t xml:space="preserve">and</w:t>
      </w:r>
      <w:r>
        <w:t xml:space="preserve"> </w:t>
      </w:r>
      <w:r>
        <w:rPr>
          <w:rStyle w:val="VerbatimChar"/>
        </w:rPr>
        <w:t xml:space="preserve">tidyverse</w:t>
      </w:r>
      <w:r>
        <w:t xml:space="preserve"> </w:t>
      </w:r>
      <w:r>
        <w:t xml:space="preserve">packages for this task</w:t>
      </w:r>
      <w:r>
        <w:t xml:space="preserve"> </w:t>
      </w:r>
      <w:r>
        <w:t xml:space="preserve">(Wang et al., 2020; Wickham et al., 2019)</w:t>
      </w:r>
      <w:r>
        <w:t xml:space="preserve">.</w:t>
      </w:r>
    </w:p>
    <w:p>
      <w:pPr>
        <w:pStyle w:val="BodyText"/>
      </w:pPr>
      <w:r>
        <w:t xml:space="preserve">Subsequently, the researchers will visualize the monthly vegetable prices in Nueva Vizcaya. The trend and seasonal components of the data will also be visualized using the Seasonal and Trend decomposition using LOESS (STL) method developed by</w:t>
      </w:r>
      <w:r>
        <w:t xml:space="preserve"> </w:t>
      </w:r>
      <w:r>
        <w:t xml:space="preserve">Cleveland et al. (1990)</w:t>
      </w:r>
      <w:r>
        <w:t xml:space="preserve">. These visualizations are integral in describing the data.</w:t>
      </w:r>
    </w:p>
    <w:p>
      <w:pPr>
        <w:pStyle w:val="BodyText"/>
      </w:pPr>
      <w:r>
        <w:t xml:space="preserve">Next, automatic algorithms introduced by</w:t>
      </w:r>
      <w:r>
        <w:t xml:space="preserve"> </w:t>
      </w:r>
      <w:r>
        <w:t xml:space="preserve">Hyndman &amp; Athanasopoulos (2021)</w:t>
      </w:r>
      <w:r>
        <w:t xml:space="preserve"> </w:t>
      </w:r>
      <w:r>
        <w:t xml:space="preserve">will be used to estimate or fit the best ARIMA and ETS models to the data. The researchers will implement these algorithms in R using the</w:t>
      </w:r>
      <w:r>
        <w:t xml:space="preserve"> </w:t>
      </w:r>
      <w:r>
        <w:rPr>
          <w:rStyle w:val="VerbatimChar"/>
        </w:rPr>
        <w:t xml:space="preserve">fable</w:t>
      </w:r>
      <w:r>
        <w:t xml:space="preserve"> </w:t>
      </w:r>
      <w:r>
        <w:t xml:space="preserve">package</w:t>
      </w:r>
      <w:r>
        <w:t xml:space="preserve">(O’Hara-Wild et al., 2023)</w:t>
      </w:r>
      <w:r>
        <w:t xml:space="preserve">.</w:t>
      </w:r>
    </w:p>
    <w:p>
      <w:pPr>
        <w:pStyle w:val="BodyText"/>
      </w:pPr>
      <w:r>
        <w:t xml:space="preserve">Moreover, time series cross-validation will be used to evaluate forecast accuracy of the ARIMA and ETS models</w:t>
      </w:r>
      <w:r>
        <w:t xml:space="preserve"> </w:t>
      </w:r>
      <w:r>
        <w:t xml:space="preserve">(Hyndman &amp; Athanasopoulos, 2021)</w:t>
      </w:r>
      <w:r>
        <w:t xml:space="preserve">. Point forecast accuracy measures such as the mean absolute error (MAE), root mean squared error (RMSE), mean absolute percentage error (MAPE), and mean absolute squared error (MASE) will be computed and compared to determine the better model for each vegetable.</w:t>
      </w:r>
    </w:p>
    <w:p>
      <w:pPr>
        <w:pStyle w:val="BodyText"/>
      </w:pPr>
      <w:r>
        <w:t xml:space="preserve">Finally, the better model will be used to forecast monthly vegetable prices in Nueva Vizcaya.</w:t>
      </w:r>
    </w:p>
    <w:bookmarkEnd w:id="47"/>
    <w:bookmarkEnd w:id="48"/>
    <w:bookmarkEnd w:id="49"/>
    <w:bookmarkStart w:id="82" w:name="references"/>
    <w:p>
      <w:pPr>
        <w:pStyle w:val="Heading1"/>
      </w:pPr>
      <w:r>
        <w:t xml:space="preserve">References</w:t>
      </w:r>
    </w:p>
    <w:bookmarkStart w:id="81" w:name="refs"/>
    <w:bookmarkStart w:id="50" w:name="ref-capiral23"/>
    <w:p>
      <w:pPr>
        <w:pStyle w:val="Bibliography"/>
      </w:pPr>
      <w:r>
        <w:t xml:space="preserve">Capiral, C. V. C., Lotrinia, R. J. T., Mabborang, R. C., &amp; Macasieb, J. R. (2023). Cracking the code of crop growth: Illuminating the future of</w:t>
      </w:r>
      <w:r>
        <w:t xml:space="preserve"> </w:t>
      </w:r>
      <w:r>
        <w:t xml:space="preserve">Philippines’</w:t>
      </w:r>
      <w:r>
        <w:t xml:space="preserve"> </w:t>
      </w:r>
      <w:r>
        <w:t xml:space="preserve">onion production for a resilient</w:t>
      </w:r>
      <w:r>
        <w:t xml:space="preserve"> </w:t>
      </w:r>
      <w:r>
        <w:t xml:space="preserve">Filipino</w:t>
      </w:r>
      <w:r>
        <w:t xml:space="preserve"> </w:t>
      </w:r>
      <w:r>
        <w:t xml:space="preserve">diet with the</w:t>
      </w:r>
      <w:r>
        <w:t xml:space="preserve"> </w:t>
      </w:r>
      <w:r>
        <w:t xml:space="preserve">ARMA</w:t>
      </w:r>
      <w:r>
        <w:t xml:space="preserve"> </w:t>
      </w:r>
      <w:r>
        <w:t xml:space="preserve">forecasting model.</w:t>
      </w:r>
      <w:r>
        <w:t xml:space="preserve"> </w:t>
      </w:r>
      <w:r>
        <w:rPr>
          <w:iCs/>
          <w:i/>
        </w:rPr>
        <w:t xml:space="preserve">European Journal of Computer Science and Information Technology</w:t>
      </w:r>
      <w:r>
        <w:t xml:space="preserve">,</w:t>
      </w:r>
      <w:r>
        <w:t xml:space="preserve"> </w:t>
      </w:r>
      <w:r>
        <w:rPr>
          <w:iCs/>
          <w:i/>
        </w:rPr>
        <w:t xml:space="preserve">11</w:t>
      </w:r>
      <w:r>
        <w:t xml:space="preserve">(3), 1–13.</w:t>
      </w:r>
    </w:p>
    <w:bookmarkEnd w:id="50"/>
    <w:bookmarkStart w:id="52" w:name="ref-chen18"/>
    <w:p>
      <w:pPr>
        <w:pStyle w:val="Bibliography"/>
      </w:pPr>
      <w:r>
        <w:t xml:space="preserve">Chen, J., Zhou, H., Hu, H., Song, Y., Gifu, D., Li, Y., &amp; Huang, Y. (2018). Research on agricultural monitoring system based on convolutional neural network.</w:t>
      </w:r>
      <w:r>
        <w:t xml:space="preserve"> </w:t>
      </w:r>
      <w:r>
        <w:rPr>
          <w:iCs/>
          <w:i/>
        </w:rPr>
        <w:t xml:space="preserve">Future Generation Computer Systems</w:t>
      </w:r>
      <w:r>
        <w:t xml:space="preserve">,</w:t>
      </w:r>
      <w:r>
        <w:t xml:space="preserve"> </w:t>
      </w:r>
      <w:r>
        <w:rPr>
          <w:iCs/>
          <w:i/>
        </w:rPr>
        <w:t xml:space="preserve">88</w:t>
      </w:r>
      <w:r>
        <w:t xml:space="preserve">, 271–278.</w:t>
      </w:r>
      <w:r>
        <w:t xml:space="preserve"> </w:t>
      </w:r>
      <w:hyperlink r:id="rId51">
        <w:r>
          <w:rPr>
            <w:rStyle w:val="Hyperlink"/>
          </w:rPr>
          <w:t xml:space="preserve">https://doi.org/10.1016/j.future.2018.05.045</w:t>
        </w:r>
      </w:hyperlink>
    </w:p>
    <w:bookmarkEnd w:id="52"/>
    <w:bookmarkStart w:id="54" w:name="ref-cleveland90"/>
    <w:p>
      <w:pPr>
        <w:pStyle w:val="Bibliography"/>
      </w:pPr>
      <w:r>
        <w:t xml:space="preserve">Cleveland, R. B., Cleveland, W. S., McRae, J. E., &amp; Terpenning, I. (1990).</w:t>
      </w:r>
      <w:r>
        <w:t xml:space="preserve"> </w:t>
      </w:r>
      <w:r>
        <w:t xml:space="preserve">STL</w:t>
      </w:r>
      <w:r>
        <w:t xml:space="preserve">: A seasonal-trend decomposition procedure based on</w:t>
      </w:r>
      <w:r>
        <w:t xml:space="preserve"> </w:t>
      </w:r>
      <w:r>
        <w:t xml:space="preserve">Loess</w:t>
      </w:r>
      <w:r>
        <w:t xml:space="preserve">.</w:t>
      </w:r>
      <w:r>
        <w:t xml:space="preserve"> </w:t>
      </w:r>
      <w:r>
        <w:rPr>
          <w:iCs/>
          <w:i/>
        </w:rPr>
        <w:t xml:space="preserve">Journal of Official Statistics</w:t>
      </w:r>
      <w:r>
        <w:t xml:space="preserve">,</w:t>
      </w:r>
      <w:r>
        <w:t xml:space="preserve"> </w:t>
      </w:r>
      <w:r>
        <w:rPr>
          <w:iCs/>
          <w:i/>
        </w:rPr>
        <w:t xml:space="preserve">6</w:t>
      </w:r>
      <w:r>
        <w:t xml:space="preserve">(1), 3–33.</w:t>
      </w:r>
      <w:r>
        <w:t xml:space="preserve"> </w:t>
      </w:r>
      <w:hyperlink r:id="rId53">
        <w:r>
          <w:rPr>
            <w:rStyle w:val="Hyperlink"/>
          </w:rPr>
          <w:t xml:space="preserve">http://bit.ly/stl1990</w:t>
        </w:r>
      </w:hyperlink>
    </w:p>
    <w:bookmarkEnd w:id="54"/>
    <w:bookmarkStart w:id="55" w:name="ref-domingo20"/>
    <w:p>
      <w:pPr>
        <w:pStyle w:val="Bibliography"/>
      </w:pPr>
      <w:r>
        <w:t xml:space="preserve">Domingo, S. N., Umlas, A. J. L., &amp; Zuluaga, K. M. C. (2020).</w:t>
      </w:r>
      <w:r>
        <w:t xml:space="preserve"> </w:t>
      </w:r>
      <w:r>
        <w:rPr>
          <w:iCs/>
          <w:i/>
        </w:rPr>
        <w:t xml:space="preserve">Development of crop climate calendars for high-value crops in</w:t>
      </w:r>
      <w:r>
        <w:rPr>
          <w:iCs/>
          <w:i/>
        </w:rPr>
        <w:t xml:space="preserve"> </w:t>
      </w:r>
      <w:r>
        <w:rPr>
          <w:iCs/>
          <w:i/>
        </w:rPr>
        <w:t xml:space="preserve">Atok, Benguet</w:t>
      </w:r>
      <w:r>
        <w:rPr>
          <w:iCs/>
          <w:i/>
        </w:rPr>
        <w:t xml:space="preserve">: Report from preliminary co-learning and co-development engagements with agricultural stakeholders in</w:t>
      </w:r>
      <w:r>
        <w:rPr>
          <w:iCs/>
          <w:i/>
        </w:rPr>
        <w:t xml:space="preserve"> </w:t>
      </w:r>
      <w:r>
        <w:rPr>
          <w:iCs/>
          <w:i/>
        </w:rPr>
        <w:t xml:space="preserve">Benguet</w:t>
      </w:r>
      <w:r>
        <w:rPr>
          <w:iCs/>
          <w:i/>
        </w:rPr>
        <w:t xml:space="preserve"> </w:t>
      </w:r>
      <w:r>
        <w:rPr>
          <w:iCs/>
          <w:i/>
        </w:rPr>
        <w:t xml:space="preserve">province</w:t>
      </w:r>
      <w:r>
        <w:t xml:space="preserve">. PIDS Discussion Paper Series.</w:t>
      </w:r>
    </w:p>
    <w:bookmarkEnd w:id="55"/>
    <w:bookmarkStart w:id="57" w:name="ref-fao"/>
    <w:p>
      <w:pPr>
        <w:pStyle w:val="Bibliography"/>
      </w:pPr>
      <w:r>
        <w:rPr>
          <w:iCs/>
          <w:i/>
        </w:rPr>
        <w:t xml:space="preserve">FAOSTAT</w:t>
      </w:r>
      <w:r>
        <w:t xml:space="preserve">. (n.d.). Retrieved November 16, 2023, from</w:t>
      </w:r>
      <w:r>
        <w:t xml:space="preserve"> </w:t>
      </w:r>
      <w:hyperlink r:id="rId56">
        <w:r>
          <w:rPr>
            <w:rStyle w:val="Hyperlink"/>
          </w:rPr>
          <w:t xml:space="preserve">https://www.fao.org/faostat/en/#home</w:t>
        </w:r>
      </w:hyperlink>
    </w:p>
    <w:bookmarkEnd w:id="57"/>
    <w:bookmarkStart w:id="59" w:name="ref-guerrero22"/>
    <w:p>
      <w:pPr>
        <w:pStyle w:val="Bibliography"/>
      </w:pPr>
      <w:r>
        <w:t xml:space="preserve">Guerrero, H., &amp; Garcia-Vigonte, F. (2022). Seaweed farmers in the</w:t>
      </w:r>
      <w:r>
        <w:t xml:space="preserve"> </w:t>
      </w:r>
      <w:r>
        <w:t xml:space="preserve">Philippines</w:t>
      </w:r>
      <w:r>
        <w:t xml:space="preserve"> </w:t>
      </w:r>
      <w:r>
        <w:t xml:space="preserve">responsiveness to the price changes in relation to supply and demand.</w:t>
      </w:r>
      <w:r>
        <w:t xml:space="preserve"> </w:t>
      </w:r>
      <w:r>
        <w:rPr>
          <w:iCs/>
          <w:i/>
        </w:rPr>
        <w:t xml:space="preserve">SSRN Electronic Journal</w:t>
      </w:r>
      <w:r>
        <w:t xml:space="preserve">.</w:t>
      </w:r>
      <w:r>
        <w:t xml:space="preserve"> </w:t>
      </w:r>
      <w:hyperlink r:id="rId58">
        <w:r>
          <w:rPr>
            <w:rStyle w:val="Hyperlink"/>
          </w:rPr>
          <w:t xml:space="preserve">https://doi.org/10.2139/ssrn.4113035</w:t>
        </w:r>
      </w:hyperlink>
    </w:p>
    <w:bookmarkEnd w:id="59"/>
    <w:bookmarkStart w:id="61" w:name="ref-hyndman21"/>
    <w:p>
      <w:pPr>
        <w:pStyle w:val="Bibliography"/>
      </w:pPr>
      <w:r>
        <w:t xml:space="preserve">Hyndman, R. J., &amp; Athanasopoulos, G. (2021).</w:t>
      </w:r>
      <w:r>
        <w:t xml:space="preserve"> </w:t>
      </w:r>
      <w:r>
        <w:rPr>
          <w:iCs/>
          <w:i/>
        </w:rPr>
        <w:t xml:space="preserve">Forecasting: Principles and practice</w:t>
      </w:r>
      <w:r>
        <w:t xml:space="preserve"> </w:t>
      </w:r>
      <w:r>
        <w:t xml:space="preserve">(3rd ed.). OTexts.</w:t>
      </w:r>
      <w:r>
        <w:t xml:space="preserve"> </w:t>
      </w:r>
      <w:hyperlink r:id="rId60">
        <w:r>
          <w:rPr>
            <w:rStyle w:val="Hyperlink"/>
          </w:rPr>
          <w:t xml:space="preserve">OTexts.com/fpp3</w:t>
        </w:r>
      </w:hyperlink>
    </w:p>
    <w:bookmarkEnd w:id="61"/>
    <w:bookmarkStart w:id="62" w:name="ref-kakulapati22"/>
    <w:p>
      <w:pPr>
        <w:pStyle w:val="Bibliography"/>
      </w:pPr>
      <w:r>
        <w:t xml:space="preserve">Kakulapati, V., &amp; Shaik, S. (2022). Vegetable price prediction against temperature changes using machine learning techniques.</w:t>
      </w:r>
      <w:r>
        <w:t xml:space="preserve"> </w:t>
      </w:r>
      <w:r>
        <w:rPr>
          <w:iCs/>
          <w:i/>
        </w:rPr>
        <w:t xml:space="preserve">Dickensian Journal</w:t>
      </w:r>
      <w:r>
        <w:t xml:space="preserve">,</w:t>
      </w:r>
      <w:r>
        <w:t xml:space="preserve"> </w:t>
      </w:r>
      <w:r>
        <w:rPr>
          <w:iCs/>
          <w:i/>
        </w:rPr>
        <w:t xml:space="preserve">22</w:t>
      </w:r>
      <w:r>
        <w:t xml:space="preserve">, 1547–1554.</w:t>
      </w:r>
    </w:p>
    <w:bookmarkEnd w:id="62"/>
    <w:bookmarkStart w:id="64" w:name="ref-mchopa14"/>
    <w:p>
      <w:pPr>
        <w:pStyle w:val="Bibliography"/>
      </w:pPr>
      <w:r>
        <w:t xml:space="preserve">Mchopa, A., Ruoja, C., &amp; Huka, H. (2014). Price fluctuation of agricultural products and its impact on small scale farmers development: Case analysis from</w:t>
      </w:r>
      <w:r>
        <w:t xml:space="preserve"> </w:t>
      </w:r>
      <w:r>
        <w:t xml:space="preserve">Kilimanjaro Tanzania</w:t>
      </w:r>
      <w:r>
        <w:t xml:space="preserve">.</w:t>
      </w:r>
      <w:r>
        <w:t xml:space="preserve"> </w:t>
      </w:r>
      <w:r>
        <w:rPr>
          <w:iCs/>
          <w:i/>
        </w:rPr>
        <w:t xml:space="preserve">European Journal of Business and Management</w:t>
      </w:r>
      <w:r>
        <w:t xml:space="preserve">,</w:t>
      </w:r>
      <w:r>
        <w:t xml:space="preserve"> </w:t>
      </w:r>
      <w:r>
        <w:rPr>
          <w:iCs/>
          <w:i/>
        </w:rPr>
        <w:t xml:space="preserve">6</w:t>
      </w:r>
      <w:r>
        <w:t xml:space="preserve">(36), 155–160.</w:t>
      </w:r>
      <w:r>
        <w:t xml:space="preserve"> </w:t>
      </w:r>
      <w:hyperlink r:id="rId63">
        <w:r>
          <w:rPr>
            <w:rStyle w:val="Hyperlink"/>
          </w:rPr>
          <w:t xml:space="preserve">https://catalog.ihsn.org/citations/91017?fbclid=IwAR06pCHPm9d6ko-uxXndkeBPGmpGgp7plCg0BQwlXNBHWh8OdHbY4B23soc</w:t>
        </w:r>
      </w:hyperlink>
    </w:p>
    <w:bookmarkEnd w:id="64"/>
    <w:bookmarkStart w:id="66" w:name="ref-fable"/>
    <w:p>
      <w:pPr>
        <w:pStyle w:val="Bibliography"/>
      </w:pPr>
      <w:r>
        <w:t xml:space="preserve">O’Hara-Wild, M., Hyndman, R., &amp; Wang, E. (2023).</w:t>
      </w:r>
      <w:r>
        <w:t xml:space="preserve"> </w:t>
      </w:r>
      <w:r>
        <w:rPr>
          <w:iCs/>
          <w:i/>
        </w:rPr>
        <w:t xml:space="preserve">Fable: Forecasting models for tidy time series</w:t>
      </w:r>
      <w:r>
        <w:t xml:space="preserve">.</w:t>
      </w:r>
      <w:r>
        <w:t xml:space="preserve"> </w:t>
      </w:r>
      <w:hyperlink r:id="rId65">
        <w:r>
          <w:rPr>
            <w:rStyle w:val="Hyperlink"/>
          </w:rPr>
          <w:t xml:space="preserve">https://CRAN.R-project.org/package=fable</w:t>
        </w:r>
      </w:hyperlink>
    </w:p>
    <w:bookmarkEnd w:id="66"/>
    <w:bookmarkStart w:id="68" w:name="ref-petruzzello23"/>
    <w:p>
      <w:pPr>
        <w:pStyle w:val="Bibliography"/>
      </w:pPr>
      <w:r>
        <w:t xml:space="preserve">Petruzzello, M. (2023).</w:t>
      </w:r>
      <w:r>
        <w:t xml:space="preserve"> </w:t>
      </w:r>
      <w:r>
        <w:rPr>
          <w:iCs/>
          <w:i/>
        </w:rPr>
        <w:t xml:space="preserve">Vegetable</w:t>
      </w:r>
      <w:r>
        <w:t xml:space="preserve">.</w:t>
      </w:r>
      <w:r>
        <w:t xml:space="preserve"> </w:t>
      </w:r>
      <w:hyperlink r:id="rId67">
        <w:r>
          <w:rPr>
            <w:rStyle w:val="Hyperlink"/>
          </w:rPr>
          <w:t xml:space="preserve">https://www.britannica.com/topic/vegetable</w:t>
        </w:r>
      </w:hyperlink>
    </w:p>
    <w:bookmarkEnd w:id="68"/>
    <w:bookmarkStart w:id="69" w:name="ref-subhasree16"/>
    <w:p>
      <w:pPr>
        <w:pStyle w:val="Bibliography"/>
      </w:pPr>
      <w:r>
        <w:t xml:space="preserve">Subhasree, M., &amp; Priya, C. A. (2016). Forecasting vegetable price using time series data.</w:t>
      </w:r>
      <w:r>
        <w:t xml:space="preserve"> </w:t>
      </w:r>
      <w:r>
        <w:rPr>
          <w:iCs/>
          <w:i/>
        </w:rPr>
        <w:t xml:space="preserve">International Journal of Advanced Research</w:t>
      </w:r>
      <w:r>
        <w:t xml:space="preserve">,</w:t>
      </w:r>
      <w:r>
        <w:t xml:space="preserve"> </w:t>
      </w:r>
      <w:r>
        <w:rPr>
          <w:iCs/>
          <w:i/>
        </w:rPr>
        <w:t xml:space="preserve">3</w:t>
      </w:r>
      <w:r>
        <w:t xml:space="preserve">, 535–641.</w:t>
      </w:r>
    </w:p>
    <w:bookmarkEnd w:id="69"/>
    <w:bookmarkStart w:id="71" w:name="ref-sun23"/>
    <w:p>
      <w:pPr>
        <w:pStyle w:val="Bibliography"/>
      </w:pPr>
      <w:r>
        <w:t xml:space="preserve">Sun, F., Meng, X., Zhang, Y., Wang, Y., Jiang, H., &amp; Liu, P. (2023). Agricultural product price forecasting methods: A review.</w:t>
      </w:r>
      <w:r>
        <w:t xml:space="preserve"> </w:t>
      </w:r>
      <w:r>
        <w:rPr>
          <w:iCs/>
          <w:i/>
        </w:rPr>
        <w:t xml:space="preserve">Agriculture</w:t>
      </w:r>
      <w:r>
        <w:t xml:space="preserve">,</w:t>
      </w:r>
      <w:r>
        <w:t xml:space="preserve"> </w:t>
      </w:r>
      <w:r>
        <w:rPr>
          <w:iCs/>
          <w:i/>
        </w:rPr>
        <w:t xml:space="preserve">13</w:t>
      </w:r>
      <w:r>
        <w:t xml:space="preserve">(9), 1671.</w:t>
      </w:r>
      <w:r>
        <w:t xml:space="preserve"> </w:t>
      </w:r>
      <w:hyperlink r:id="rId70">
        <w:r>
          <w:rPr>
            <w:rStyle w:val="Hyperlink"/>
          </w:rPr>
          <w:t xml:space="preserve">https://doi.org/10.3390/agriculture13091671</w:t>
        </w:r>
      </w:hyperlink>
    </w:p>
    <w:bookmarkEnd w:id="71"/>
    <w:bookmarkStart w:id="72" w:name="ref-tulin19"/>
    <w:p>
      <w:pPr>
        <w:pStyle w:val="Bibliography"/>
      </w:pPr>
      <w:r>
        <w:t xml:space="preserve">Tulin, A., Dorahy, C., Eldridge, S., Mercado, A., Salvani, J., Lapoot, C., Justo, V., Duna, L., Gonzaga, N., Quinones, C. M., Rallos, R., Rañises, M., Bicamon, R., &amp; Galambao, M. (2019).</w:t>
      </w:r>
      <w:r>
        <w:t xml:space="preserve"> </w:t>
      </w:r>
      <w:r>
        <w:rPr>
          <w:iCs/>
          <w:i/>
        </w:rPr>
        <w:t xml:space="preserve">Enhancing profitability of selected vegetable value chains in the southern</w:t>
      </w:r>
      <w:r>
        <w:rPr>
          <w:iCs/>
          <w:i/>
        </w:rPr>
        <w:t xml:space="preserve"> </w:t>
      </w:r>
      <w:r>
        <w:rPr>
          <w:iCs/>
          <w:i/>
        </w:rPr>
        <w:t xml:space="preserve">Philippines</w:t>
      </w:r>
      <w:r>
        <w:rPr>
          <w:iCs/>
          <w:i/>
        </w:rPr>
        <w:t xml:space="preserve"> </w:t>
      </w:r>
      <w:r>
        <w:rPr>
          <w:iCs/>
          <w:i/>
        </w:rPr>
        <w:t xml:space="preserve">and</w:t>
      </w:r>
      <w:r>
        <w:rPr>
          <w:iCs/>
          <w:i/>
        </w:rPr>
        <w:t xml:space="preserve"> </w:t>
      </w:r>
      <w:r>
        <w:rPr>
          <w:iCs/>
          <w:i/>
        </w:rPr>
        <w:t xml:space="preserve">Australia</w:t>
      </w:r>
      <w:r>
        <w:rPr>
          <w:iCs/>
          <w:i/>
        </w:rPr>
        <w:t xml:space="preserve"> </w:t>
      </w:r>
      <w:r>
        <w:rPr>
          <w:iCs/>
          <w:i/>
        </w:rPr>
        <w:t xml:space="preserve">component 1 – integrated soil and crop nutrient management</w:t>
      </w:r>
      <w:r>
        <w:t xml:space="preserve">. Australian Centre for International Agricultural Research.</w:t>
      </w:r>
    </w:p>
    <w:bookmarkEnd w:id="72"/>
    <w:bookmarkStart w:id="74" w:name="ref-vibas19"/>
    <w:p>
      <w:pPr>
        <w:pStyle w:val="Bibliography"/>
      </w:pPr>
      <w:r>
        <w:t xml:space="preserve">Vibas, V. M., &amp; Raqueño, A. R. (2019). A mathematical model for estimating retail price movements of basic fruit and vegetable commodities using time series analysis.</w:t>
      </w:r>
      <w:r>
        <w:t xml:space="preserve"> </w:t>
      </w:r>
      <w:r>
        <w:rPr>
          <w:iCs/>
          <w:i/>
        </w:rPr>
        <w:t xml:space="preserve">International Journal of Advance Study and Research Work</w:t>
      </w:r>
      <w:r>
        <w:t xml:space="preserve">.</w:t>
      </w:r>
      <w:r>
        <w:t xml:space="preserve"> </w:t>
      </w:r>
      <w:hyperlink r:id="rId73">
        <w:r>
          <w:rPr>
            <w:rStyle w:val="Hyperlink"/>
          </w:rPr>
          <w:t xml:space="preserve">https://doi.org/10.5281/ZENODO.3333529</w:t>
        </w:r>
      </w:hyperlink>
    </w:p>
    <w:bookmarkEnd w:id="74"/>
    <w:bookmarkStart w:id="76" w:name="ref-wang20"/>
    <w:p>
      <w:pPr>
        <w:pStyle w:val="Bibliography"/>
      </w:pPr>
      <w:r>
        <w:t xml:space="preserve">Wang, E., Cook, D., &amp; Hyndman, R. J. (2020). A new tidy data structure to support exploration and modeling of temporal data.</w:t>
      </w:r>
      <w:r>
        <w:t xml:space="preserve"> </w:t>
      </w:r>
      <w:r>
        <w:rPr>
          <w:iCs/>
          <w:i/>
        </w:rPr>
        <w:t xml:space="preserve">Journal of Computational and Graphical Statistics</w:t>
      </w:r>
      <w:r>
        <w:t xml:space="preserve">,</w:t>
      </w:r>
      <w:r>
        <w:t xml:space="preserve"> </w:t>
      </w:r>
      <w:r>
        <w:rPr>
          <w:iCs/>
          <w:i/>
        </w:rPr>
        <w:t xml:space="preserve">29</w:t>
      </w:r>
      <w:r>
        <w:t xml:space="preserve">(3), 466–478.</w:t>
      </w:r>
      <w:r>
        <w:t xml:space="preserve"> </w:t>
      </w:r>
      <w:hyperlink r:id="rId75">
        <w:r>
          <w:rPr>
            <w:rStyle w:val="Hyperlink"/>
          </w:rPr>
          <w:t xml:space="preserve">https://doi.org/10.1080/10618600.2019.1695624</w:t>
        </w:r>
      </w:hyperlink>
    </w:p>
    <w:bookmarkEnd w:id="76"/>
    <w:bookmarkStart w:id="78" w:name="ref-wickham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77">
        <w:r>
          <w:rPr>
            <w:rStyle w:val="Hyperlink"/>
          </w:rPr>
          <w:t xml:space="preserve">https://doi.org/10.21105/joss.01686</w:t>
        </w:r>
      </w:hyperlink>
    </w:p>
    <w:bookmarkEnd w:id="78"/>
    <w:bookmarkStart w:id="80" w:name="ref-yang22"/>
    <w:p>
      <w:pPr>
        <w:pStyle w:val="Bibliography"/>
      </w:pPr>
      <w:r>
        <w:t xml:space="preserve">Yang, H., Cao, Y., Shi, Y., Wu, Y., Guo, W., Fu, H., &amp; Li, Y. (2022). The dynamic impacts of weather changes on vegetable price fluctuations in</w:t>
      </w:r>
      <w:r>
        <w:t xml:space="preserve"> </w:t>
      </w:r>
      <w:r>
        <w:t xml:space="preserve">Shandong Province, China</w:t>
      </w:r>
      <w:r>
        <w:t xml:space="preserve">: An analysis based on VAR and TV-VAR models.</w:t>
      </w:r>
      <w:r>
        <w:t xml:space="preserve"> </w:t>
      </w:r>
      <w:r>
        <w:rPr>
          <w:iCs/>
          <w:i/>
        </w:rPr>
        <w:t xml:space="preserve">Agronomy</w:t>
      </w:r>
      <w:r>
        <w:t xml:space="preserve">,</w:t>
      </w:r>
      <w:r>
        <w:t xml:space="preserve"> </w:t>
      </w:r>
      <w:r>
        <w:rPr>
          <w:iCs/>
          <w:i/>
        </w:rPr>
        <w:t xml:space="preserve">12</w:t>
      </w:r>
      <w:r>
        <w:t xml:space="preserve">(11), 2680.</w:t>
      </w:r>
      <w:r>
        <w:t xml:space="preserve"> </w:t>
      </w:r>
      <w:hyperlink r:id="rId79">
        <w:r>
          <w:rPr>
            <w:rStyle w:val="Hyperlink"/>
          </w:rPr>
          <w:t xml:space="preserve">https://doi.org/10.3390/agronomy12112680</w:t>
        </w:r>
      </w:hyperlink>
    </w:p>
    <w:bookmarkEnd w:id="80"/>
    <w:bookmarkEnd w:id="81"/>
    <w:bookmarkEnd w:id="82"/>
    <w:sectPr w:rsidR="00E91794">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891388" w:numId="15">
    <w:abstractNumId w:val="0"/>
  </w:num>
  <w:num w16cid:durableId="806122197"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2779255" w:numId="17">
    <w:abstractNumId w:val="0"/>
  </w:num>
  <w:num w16cid:durableId="1023164894"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59113408" w:numId="19">
    <w:abstractNumId w:val="0"/>
  </w:num>
  <w:num w16cid:durableId="1734544398"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73992235" w:numId="21">
    <w:abstractNumId w:val="0"/>
  </w:num>
  <w:num w16cid:durableId="61174827"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161531" w:numId="23">
    <w:abstractNumId w:val="0"/>
  </w:num>
  <w:num w16cid:durableId="1366325129"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8520511" w:numId="25">
    <w:abstractNumId w:val="0"/>
  </w:num>
  <w:num w16cid:durableId="936445917"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6223934" w:numId="27">
    <w:abstractNumId w:val="0"/>
  </w:num>
  <w:num w16cid:durableId="2001078940"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2913238" w:numId="29">
    <w:abstractNumId w:val="0"/>
  </w:num>
  <w:num w16cid:durableId="294220166"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5473894" w:numId="31">
    <w:abstractNumId w:val="0"/>
  </w:num>
  <w:num w16cid:durableId="1240360965"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18569443" w:numId="33">
    <w:abstractNumId w:val="0"/>
  </w:num>
  <w:num w16cid:durableId="20982289"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321403" w:numId="35">
    <w:abstractNumId w:val="0"/>
  </w:num>
  <w:num w16cid:durableId="1805585990"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375814" w:numId="37">
    <w:abstractNumId w:val="0"/>
  </w:num>
  <w:num w16cid:durableId="1645962584"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E455D"/>
    <w:pPr>
      <w:spacing w:after="0" w:line="480" w:lineRule="auto"/>
    </w:pPr>
    <w:rPr>
      <w:rFonts w:ascii="Times New Roman" w:hAnsi="Times New Roman"/>
    </w:rPr>
  </w:style>
  <w:style w:styleId="Heading1" w:type="paragraph">
    <w:name w:val="heading 1"/>
    <w:basedOn w:val="Normal"/>
    <w:next w:val="BodyText"/>
    <w:uiPriority w:val="9"/>
    <w:qFormat/>
    <w:rsid w:val="009E77B0"/>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9E77B0"/>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7E455D"/>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pPr>
      <w:spacing w:after="36" w:before="36"/>
    </w:pPr>
  </w:style>
  <w:style w:styleId="Title" w:type="paragraph">
    <w:name w:val="Title"/>
    <w:basedOn w:val="Normal"/>
    <w:next w:val="BodyText"/>
    <w:qFormat/>
    <w:rsid w:val="009E77B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213CC"/>
    <w:pPr>
      <w:spacing w:after="240" w:line="240" w:lineRule="auto"/>
      <w:ind w:hanging="720" w:left="720"/>
      <w:jc w:val="both"/>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autoRedefine/>
    <w:rsid w:val="004A50D7"/>
    <w:pPr>
      <w:spacing w:before="200"/>
      <w:jc w:val="center"/>
    </w:p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stParagraph" w:type="paragraph">
    <w:name w:val="List Paragraph"/>
    <w:basedOn w:val="Normal"/>
    <w:rsid w:val="00D92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5" Target="media/rId25.png" /><Relationship Type="http://schemas.openxmlformats.org/officeDocument/2006/relationships/image" Id="rId43" Target="media/rId43.png" /><Relationship Type="http://schemas.openxmlformats.org/officeDocument/2006/relationships/hyperlink" Id="rId53" Target="http://bit.ly/stl1990" TargetMode="External" /><Relationship Type="http://schemas.openxmlformats.org/officeDocument/2006/relationships/hyperlink" Id="rId65" Target="https://CRAN.R-project.org/package=fable" TargetMode="External" /><Relationship Type="http://schemas.openxmlformats.org/officeDocument/2006/relationships/hyperlink" Id="rId60" Target="https://OTexts.com/fpp3" TargetMode="External" /><Relationship Type="http://schemas.openxmlformats.org/officeDocument/2006/relationships/hyperlink" Id="rId63" Target="https://catalog.ihsn.org/citations/91017?fbclid=IwAR06pCHPm9d6ko-uxXndkeBPGmpGgp7plCg0BQwlXNBHWh8OdHbY4B23soc" TargetMode="External" /><Relationship Type="http://schemas.openxmlformats.org/officeDocument/2006/relationships/hyperlink" Id="rId51" Target="https://doi.org/10.1016/j.future.2018.05.045" TargetMode="External" /><Relationship Type="http://schemas.openxmlformats.org/officeDocument/2006/relationships/hyperlink" Id="rId75" Target="https://doi.org/10.1080/10618600.2019.1695624" TargetMode="External" /><Relationship Type="http://schemas.openxmlformats.org/officeDocument/2006/relationships/hyperlink" Id="rId77" Target="https://doi.org/10.21105/joss.01686" TargetMode="External" /><Relationship Type="http://schemas.openxmlformats.org/officeDocument/2006/relationships/hyperlink" Id="rId58" Target="https://doi.org/10.2139/ssrn.4113035" TargetMode="External" /><Relationship Type="http://schemas.openxmlformats.org/officeDocument/2006/relationships/hyperlink" Id="rId70" Target="https://doi.org/10.3390/agriculture13091671" TargetMode="External" /><Relationship Type="http://schemas.openxmlformats.org/officeDocument/2006/relationships/hyperlink" Id="rId79" Target="https://doi.org/10.3390/agronomy12112680" TargetMode="External" /><Relationship Type="http://schemas.openxmlformats.org/officeDocument/2006/relationships/hyperlink" Id="rId73" Target="https://doi.org/10.5281/ZENODO.3333529" TargetMode="External" /><Relationship Type="http://schemas.openxmlformats.org/officeDocument/2006/relationships/hyperlink" Id="rId67" Target="https://www.britannica.com/topic/vegetable" TargetMode="External" /><Relationship Type="http://schemas.openxmlformats.org/officeDocument/2006/relationships/hyperlink" Id="rId56" Target="https://www.fao.org/faostat/en/#home" TargetMode="External" /></Relationships>
</file>

<file path=word/_rels/footnotes.xml.rels><?xml version="1.0" encoding="UTF-8"?><Relationships xmlns="http://schemas.openxmlformats.org/package/2006/relationships"><Relationship Type="http://schemas.openxmlformats.org/officeDocument/2006/relationships/hyperlink" Id="rId53" Target="http://bit.ly/stl1990" TargetMode="External" /><Relationship Type="http://schemas.openxmlformats.org/officeDocument/2006/relationships/hyperlink" Id="rId65" Target="https://CRAN.R-project.org/package=fable" TargetMode="External" /><Relationship Type="http://schemas.openxmlformats.org/officeDocument/2006/relationships/hyperlink" Id="rId60" Target="https://OTexts.com/fpp3" TargetMode="External" /><Relationship Type="http://schemas.openxmlformats.org/officeDocument/2006/relationships/hyperlink" Id="rId63" Target="https://catalog.ihsn.org/citations/91017?fbclid=IwAR06pCHPm9d6ko-uxXndkeBPGmpGgp7plCg0BQwlXNBHWh8OdHbY4B23soc" TargetMode="External" /><Relationship Type="http://schemas.openxmlformats.org/officeDocument/2006/relationships/hyperlink" Id="rId51" Target="https://doi.org/10.1016/j.future.2018.05.045" TargetMode="External" /><Relationship Type="http://schemas.openxmlformats.org/officeDocument/2006/relationships/hyperlink" Id="rId75" Target="https://doi.org/10.1080/10618600.2019.1695624" TargetMode="External" /><Relationship Type="http://schemas.openxmlformats.org/officeDocument/2006/relationships/hyperlink" Id="rId77" Target="https://doi.org/10.21105/joss.01686" TargetMode="External" /><Relationship Type="http://schemas.openxmlformats.org/officeDocument/2006/relationships/hyperlink" Id="rId58" Target="https://doi.org/10.2139/ssrn.4113035" TargetMode="External" /><Relationship Type="http://schemas.openxmlformats.org/officeDocument/2006/relationships/hyperlink" Id="rId70" Target="https://doi.org/10.3390/agriculture13091671" TargetMode="External" /><Relationship Type="http://schemas.openxmlformats.org/officeDocument/2006/relationships/hyperlink" Id="rId79" Target="https://doi.org/10.3390/agronomy12112680" TargetMode="External" /><Relationship Type="http://schemas.openxmlformats.org/officeDocument/2006/relationships/hyperlink" Id="rId73" Target="https://doi.org/10.5281/ZENODO.3333529" TargetMode="External" /><Relationship Type="http://schemas.openxmlformats.org/officeDocument/2006/relationships/hyperlink" Id="rId67" Target="https://www.britannica.com/topic/vegetable" TargetMode="External" /><Relationship Type="http://schemas.openxmlformats.org/officeDocument/2006/relationships/hyperlink" Id="rId56" Target="https://www.fao.org/faostat/en/#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20</Pages>
  <Words>4388</Words>
  <Characters>25018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Forecasting Monthly Vegetable Prices</vt:lpstr>
    </vt:vector>
  </TitlesOfParts>
  <Company/>
  <LinksUpToDate>false</LinksUpToDate>
  <CharactersWithSpaces>29348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 in the Province of Nueva Vizcaya</dc:title>
  <dc:creator>Jaime Neil P. Alap; Glomie G. Gonzales; Eloisa J. Jimenez; Carlo D. Pastores, Jr.</dc:creator>
  <cp:keywords/>
  <dcterms:created xsi:type="dcterms:W3CDTF">2023-12-05T07:46:15Z</dcterms:created>
  <dcterms:modified xsi:type="dcterms:W3CDTF">2023-12-05T07:46:15Z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