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 Vibas and Raqueño (2019),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 (Vegetable | Description, Types, Farming, &amp; Examples, 2023).</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 &amp; Kumara, 2020).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 (Yang et al., 2022).</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 (Chen et al., 2018).</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(IStudj on Vegetable Price Fluctuation and Its Impact in Guangxi - ProQuest, n.d.).</w:t>
      </w:r>
    </w:p>
    <w:p>
      <w:pPr>
        <w:pStyle w:val="BodyText"/>
      </w:pPr>
      <w:r>
        <w:t xml:space="preserve">In the Philippines, sustainable soil nutrient-enhancing strategies involve the wise use and management of inorganic and organic nutrient sources in ecologically sound production systems (Janssen, 1993).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 (Jou and Hossner 1998).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 (Tulin et al., 2023).</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 (Guerrero, 2022).</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 (Choong et al., 2021)</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 (Kakulapati &amp; Shaik, 2022).</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 (Article Detail - International Journal of Advanced Research, 2020).</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 (Domingo, 2020).</w:t>
      </w:r>
    </w:p>
    <w:bookmarkEnd w:id="29"/>
    <w:bookmarkEnd w:id="30"/>
    <w:bookmarkStart w:id="49" w:name="chapter-iii"/>
    <w:p>
      <w:pPr>
        <w:pStyle w:val="Heading1"/>
      </w:pPr>
      <w:r>
        <w:t xml:space="preserve">Chapter III</w:t>
      </w:r>
    </w:p>
    <w:bookmarkStart w:id="48"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Specifically, the researchers will employ comparative time series forecasting</w:t>
      </w:r>
      <w:r>
        <w:t xml:space="preserve"> </w:t>
      </w:r>
      <w:r>
        <w:t xml:space="preserve">(Hyndman &amp; Athanasopoulos, 2021)</w:t>
      </w:r>
      <w:r>
        <w:t xml:space="preserve">. In this study, AutoRegressive Integrated Moving Average (ARIMA) and Exponential Smoothing (ETS) models will be estimated using the monthly vegetable prices from NVAT. The researchers will then compare the estimated models and choose the one with higher accuracy for forecasting monthly vegetable prices.</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particularly focus on the available time series data for vegetable prices at NVAT.</w:t>
      </w:r>
    </w:p>
    <w:bookmarkEnd w:id="41"/>
    <w:bookmarkStart w:id="42" w:name="data-gathering-procedure"/>
    <w:p>
      <w:pPr>
        <w:pStyle w:val="Heading3"/>
      </w:pPr>
      <w:r>
        <w:t xml:space="preserve">Data Gathering Procedure</w:t>
      </w:r>
    </w:p>
    <w:p>
      <w:pPr>
        <w:pStyle w:val="FirstParagraph"/>
      </w:pPr>
      <w:r>
        <w:t xml:space="preserve">The researchers will inquire about the background and data policy of NVAT by visiting its office. Additionally, letters requesting permission to gather data for the research will be written to the NVSU President, NVAT General Manager, and the Municipal Mayor of Bambang (refer to Appendix A, B, and C, respectively). Subsequently, the researchers will collect available time series of vegetable prices. Throughout the data collection process, strict adherence to ethical considerations, including data confidentiality and approval from appropriate authorities, will be maintained.</w:t>
      </w:r>
    </w:p>
    <w:bookmarkEnd w:id="42"/>
    <w:bookmarkStart w:id="47" w:name="data-analysis-and-treatment-of-data"/>
    <w:p>
      <w:pPr>
        <w:pStyle w:val="Heading3"/>
      </w:pPr>
      <w:r>
        <w:t xml:space="preserve">Data Analysis and Treatment of Data</w:t>
      </w:r>
    </w:p>
    <w:p>
      <w:pPr>
        <w:pStyle w:val="FirstParagraph"/>
      </w:pPr>
      <w:r>
        <w:t xml:space="preserve">In forecasting monthly vegetable prices, the researchers will follow the process illustrated in</w:t>
      </w:r>
      <w:r>
        <w:t xml:space="preserve"> </w:t>
      </w:r>
      <w:hyperlink w:anchor="fig-workflow">
        <w:r>
          <w:rPr>
            <w:rStyle w:val="Hyperlink"/>
          </w:rPr>
          <w:t xml:space="preserve">Figure 3</w:t>
        </w:r>
      </w:hyperlink>
      <w:r>
        <w:t xml:space="preserve">. It is an adapted representation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18173"/>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181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In the tidy phase, the researchers will prepare the raw data, ensuring it’s in the correct format.</w:t>
      </w:r>
    </w:p>
    <w:p>
      <w:pPr>
        <w:pStyle w:val="BodyText"/>
      </w:pPr>
      <w:r>
        <w:t xml:space="preserve">The tidy part involves preparing the raw data in the correct format. This includes loading the raw data into R and identifying and resolving missing values in order to create a tidy time series data for monthly vegetable prices. The researchers will utilize the</w:t>
      </w:r>
      <w:r>
        <w:t xml:space="preserve"> </w:t>
      </w:r>
      <w:r>
        <w:rPr>
          <w:rStyle w:val="VerbatimChar"/>
        </w:rPr>
        <w:t xml:space="preserve">tsibble</w:t>
      </w:r>
      <w:r>
        <w:t xml:space="preserve"> </w:t>
      </w:r>
      <w:r>
        <w:t xml:space="preserve">and</w:t>
      </w:r>
      <w:r>
        <w:t xml:space="preserve"> </w:t>
      </w:r>
      <w:r>
        <w:rPr>
          <w:rStyle w:val="VerbatimChar"/>
        </w:rPr>
        <w:t xml:space="preserve">tidyverse</w:t>
      </w:r>
      <w:r>
        <w:t xml:space="preserve"> </w:t>
      </w:r>
      <w:r>
        <w:t xml:space="preserve">packages for this task</w:t>
      </w:r>
      <w:r>
        <w:t xml:space="preserve"> </w:t>
      </w:r>
      <w:r>
        <w:t xml:space="preserve">(Wang et al., 2020; Wickham et al., 2019)</w:t>
      </w:r>
      <w:r>
        <w:t xml:space="preserve">.</w:t>
      </w:r>
    </w:p>
    <w:p>
      <w:pPr>
        <w:pStyle w:val="BodyText"/>
      </w:pPr>
      <w:r>
        <w:t xml:space="preserve">Subsequently, the researchers will visualize the monthly vegetable prices. The trend and seasonal components of the data will also be visualized using the Seasonal and Trend decomposition using LOESS (STL) method developed by</w:t>
      </w:r>
      <w:r>
        <w:t xml:space="preserve"> </w:t>
      </w:r>
      <w:r>
        <w:t xml:space="preserve">Cleveland et al. (1990)</w:t>
      </w:r>
      <w:r>
        <w:t xml:space="preserve">. These visualizations are integral in describing the data.</w:t>
      </w:r>
    </w:p>
    <w:p>
      <w:pPr>
        <w:pStyle w:val="BodyText"/>
      </w:pPr>
      <w:r>
        <w:t xml:space="preserve">Next, automatic algorithms introduced by</w:t>
      </w:r>
      <w:r>
        <w:t xml:space="preserve"> </w:t>
      </w:r>
      <w:r>
        <w:t xml:space="preserve">Hyndman &amp; Athanasopoulos (2021)</w:t>
      </w:r>
      <w:r>
        <w:t xml:space="preserve"> </w:t>
      </w:r>
      <w:r>
        <w:t xml:space="preserve">will be used to estimate or fit the best ARIMA and ETS models to the data. The researchers will implement these algorithms in R using the</w:t>
      </w:r>
      <w:r>
        <w:t xml:space="preserve"> </w:t>
      </w:r>
      <w:r>
        <w:rPr>
          <w:rStyle w:val="VerbatimChar"/>
        </w:rPr>
        <w:t xml:space="preserve">fable</w:t>
      </w:r>
      <w:r>
        <w:t xml:space="preserve"> </w:t>
      </w:r>
      <w:r>
        <w:t xml:space="preserve">package</w:t>
      </w:r>
      <w:r>
        <w:t xml:space="preserve">(O’Hara-Wild et al., 2023)</w:t>
      </w:r>
      <w:r>
        <w:t xml:space="preserve">.</w:t>
      </w:r>
    </w:p>
    <w:p>
      <w:pPr>
        <w:pStyle w:val="BodyText"/>
      </w:pPr>
      <w:r>
        <w:t xml:space="preserve">Moreover, time series cross-validation will be used to evaluate forecast accuracy of the ARIMA and ETS models</w:t>
      </w:r>
      <w:r>
        <w:t xml:space="preserve"> </w:t>
      </w:r>
      <w:r>
        <w:t xml:space="preserve">(Hyndman &amp; Athanasopoulos, 2021)</w:t>
      </w:r>
      <w:r>
        <w:t xml:space="preserve">. Point forecast accuracy measures such as the mean absolute error (MAE), root mean squared error (RMSE), mean absolute percentage error (MAPE), and mean absolute squared error (MASE) will be computed and compared to determine the better model for each vegetable.</w:t>
      </w:r>
    </w:p>
    <w:p>
      <w:pPr>
        <w:pStyle w:val="BodyText"/>
      </w:pPr>
      <w:r>
        <w:t xml:space="preserve">Finally, the better model will be used to forecast monthly vegetable prices.</w:t>
      </w:r>
    </w:p>
    <w:bookmarkEnd w:id="47"/>
    <w:bookmarkEnd w:id="48"/>
    <w:bookmarkEnd w:id="49"/>
    <w:bookmarkStart w:id="67" w:name="references"/>
    <w:p>
      <w:pPr>
        <w:pStyle w:val="Heading1"/>
      </w:pPr>
      <w:r>
        <w:t xml:space="preserve">References</w:t>
      </w:r>
    </w:p>
    <w:bookmarkStart w:id="66" w:name="refs"/>
    <w:bookmarkStart w:id="51" w:name="ref-chen20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0">
        <w:r>
          <w:rPr>
            <w:rStyle w:val="Hyperlink"/>
          </w:rPr>
          <w:t xml:space="preserve">https://doi.org/10.1016/j.future.2018.05.045</w:t>
        </w:r>
      </w:hyperlink>
    </w:p>
    <w:bookmarkEnd w:id="51"/>
    <w:bookmarkStart w:id="53" w:name="ref-cleveland90"/>
    <w:p>
      <w:pPr>
        <w:pStyle w:val="Bibliography"/>
      </w:pPr>
      <w:r>
        <w:t xml:space="preserve">Cleveland, R. B., Cleveland, W. S., McRae, J. E., &amp; Terpenning, I. (1990).</w:t>
      </w:r>
      <w:r>
        <w:t xml:space="preserve"> </w:t>
      </w:r>
      <w:r>
        <w:t xml:space="preserve">STL</w:t>
      </w:r>
      <w:r>
        <w:t xml:space="preserve">: A seasonal-trend decomposition procedure based on loess.</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2">
        <w:r>
          <w:rPr>
            <w:rStyle w:val="Hyperlink"/>
          </w:rPr>
          <w:t xml:space="preserve">http://bit.ly/stl1990</w:t>
        </w:r>
      </w:hyperlink>
    </w:p>
    <w:bookmarkEnd w:id="53"/>
    <w:bookmarkStart w:id="55" w:name="ref-fao"/>
    <w:p>
      <w:pPr>
        <w:pStyle w:val="Bibliography"/>
      </w:pPr>
      <w:r>
        <w:rPr>
          <w:iCs/>
          <w:i/>
        </w:rPr>
        <w:t xml:space="preserve">FAOSTAT</w:t>
      </w:r>
      <w:r>
        <w:t xml:space="preserve">. (n.d.). Retrieved November 16, 2023, from</w:t>
      </w:r>
      <w:r>
        <w:t xml:space="preserve"> </w:t>
      </w:r>
      <w:hyperlink r:id="rId54">
        <w:r>
          <w:rPr>
            <w:rStyle w:val="Hyperlink"/>
          </w:rPr>
          <w:t xml:space="preserve">https://www.fao.org/faostat/en/?fbclid=IwAR2h4qJMCNFK7ryH25Q2IxT8e2SaZHwYrt73spPPQNcPg3FWx32VmqZ5iNA#data</w:t>
        </w:r>
      </w:hyperlink>
    </w:p>
    <w:bookmarkEnd w:id="55"/>
    <w:bookmarkStart w:id="57"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56">
        <w:r>
          <w:rPr>
            <w:rStyle w:val="Hyperlink"/>
          </w:rPr>
          <w:t xml:space="preserve">OTexts.com/fpp3</w:t>
        </w:r>
      </w:hyperlink>
    </w:p>
    <w:bookmarkEnd w:id="57"/>
    <w:bookmarkStart w:id="59" w:name="ref-mchopa14"/>
    <w:p>
      <w:pPr>
        <w:pStyle w:val="Bibliography"/>
      </w:pPr>
      <w:r>
        <w:t xml:space="preserve">Mchopa, A., Ruoja, C., &amp; Huka, H. (2014). Price fluctuation of agricultural products and its impact on small scale farmers development: Case analysis from kilimanjaro tanzania.</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58">
        <w:r>
          <w:rPr>
            <w:rStyle w:val="Hyperlink"/>
          </w:rPr>
          <w:t xml:space="preserve">https://catalog.ihsn.org/citations/91017?fbclid=IwAR06pCHPm9d6ko-uxXndkeBPGmpGgp7plCg0BQwlXNBHWh8OdHbY4B23soc</w:t>
        </w:r>
      </w:hyperlink>
    </w:p>
    <w:bookmarkEnd w:id="59"/>
    <w:bookmarkStart w:id="61" w:name="ref-fable"/>
    <w:p>
      <w:pPr>
        <w:pStyle w:val="Bibliography"/>
      </w:pPr>
      <w:r>
        <w:t xml:space="preserve">O’Hara-Wild, M., Hyndman, R., &amp; Wang, E. (2023).</w:t>
      </w:r>
      <w:r>
        <w:t xml:space="preserve"> </w:t>
      </w:r>
      <w:r>
        <w:rPr>
          <w:iCs/>
          <w:i/>
        </w:rPr>
        <w:t xml:space="preserve">Fable: Forecasting models for tidy time series</w:t>
      </w:r>
      <w:r>
        <w:t xml:space="preserve">.</w:t>
      </w:r>
      <w:r>
        <w:t xml:space="preserve"> </w:t>
      </w:r>
      <w:hyperlink r:id="rId60">
        <w:r>
          <w:rPr>
            <w:rStyle w:val="Hyperlink"/>
          </w:rPr>
          <w:t xml:space="preserve">https://CRAN.R-project.org/package=fable</w:t>
        </w:r>
      </w:hyperlink>
    </w:p>
    <w:bookmarkEnd w:id="61"/>
    <w:bookmarkStart w:id="63"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62">
        <w:r>
          <w:rPr>
            <w:rStyle w:val="Hyperlink"/>
          </w:rPr>
          <w:t xml:space="preserve">https://doi.org/10.1080/10618600.2019.1695624</w:t>
        </w:r>
      </w:hyperlink>
    </w:p>
    <w:bookmarkEnd w:id="63"/>
    <w:bookmarkStart w:id="65"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64">
        <w:r>
          <w:rPr>
            <w:rStyle w:val="Hyperlink"/>
          </w:rPr>
          <w:t xml:space="preserve">https://doi.org/10.21105/joss.01686</w:t>
        </w:r>
      </w:hyperlink>
    </w:p>
    <w:bookmarkEnd w:id="65"/>
    <w:bookmarkEnd w:id="66"/>
    <w:bookmarkEnd w:id="67"/>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2" Target="http://bit.ly/stl1990" TargetMode="External" /><Relationship Type="http://schemas.openxmlformats.org/officeDocument/2006/relationships/hyperlink" Id="rId60" Target="https://CRAN.R-project.org/package=fable" TargetMode="External" /><Relationship Type="http://schemas.openxmlformats.org/officeDocument/2006/relationships/hyperlink" Id="rId56" Target="https://OTexts.com/fpp3" TargetMode="External" /><Relationship Type="http://schemas.openxmlformats.org/officeDocument/2006/relationships/hyperlink" Id="rId58" Target="https://catalog.ihsn.org/citations/91017?fbclid=IwAR06pCHPm9d6ko-uxXndkeBPGmpGgp7plCg0BQwlXNBHWh8OdHbY4B23soc" TargetMode="External" /><Relationship Type="http://schemas.openxmlformats.org/officeDocument/2006/relationships/hyperlink" Id="rId50" Target="https://doi.org/10.1016/j.future.2018.05.045" TargetMode="External" /><Relationship Type="http://schemas.openxmlformats.org/officeDocument/2006/relationships/hyperlink" Id="rId62" Target="https://doi.org/10.1080/10618600.2019.1695624" TargetMode="External" /><Relationship Type="http://schemas.openxmlformats.org/officeDocument/2006/relationships/hyperlink" Id="rId64" Target="https://doi.org/10.21105/joss.01686" TargetMode="External" /><Relationship Type="http://schemas.openxmlformats.org/officeDocument/2006/relationships/hyperlink" Id="rId54" Target="https://www.fao.org/faostat/en/?fbclid=IwAR2h4qJMCNFK7ryH25Q2IxT8e2SaZHwYrt73spPPQNcPg3FWx32VmqZ5iNA#data" TargetMode="External" /></Relationships>
</file>

<file path=word/_rels/footnotes.xml.rels><?xml version="1.0" encoding="UTF-8"?><Relationships xmlns="http://schemas.openxmlformats.org/package/2006/relationships"><Relationship Type="http://schemas.openxmlformats.org/officeDocument/2006/relationships/hyperlink" Id="rId52" Target="http://bit.ly/stl1990" TargetMode="External" /><Relationship Type="http://schemas.openxmlformats.org/officeDocument/2006/relationships/hyperlink" Id="rId60" Target="https://CRAN.R-project.org/package=fable" TargetMode="External" /><Relationship Type="http://schemas.openxmlformats.org/officeDocument/2006/relationships/hyperlink" Id="rId56" Target="https://OTexts.com/fpp3" TargetMode="External" /><Relationship Type="http://schemas.openxmlformats.org/officeDocument/2006/relationships/hyperlink" Id="rId58" Target="https://catalog.ihsn.org/citations/91017?fbclid=IwAR06pCHPm9d6ko-uxXndkeBPGmpGgp7plCg0BQwlXNBHWh8OdHbY4B23soc" TargetMode="External" /><Relationship Type="http://schemas.openxmlformats.org/officeDocument/2006/relationships/hyperlink" Id="rId50" Target="https://doi.org/10.1016/j.future.2018.05.045" TargetMode="External" /><Relationship Type="http://schemas.openxmlformats.org/officeDocument/2006/relationships/hyperlink" Id="rId62" Target="https://doi.org/10.1080/10618600.2019.1695624" TargetMode="External" /><Relationship Type="http://schemas.openxmlformats.org/officeDocument/2006/relationships/hyperlink" Id="rId64" Target="https://doi.org/10.21105/joss.01686" TargetMode="External" /><Relationship Type="http://schemas.openxmlformats.org/officeDocument/2006/relationships/hyperlink" Id="rId54" Target="https://www.fao.org/faostat/en/?fbclid=IwAR2h4qJMCNFK7ryH25Q2IxT8e2SaZHwYrt73spPPQNcPg3FWx32VmqZ5iNA#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2023-11-28T02:15:44Z</dcterms:created>
  <dcterms:modified xsi:type="dcterms:W3CDTF">2023-11-28T02:15:44Z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