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8A4D7" w14:textId="77777777" w:rsidR="00225F2A" w:rsidRDefault="00000000">
      <w:pPr>
        <w:pStyle w:val="Title"/>
      </w:pPr>
      <w:r>
        <w:t>NVSU ANNUAL ACCOMPLISHMENT REPORT 2022</w:t>
      </w:r>
    </w:p>
    <w:p w14:paraId="4CC8AFFC" w14:textId="77777777" w:rsidR="00225F2A" w:rsidRDefault="00000000">
      <w:pPr>
        <w:pStyle w:val="Subtitle"/>
      </w:pPr>
      <w:r>
        <w:t>ACADEMIC AFFAIRS</w:t>
      </w:r>
    </w:p>
    <w:p w14:paraId="4A143542" w14:textId="77777777" w:rsidR="00225F2A" w:rsidRDefault="00000000">
      <w:pPr>
        <w:pStyle w:val="Author"/>
      </w:pPr>
      <w:r>
        <w:t>IPPRC</w:t>
      </w:r>
    </w:p>
    <w:tbl>
      <w:tblPr>
        <w:tblStyle w:val="Table"/>
        <w:tblW w:w="5000" w:type="pct"/>
        <w:tblLook w:val="0000" w:firstRow="0" w:lastRow="0" w:firstColumn="0" w:lastColumn="0" w:noHBand="0" w:noVBand="0"/>
      </w:tblPr>
      <w:tblGrid>
        <w:gridCol w:w="9360"/>
      </w:tblGrid>
      <w:tr w:rsidR="00225F2A" w14:paraId="6A58E2B6" w14:textId="77777777">
        <w:tc>
          <w:tcPr>
            <w:tcW w:w="0" w:type="auto"/>
          </w:tcPr>
          <w:p w14:paraId="044BEF3C" w14:textId="77777777" w:rsidR="00225F2A" w:rsidRPr="00680B59" w:rsidRDefault="00000000" w:rsidP="00680B59">
            <w:pPr>
              <w:pStyle w:val="Figure"/>
            </w:pPr>
            <w:bookmarkStart w:id="0" w:name="fig-hep_aep"/>
            <w:r w:rsidRPr="00680B59">
              <w:drawing>
                <wp:inline distT="0" distB="0" distL="0" distR="0" wp14:anchorId="051665D9" wp14:editId="488359FD">
                  <wp:extent cx="5082138" cy="3234088"/>
                  <wp:effectExtent l="114300" t="114300" r="99695" b="137795"/>
                  <wp:docPr id="21" name="Picture"/>
                  <wp:cNvGraphicFramePr/>
                  <a:graphic xmlns:a="http://schemas.openxmlformats.org/drawingml/2006/main">
                    <a:graphicData uri="http://schemas.openxmlformats.org/drawingml/2006/picture">
                      <pic:pic xmlns:pic="http://schemas.openxmlformats.org/drawingml/2006/picture">
                        <pic:nvPicPr>
                          <pic:cNvPr id="22" name="Picture" descr="aar-2022-aa-visuals-fin_files/figure-docx/fig-hep_aep-1.png"/>
                          <pic:cNvPicPr>
                            <a:picLocks noChangeAspect="1" noChangeArrowheads="1"/>
                          </pic:cNvPicPr>
                        </pic:nvPicPr>
                        <pic:blipFill>
                          <a:blip r:embed="rId7"/>
                          <a:stretch>
                            <a:fillRect/>
                          </a:stretch>
                        </pic:blipFill>
                        <pic:spPr bwMode="auto">
                          <a:xfrm>
                            <a:off x="0" y="0"/>
                            <a:ext cx="5082138" cy="32340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25847F" w14:textId="77777777" w:rsidR="00225F2A" w:rsidRDefault="00000000" w:rsidP="00CF1427">
            <w:pPr>
              <w:pStyle w:val="ImageCaption"/>
            </w:pPr>
            <w:r>
              <w:t>Figure 1: Summary of Accomplishments of the NVSU Academic Affairs</w:t>
            </w:r>
          </w:p>
        </w:tc>
        <w:bookmarkEnd w:id="0"/>
      </w:tr>
    </w:tbl>
    <w:p w14:paraId="6EFE5394" w14:textId="77777777" w:rsidR="00225F2A" w:rsidRDefault="00000000">
      <w:pPr>
        <w:pStyle w:val="BodyText"/>
      </w:pPr>
      <w:r>
        <w:t xml:space="preserve">The accomplishment of the university in the academic affairs is summarized in </w:t>
      </w:r>
      <w:hyperlink w:anchor="fig-hep_aep">
        <w:r>
          <w:rPr>
            <w:rStyle w:val="Hyperlink"/>
          </w:rPr>
          <w:t>Figure 1</w:t>
        </w:r>
      </w:hyperlink>
      <w:r>
        <w:t>. The university set targets for year 2022 based on specific Outcome (OC) and Output (OP) Indicators for both Higher Education Program (HEP) and Advanced Education Program (AEP) then actual accomplishments are compared. In the HEP, for OC 1, Percentage of first-time licensure exam-takers that pass the licensure exams, the actual accomplishment is higher than the target, that is 66% (418/625) vs 64% (576/900). For OC 2, Percentage of graduates (2 years prior) that are employed, the actual accomplishment did not meet the target, that is 47.63% (583/1224) vs 72% (910/1264). For OP 1, Percentage of undergraduate student population enrolled in CHED identified and RDC priority programs, and OP 2, Percentage of undergraduate programs with accreditation, actual accomplishments fell short against the targets, that is 62.48% (8214/13146) vs 77% (12705/16500) and 68.75% (33/48) vs 73.33% (33/45).</w:t>
      </w:r>
    </w:p>
    <w:p w14:paraId="2DD95173" w14:textId="77777777" w:rsidR="00225F2A" w:rsidRDefault="00000000">
      <w:pPr>
        <w:pStyle w:val="BodyText"/>
      </w:pPr>
      <w:r>
        <w:t xml:space="preserve">On the Other hand, in the AEP, for OC 1b, Percentage of graduate school faculty engaged in research work applied in any of the following: b. actively pursuing in the last three (3) years (investigative research, basic and applied scientific research, policy research, social </w:t>
      </w:r>
      <w:r>
        <w:lastRenderedPageBreak/>
        <w:t>science research), actual accomplishment did not meet the target, that is 25.97% (20/77) vs 61.6% (37/60). For OP 1, Percentage of graduate students enrolled in research degree programs, the actual accomplishment overly exceeded the target, that is 100% (693/693) vs 1.14% (8/700). For OP2, Percentage of accredited graduate programs, the actual accomplishment is the same as the target, that is 65.39% (17/26).</w:t>
      </w:r>
    </w:p>
    <w:sectPr w:rsidR="00225F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87681" w14:textId="77777777" w:rsidR="00EB3E9A" w:rsidRDefault="00EB3E9A">
      <w:pPr>
        <w:spacing w:after="0"/>
      </w:pPr>
      <w:r>
        <w:separator/>
      </w:r>
    </w:p>
  </w:endnote>
  <w:endnote w:type="continuationSeparator" w:id="0">
    <w:p w14:paraId="08ECEAD5" w14:textId="77777777" w:rsidR="00EB3E9A" w:rsidRDefault="00EB3E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19883" w14:textId="77777777" w:rsidR="00EB3E9A" w:rsidRDefault="00EB3E9A">
      <w:r>
        <w:separator/>
      </w:r>
    </w:p>
  </w:footnote>
  <w:footnote w:type="continuationSeparator" w:id="0">
    <w:p w14:paraId="43C16435" w14:textId="77777777" w:rsidR="00EB3E9A" w:rsidRDefault="00EB3E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A949A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E0CC3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42E98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A4F6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A022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2C4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266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0CA7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A6AF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742D9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107603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04445837">
    <w:abstractNumId w:val="10"/>
  </w:num>
  <w:num w:numId="2" w16cid:durableId="1435830547">
    <w:abstractNumId w:val="9"/>
  </w:num>
  <w:num w:numId="3" w16cid:durableId="2145803351">
    <w:abstractNumId w:val="7"/>
  </w:num>
  <w:num w:numId="4" w16cid:durableId="494954612">
    <w:abstractNumId w:val="6"/>
  </w:num>
  <w:num w:numId="5" w16cid:durableId="985358508">
    <w:abstractNumId w:val="5"/>
  </w:num>
  <w:num w:numId="6" w16cid:durableId="4409911">
    <w:abstractNumId w:val="4"/>
  </w:num>
  <w:num w:numId="7" w16cid:durableId="549339412">
    <w:abstractNumId w:val="8"/>
  </w:num>
  <w:num w:numId="8" w16cid:durableId="1553420535">
    <w:abstractNumId w:val="3"/>
  </w:num>
  <w:num w:numId="9" w16cid:durableId="468519929">
    <w:abstractNumId w:val="2"/>
  </w:num>
  <w:num w:numId="10" w16cid:durableId="1367025828">
    <w:abstractNumId w:val="1"/>
  </w:num>
  <w:num w:numId="11" w16cid:durableId="447630830">
    <w:abstractNumId w:val="0"/>
  </w:num>
  <w:num w:numId="12" w16cid:durableId="69546340">
    <w:abstractNumId w:val="10"/>
  </w:num>
  <w:num w:numId="13" w16cid:durableId="2062434357">
    <w:abstractNumId w:val="10"/>
  </w:num>
  <w:num w:numId="14" w16cid:durableId="1985625516">
    <w:abstractNumId w:val="10"/>
  </w:num>
  <w:num w:numId="15" w16cid:durableId="610861904">
    <w:abstractNumId w:val="10"/>
  </w:num>
  <w:num w:numId="16" w16cid:durableId="1627543391">
    <w:abstractNumId w:val="10"/>
  </w:num>
  <w:num w:numId="17" w16cid:durableId="1447888164">
    <w:abstractNumId w:val="10"/>
  </w:num>
  <w:num w:numId="18" w16cid:durableId="740054729">
    <w:abstractNumId w:val="10"/>
  </w:num>
  <w:num w:numId="19" w16cid:durableId="1059745654">
    <w:abstractNumId w:val="10"/>
  </w:num>
  <w:num w:numId="20" w16cid:durableId="4515528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2A"/>
    <w:rsid w:val="00225F2A"/>
    <w:rsid w:val="00680B59"/>
    <w:rsid w:val="00CF1427"/>
    <w:rsid w:val="00EB3E9A"/>
    <w:rsid w:val="00F67D8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21AB"/>
  <w15:docId w15:val="{14557E3B-819C-45E4-8F18-FE1DC00EC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B76D64"/>
    <w:pPr>
      <w:spacing w:before="180" w:after="180"/>
      <w:ind w:firstLine="72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F6232"/>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qFormat/>
    <w:rsid w:val="00FD575A"/>
    <w:pPr>
      <w:spacing w:before="200" w:after="120"/>
      <w:jc w:val="center"/>
    </w:pPr>
    <w:rPr>
      <w:b/>
      <w:i/>
    </w:rPr>
  </w:style>
  <w:style w:type="paragraph" w:customStyle="1" w:styleId="TableCaption">
    <w:name w:val="Table Caption"/>
    <w:basedOn w:val="Caption"/>
    <w:pPr>
      <w:keepNext/>
    </w:pPr>
  </w:style>
  <w:style w:type="paragraph" w:customStyle="1" w:styleId="ImageCaption">
    <w:name w:val="Image Caption"/>
    <w:basedOn w:val="Caption"/>
    <w:qFormat/>
    <w:rsid w:val="00A74D37"/>
  </w:style>
  <w:style w:type="paragraph" w:customStyle="1" w:styleId="Figure">
    <w:name w:val="Figure"/>
    <w:basedOn w:val="Normal"/>
    <w:rsid w:val="00680B59"/>
    <w:pPr>
      <w:jc w:val="center"/>
    </w:pPr>
    <w:rPr>
      <w:b/>
      <w:noProof/>
    </w:rPr>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FD575A"/>
    <w:rPr>
      <w:b/>
      <w:i/>
    </w:rPr>
  </w:style>
  <w:style w:type="character" w:customStyle="1" w:styleId="VerbatimChar">
    <w:name w:val="Verbatim Char"/>
    <w:basedOn w:val="CaptionChar"/>
    <w:link w:val="SourceCode"/>
    <w:rPr>
      <w:rFonts w:ascii="Consolas" w:hAnsi="Consolas"/>
      <w:b/>
      <w:i/>
      <w:sz w:val="22"/>
    </w:rPr>
  </w:style>
  <w:style w:type="character" w:customStyle="1" w:styleId="SectionNumber">
    <w:name w:val="Section Number"/>
    <w:basedOn w:val="CaptionChar"/>
    <w:rPr>
      <w:b/>
      <w:i/>
    </w:rPr>
  </w:style>
  <w:style w:type="character" w:styleId="FootnoteReference">
    <w:name w:val="footnote reference"/>
    <w:basedOn w:val="CaptionChar"/>
    <w:rPr>
      <w:b/>
      <w:i/>
      <w:vertAlign w:val="superscript"/>
    </w:rPr>
  </w:style>
  <w:style w:type="character" w:styleId="Hyperlink">
    <w:name w:val="Hyperlink"/>
    <w:basedOn w:val="CaptionChar"/>
    <w:rPr>
      <w:b/>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i/>
      <w:color w:val="003B4F"/>
      <w:sz w:val="22"/>
      <w:shd w:val="clear" w:color="auto" w:fill="F1F3F5"/>
    </w:rPr>
  </w:style>
  <w:style w:type="character" w:customStyle="1" w:styleId="DataTypeTok">
    <w:name w:val="DataTypeTok"/>
    <w:basedOn w:val="VerbatimChar"/>
    <w:rPr>
      <w:rFonts w:ascii="Consolas" w:hAnsi="Consolas"/>
      <w:b/>
      <w:i/>
      <w:color w:val="AD0000"/>
      <w:sz w:val="22"/>
      <w:shd w:val="clear" w:color="auto" w:fill="F1F3F5"/>
    </w:rPr>
  </w:style>
  <w:style w:type="character" w:customStyle="1" w:styleId="DecValTok">
    <w:name w:val="DecValTok"/>
    <w:basedOn w:val="VerbatimChar"/>
    <w:rPr>
      <w:rFonts w:ascii="Consolas" w:hAnsi="Consolas"/>
      <w:b/>
      <w:i/>
      <w:color w:val="AD0000"/>
      <w:sz w:val="22"/>
      <w:shd w:val="clear" w:color="auto" w:fill="F1F3F5"/>
    </w:rPr>
  </w:style>
  <w:style w:type="character" w:customStyle="1" w:styleId="BaseNTok">
    <w:name w:val="BaseNTok"/>
    <w:basedOn w:val="VerbatimChar"/>
    <w:rPr>
      <w:rFonts w:ascii="Consolas" w:hAnsi="Consolas"/>
      <w:b/>
      <w:i/>
      <w:color w:val="AD0000"/>
      <w:sz w:val="22"/>
      <w:shd w:val="clear" w:color="auto" w:fill="F1F3F5"/>
    </w:rPr>
  </w:style>
  <w:style w:type="character" w:customStyle="1" w:styleId="FloatTok">
    <w:name w:val="FloatTok"/>
    <w:basedOn w:val="VerbatimChar"/>
    <w:rPr>
      <w:rFonts w:ascii="Consolas" w:hAnsi="Consolas"/>
      <w:b/>
      <w:i/>
      <w:color w:val="AD0000"/>
      <w:sz w:val="22"/>
      <w:shd w:val="clear" w:color="auto" w:fill="F1F3F5"/>
    </w:rPr>
  </w:style>
  <w:style w:type="character" w:customStyle="1" w:styleId="ConstantTok">
    <w:name w:val="ConstantTok"/>
    <w:basedOn w:val="VerbatimChar"/>
    <w:rPr>
      <w:rFonts w:ascii="Consolas" w:hAnsi="Consolas"/>
      <w:b/>
      <w:i/>
      <w:color w:val="8F5902"/>
      <w:sz w:val="22"/>
      <w:shd w:val="clear" w:color="auto" w:fill="F1F3F5"/>
    </w:rPr>
  </w:style>
  <w:style w:type="character" w:customStyle="1" w:styleId="CharTok">
    <w:name w:val="CharTok"/>
    <w:basedOn w:val="VerbatimChar"/>
    <w:rPr>
      <w:rFonts w:ascii="Consolas" w:hAnsi="Consolas"/>
      <w:b/>
      <w:i/>
      <w:color w:val="20794D"/>
      <w:sz w:val="22"/>
      <w:shd w:val="clear" w:color="auto" w:fill="F1F3F5"/>
    </w:rPr>
  </w:style>
  <w:style w:type="character" w:customStyle="1" w:styleId="SpecialCharTok">
    <w:name w:val="SpecialCharTok"/>
    <w:basedOn w:val="VerbatimChar"/>
    <w:rPr>
      <w:rFonts w:ascii="Consolas" w:hAnsi="Consolas"/>
      <w:b/>
      <w:i/>
      <w:color w:val="5E5E5E"/>
      <w:sz w:val="22"/>
      <w:shd w:val="clear" w:color="auto" w:fill="F1F3F5"/>
    </w:rPr>
  </w:style>
  <w:style w:type="character" w:customStyle="1" w:styleId="StringTok">
    <w:name w:val="StringTok"/>
    <w:basedOn w:val="VerbatimChar"/>
    <w:rPr>
      <w:rFonts w:ascii="Consolas" w:hAnsi="Consolas"/>
      <w:b/>
      <w:i/>
      <w:color w:val="20794D"/>
      <w:sz w:val="22"/>
      <w:shd w:val="clear" w:color="auto" w:fill="F1F3F5"/>
    </w:rPr>
  </w:style>
  <w:style w:type="character" w:customStyle="1" w:styleId="VerbatimStringTok">
    <w:name w:val="VerbatimStringTok"/>
    <w:basedOn w:val="VerbatimChar"/>
    <w:rPr>
      <w:rFonts w:ascii="Consolas" w:hAnsi="Consolas"/>
      <w:b/>
      <w:i/>
      <w:color w:val="20794D"/>
      <w:sz w:val="22"/>
      <w:shd w:val="clear" w:color="auto" w:fill="F1F3F5"/>
    </w:rPr>
  </w:style>
  <w:style w:type="character" w:customStyle="1" w:styleId="SpecialStringTok">
    <w:name w:val="SpecialStringTok"/>
    <w:basedOn w:val="VerbatimChar"/>
    <w:rPr>
      <w:rFonts w:ascii="Consolas" w:hAnsi="Consolas"/>
      <w:b/>
      <w:i/>
      <w:color w:val="20794D"/>
      <w:sz w:val="22"/>
      <w:shd w:val="clear" w:color="auto" w:fill="F1F3F5"/>
    </w:rPr>
  </w:style>
  <w:style w:type="character" w:customStyle="1" w:styleId="ImportTok">
    <w:name w:val="ImportTok"/>
    <w:basedOn w:val="VerbatimChar"/>
    <w:rPr>
      <w:rFonts w:ascii="Consolas" w:hAnsi="Consolas"/>
      <w:b/>
      <w:i/>
      <w:color w:val="00769E"/>
      <w:sz w:val="22"/>
      <w:shd w:val="clear" w:color="auto" w:fill="F1F3F5"/>
    </w:rPr>
  </w:style>
  <w:style w:type="character" w:customStyle="1" w:styleId="CommentTok">
    <w:name w:val="CommentTok"/>
    <w:basedOn w:val="VerbatimChar"/>
    <w:rPr>
      <w:rFonts w:ascii="Consolas" w:hAnsi="Consolas"/>
      <w:b/>
      <w:i/>
      <w:color w:val="5E5E5E"/>
      <w:sz w:val="22"/>
      <w:shd w:val="clear" w:color="auto" w:fill="F1F3F5"/>
    </w:rPr>
  </w:style>
  <w:style w:type="character" w:customStyle="1" w:styleId="DocumentationTok">
    <w:name w:val="DocumentationTok"/>
    <w:basedOn w:val="VerbatimChar"/>
    <w:rPr>
      <w:rFonts w:ascii="Consolas" w:hAnsi="Consolas"/>
      <w:b/>
      <w:i w:val="0"/>
      <w:color w:val="5E5E5E"/>
      <w:sz w:val="22"/>
      <w:shd w:val="clear" w:color="auto" w:fill="F1F3F5"/>
    </w:rPr>
  </w:style>
  <w:style w:type="character" w:customStyle="1" w:styleId="AnnotationTok">
    <w:name w:val="AnnotationTok"/>
    <w:basedOn w:val="VerbatimChar"/>
    <w:rPr>
      <w:rFonts w:ascii="Consolas" w:hAnsi="Consolas"/>
      <w:b/>
      <w:i/>
      <w:color w:val="5E5E5E"/>
      <w:sz w:val="22"/>
      <w:shd w:val="clear" w:color="auto" w:fill="F1F3F5"/>
    </w:rPr>
  </w:style>
  <w:style w:type="character" w:customStyle="1" w:styleId="CommentVarTok">
    <w:name w:val="CommentVarTok"/>
    <w:basedOn w:val="VerbatimChar"/>
    <w:rPr>
      <w:rFonts w:ascii="Consolas" w:hAnsi="Consolas"/>
      <w:b/>
      <w:i w:val="0"/>
      <w:color w:val="5E5E5E"/>
      <w:sz w:val="22"/>
      <w:shd w:val="clear" w:color="auto" w:fill="F1F3F5"/>
    </w:rPr>
  </w:style>
  <w:style w:type="character" w:customStyle="1" w:styleId="OtherTok">
    <w:name w:val="OtherTok"/>
    <w:basedOn w:val="VerbatimChar"/>
    <w:rPr>
      <w:rFonts w:ascii="Consolas" w:hAnsi="Consolas"/>
      <w:b/>
      <w:i/>
      <w:color w:val="003B4F"/>
      <w:sz w:val="22"/>
      <w:shd w:val="clear" w:color="auto" w:fill="F1F3F5"/>
    </w:rPr>
  </w:style>
  <w:style w:type="character" w:customStyle="1" w:styleId="FunctionTok">
    <w:name w:val="FunctionTok"/>
    <w:basedOn w:val="VerbatimChar"/>
    <w:rPr>
      <w:rFonts w:ascii="Consolas" w:hAnsi="Consolas"/>
      <w:b/>
      <w:i/>
      <w:color w:val="4758AB"/>
      <w:sz w:val="22"/>
      <w:shd w:val="clear" w:color="auto" w:fill="F1F3F5"/>
    </w:rPr>
  </w:style>
  <w:style w:type="character" w:customStyle="1" w:styleId="VariableTok">
    <w:name w:val="VariableTok"/>
    <w:basedOn w:val="VerbatimChar"/>
    <w:rPr>
      <w:rFonts w:ascii="Consolas" w:hAnsi="Consolas"/>
      <w:b/>
      <w:i/>
      <w:color w:val="111111"/>
      <w:sz w:val="22"/>
      <w:shd w:val="clear" w:color="auto" w:fill="F1F3F5"/>
    </w:rPr>
  </w:style>
  <w:style w:type="character" w:customStyle="1" w:styleId="ControlFlowTok">
    <w:name w:val="ControlFlowTok"/>
    <w:basedOn w:val="VerbatimChar"/>
    <w:rPr>
      <w:rFonts w:ascii="Consolas" w:hAnsi="Consolas"/>
      <w:b/>
      <w:i/>
      <w:color w:val="003B4F"/>
      <w:sz w:val="22"/>
      <w:shd w:val="clear" w:color="auto" w:fill="F1F3F5"/>
    </w:rPr>
  </w:style>
  <w:style w:type="character" w:customStyle="1" w:styleId="OperatorTok">
    <w:name w:val="OperatorTok"/>
    <w:basedOn w:val="VerbatimChar"/>
    <w:rPr>
      <w:rFonts w:ascii="Consolas" w:hAnsi="Consolas"/>
      <w:b/>
      <w:i/>
      <w:color w:val="5E5E5E"/>
      <w:sz w:val="22"/>
      <w:shd w:val="clear" w:color="auto" w:fill="F1F3F5"/>
    </w:rPr>
  </w:style>
  <w:style w:type="character" w:customStyle="1" w:styleId="BuiltInTok">
    <w:name w:val="BuiltInTok"/>
    <w:basedOn w:val="VerbatimChar"/>
    <w:rPr>
      <w:rFonts w:ascii="Consolas" w:hAnsi="Consolas"/>
      <w:b/>
      <w:i/>
      <w:color w:val="003B4F"/>
      <w:sz w:val="22"/>
      <w:shd w:val="clear" w:color="auto" w:fill="F1F3F5"/>
    </w:rPr>
  </w:style>
  <w:style w:type="character" w:customStyle="1" w:styleId="ExtensionTok">
    <w:name w:val="ExtensionTok"/>
    <w:basedOn w:val="VerbatimChar"/>
    <w:rPr>
      <w:rFonts w:ascii="Consolas" w:hAnsi="Consolas"/>
      <w:b/>
      <w:i/>
      <w:color w:val="003B4F"/>
      <w:sz w:val="22"/>
      <w:shd w:val="clear" w:color="auto" w:fill="F1F3F5"/>
    </w:rPr>
  </w:style>
  <w:style w:type="character" w:customStyle="1" w:styleId="PreprocessorTok">
    <w:name w:val="PreprocessorTok"/>
    <w:basedOn w:val="VerbatimChar"/>
    <w:rPr>
      <w:rFonts w:ascii="Consolas" w:hAnsi="Consolas"/>
      <w:b/>
      <w:i/>
      <w:color w:val="AD0000"/>
      <w:sz w:val="22"/>
      <w:shd w:val="clear" w:color="auto" w:fill="F1F3F5"/>
    </w:rPr>
  </w:style>
  <w:style w:type="character" w:customStyle="1" w:styleId="AttributeTok">
    <w:name w:val="AttributeTok"/>
    <w:basedOn w:val="VerbatimChar"/>
    <w:rPr>
      <w:rFonts w:ascii="Consolas" w:hAnsi="Consolas"/>
      <w:b/>
      <w:i/>
      <w:color w:val="657422"/>
      <w:sz w:val="22"/>
      <w:shd w:val="clear" w:color="auto" w:fill="F1F3F5"/>
    </w:rPr>
  </w:style>
  <w:style w:type="character" w:customStyle="1" w:styleId="RegionMarkerTok">
    <w:name w:val="RegionMarkerTok"/>
    <w:basedOn w:val="VerbatimChar"/>
    <w:rPr>
      <w:rFonts w:ascii="Consolas" w:hAnsi="Consolas"/>
      <w:b/>
      <w:i/>
      <w:color w:val="003B4F"/>
      <w:sz w:val="22"/>
      <w:shd w:val="clear" w:color="auto" w:fill="F1F3F5"/>
    </w:rPr>
  </w:style>
  <w:style w:type="character" w:customStyle="1" w:styleId="InformationTok">
    <w:name w:val="InformationTok"/>
    <w:basedOn w:val="VerbatimChar"/>
    <w:rPr>
      <w:rFonts w:ascii="Consolas" w:hAnsi="Consolas"/>
      <w:b/>
      <w:i/>
      <w:color w:val="5E5E5E"/>
      <w:sz w:val="22"/>
      <w:shd w:val="clear" w:color="auto" w:fill="F1F3F5"/>
    </w:rPr>
  </w:style>
  <w:style w:type="character" w:customStyle="1" w:styleId="WarningTok">
    <w:name w:val="WarningTok"/>
    <w:basedOn w:val="VerbatimChar"/>
    <w:rPr>
      <w:rFonts w:ascii="Consolas" w:hAnsi="Consolas"/>
      <w:b/>
      <w:i w:val="0"/>
      <w:color w:val="5E5E5E"/>
      <w:sz w:val="22"/>
      <w:shd w:val="clear" w:color="auto" w:fill="F1F3F5"/>
    </w:rPr>
  </w:style>
  <w:style w:type="character" w:customStyle="1" w:styleId="AlertTok">
    <w:name w:val="AlertTok"/>
    <w:basedOn w:val="VerbatimChar"/>
    <w:rPr>
      <w:rFonts w:ascii="Consolas" w:hAnsi="Consolas"/>
      <w:b/>
      <w:i/>
      <w:color w:val="AD0000"/>
      <w:sz w:val="22"/>
      <w:shd w:val="clear" w:color="auto" w:fill="F1F3F5"/>
    </w:rPr>
  </w:style>
  <w:style w:type="character" w:customStyle="1" w:styleId="ErrorTok">
    <w:name w:val="ErrorTok"/>
    <w:basedOn w:val="VerbatimChar"/>
    <w:rPr>
      <w:rFonts w:ascii="Consolas" w:hAnsi="Consolas"/>
      <w:b/>
      <w:i/>
      <w:color w:val="AD0000"/>
      <w:sz w:val="22"/>
      <w:shd w:val="clear" w:color="auto" w:fill="F1F3F5"/>
    </w:rPr>
  </w:style>
  <w:style w:type="character" w:customStyle="1" w:styleId="NormalTok">
    <w:name w:val="NormalTok"/>
    <w:basedOn w:val="VerbatimChar"/>
    <w:rPr>
      <w:rFonts w:ascii="Consolas" w:hAnsi="Consolas"/>
      <w:b/>
      <w:i/>
      <w:color w:val="003B4F"/>
      <w:sz w:val="22"/>
      <w:shd w:val="clear" w:color="auto" w:fill="F1F3F5"/>
    </w:rPr>
  </w:style>
  <w:style w:type="character" w:customStyle="1" w:styleId="BodyTextChar">
    <w:name w:val="Body Text Char"/>
    <w:basedOn w:val="DefaultParagraphFont"/>
    <w:link w:val="BodyText"/>
    <w:rsid w:val="00B76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NVSU ANNUAL ACCOMPLISHMENT REPORT 2022</dc:title>
  <dc:creator>IPPRC</dc:creator>
  <cp:keywords/>
  <cp:lastModifiedBy>Orville D. Hombrebueno</cp:lastModifiedBy>
  <cp:revision>2</cp:revision>
  <dcterms:created xsi:type="dcterms:W3CDTF">2023-05-31T03:30:00Z</dcterms:created>
  <dcterms:modified xsi:type="dcterms:W3CDTF">2023-05-31T03:30:00Z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ACADEMIC AFFAIRS</vt:lpwstr>
  </property>
  <property fmtid="{D5CDD505-2E9C-101B-9397-08002B2CF9AE}" pid="12" name="toc-title">
    <vt:lpwstr>Table of contents</vt:lpwstr>
  </property>
</Properties>
</file>