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NVSU</w:t>
      </w:r>
      <w:r>
        <w:t xml:space="preserve"> </w:t>
      </w:r>
      <w:r>
        <w:t xml:space="preserve">ANNUAL</w:t>
      </w:r>
      <w:r>
        <w:t xml:space="preserve"> </w:t>
      </w:r>
      <w:r>
        <w:t xml:space="preserve">ACCOMPLISHMENT</w:t>
      </w:r>
      <w:r>
        <w:t xml:space="preserve"> </w:t>
      </w:r>
      <w:r>
        <w:t xml:space="preserve">REPORT</w:t>
      </w:r>
      <w:r>
        <w:t xml:space="preserve"> </w:t>
      </w:r>
      <w:r>
        <w:t xml:space="preserve">2022</w:t>
      </w:r>
    </w:p>
    <w:p>
      <w:pPr>
        <w:pStyle w:val="Subtitle"/>
      </w:pPr>
      <w:r>
        <w:t xml:space="preserve">ACADEMIC</w:t>
      </w:r>
      <w:r>
        <w:t xml:space="preserve"> </w:t>
      </w:r>
      <w:r>
        <w:t xml:space="preserve">AFFAIRS</w:t>
      </w:r>
    </w:p>
    <w:p>
      <w:pPr>
        <w:pStyle w:val="Author"/>
      </w:pPr>
      <w:r>
        <w:t xml:space="preserve">IPPRC</w:t>
      </w:r>
    </w:p>
    <w:tbl>
      <w:tblPr>
        <w:tblStyle w:val="Table"/>
        <w:tblW w:type="pct" w:w="5000"/>
        <w:tblLook w:firstRow="0" w:lastRow="0" w:firstColumn="0" w:lastColumn="0" w:noHBand="0" w:noVBand="0" w:val="0000"/>
      </w:tblPr>
      <w:tblGrid>
        <w:gridCol w:w="7920"/>
      </w:tblGrid>
      <w:tr>
        <w:tc>
          <w:tcPr/>
          <w:p>
            <w:pPr>
              <w:jc w:val="center"/>
            </w:pPr>
            <w:r>
              <w:drawing>
                <wp:inline>
                  <wp:extent cx="5943600" cy="3714750"/>
                  <wp:effectExtent b="0" l="0" r="0" t="0"/>
                  <wp:docPr descr="" title="" id="21" name="Picture"/>
                  <a:graphic>
                    <a:graphicData uri="http://schemas.openxmlformats.org/drawingml/2006/picture">
                      <pic:pic>
                        <pic:nvPicPr>
                          <pic:cNvPr descr="aar-2022-aa-visuals-fin_files/figure-docx/unnamed-chunk-8-1.png" id="22" name="Picture"/>
                          <pic:cNvPicPr>
                            <a:picLocks noChangeArrowheads="1" noChangeAspect="1"/>
                          </pic:cNvPicPr>
                        </pic:nvPicPr>
                        <pic:blipFill>
                          <a:blip r:embed="rId20"/>
                          <a:stretch>
                            <a:fillRect/>
                          </a:stretch>
                        </pic:blipFill>
                        <pic:spPr bwMode="auto">
                          <a:xfrm>
                            <a:off x="0" y="0"/>
                            <a:ext cx="5943600" cy="371475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 accomplishment of the university in the academic affairs is summarized in the figure below. The university set targets for year 2022 based on specific Outcome (OC) and Output (OP) Indicators for both Higher Education Program (HEP) and Advanced Education Program (AEP) then actual accomplishments are compared. In the HEP, for OC 1, Percentage of first-time licensure exam-takers that pass the licensure exams, the actual accomplishment is higher than the target, that is 66% (418/625) vs 64% (576/900). For OC 2, Percentage of graduates (2 years prior) that are employed, the actual accomplishment did not meet the target, that is 47.63% (583/1224) vs 72% (910/1264). For OP 1, Percentage of undergraduate student population enrolled in CHED identified and RDC priority programs, and OP 2, Percentage of undergraduate programs with accreditation, actual accomplishments fell short against the targets, that is 62.48% (8214/13146) vs 77% (12705/16500) and 68.75% (33/48) vs 73.33% (33/45).</w:t>
      </w:r>
    </w:p>
    <w:p>
      <w:pPr>
        <w:pStyle w:val="BodyText"/>
      </w:pPr>
      <w:r>
        <w:t xml:space="preserve">On the Other hand, in the AEP, for OC 1b, Percentage of graduate school faculty engaged in research work applied in any of the following: b. actively pursuing in the last three (3) years (investigative research, basic and applied scientific research, policy research, social science research), actual accomplishment did not meet the target, that is 25.97% (20/77) vs 61.6% (37/60). For OP 1, Percentage of graduate students enrolled in research degree programs, the actual accomplishment overly exceeded the target, that is 100% (693/693) vs 1.14% (8/700). For OP2, Percentage of accredited graduate programs, the actual accomplishment is the same as the target, that is 65.39% (17/26).</w:t>
      </w:r>
    </w:p>
    <w:tbl>
      <w:tblPr>
        <w:tblStyle w:val="Table"/>
        <w:tblW w:type="pct" w:w="5000"/>
        <w:tblLook w:firstRow="0" w:lastRow="0" w:firstColumn="0" w:lastColumn="0" w:noHBand="0" w:noVBand="0" w:val="0000"/>
      </w:tblPr>
      <w:tblGrid>
        <w:gridCol w:w="7920"/>
      </w:tblGrid>
      <w:tr>
        <w:tc>
          <w:tcPr/>
          <w:p>
            <w:pPr>
              <w:jc w:val="center"/>
            </w:pPr>
            <w:r>
              <w:drawing>
                <wp:inline>
                  <wp:extent cx="5943600" cy="3714750"/>
                  <wp:effectExtent b="0" l="0" r="0" t="0"/>
                  <wp:docPr descr="" title="" id="24" name="Picture"/>
                  <a:graphic>
                    <a:graphicData uri="http://schemas.openxmlformats.org/drawingml/2006/picture">
                      <pic:pic>
                        <pic:nvPicPr>
                          <pic:cNvPr descr="aar-2022-aa-visuals-fin_files/figure-docx/unnamed-chunk-14-1.png" id="25" name="Picture"/>
                          <pic:cNvPicPr>
                            <a:picLocks noChangeArrowheads="1" noChangeAspect="1"/>
                          </pic:cNvPicPr>
                        </pic:nvPicPr>
                        <pic:blipFill>
                          <a:blip r:embed="rId23"/>
                          <a:stretch>
                            <a:fillRect/>
                          </a:stretch>
                        </pic:blipFill>
                        <pic:spPr bwMode="auto">
                          <a:xfrm>
                            <a:off x="0" y="0"/>
                            <a:ext cx="5943600" cy="371475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SourceCode"/>
      </w:pPr>
      <w:r>
        <w:rPr>
          <w:rStyle w:val="VerbatimChar"/>
        </w:rPr>
        <w:t xml:space="preserve">[1] 11986</w:t>
      </w:r>
    </w:p>
    <w:p>
      <w:pPr>
        <w:pStyle w:val="SourceCode"/>
      </w:pPr>
      <w:r>
        <w:rPr>
          <w:rStyle w:val="VerbatimChar"/>
        </w:rPr>
        <w:t xml:space="preserve">[1] 26724</w:t>
      </w:r>
    </w:p>
    <w:p>
      <w:pPr>
        <w:pStyle w:val="FirstParagraph"/>
      </w:pPr>
      <w:r>
        <w:t xml:space="preserve">The total number of enrol Summary of enrolment according to campus and level for 2022 is shown in the figure.</w:t>
      </w:r>
    </w:p>
    <w:tbl>
      <w:tblPr>
        <w:tblStyle w:val="Table"/>
        <w:tblW w:type="pct" w:w="5000"/>
        <w:tblLook w:firstRow="0" w:lastRow="0" w:firstColumn="0" w:lastColumn="0" w:noHBand="0" w:noVBand="0" w:val="0000"/>
      </w:tblPr>
      <w:tblGrid>
        <w:gridCol w:w="7920"/>
      </w:tblGrid>
      <w:tr>
        <w:tc>
          <w:tcPr/>
          <w:p>
            <w:pPr>
              <w:jc w:val="center"/>
            </w:pPr>
            <w:r>
              <w:drawing>
                <wp:inline>
                  <wp:extent cx="5943600" cy="3714750"/>
                  <wp:effectExtent b="0" l="0" r="0" t="0"/>
                  <wp:docPr descr="" title="" id="27" name="Picture"/>
                  <a:graphic>
                    <a:graphicData uri="http://schemas.openxmlformats.org/drawingml/2006/picture">
                      <pic:pic>
                        <pic:nvPicPr>
                          <pic:cNvPr descr="aar-2022-aa-visuals-fin_files/figure-docx/unnamed-chunk-18-1.png" id="28" name="Picture"/>
                          <pic:cNvPicPr>
                            <a:picLocks noChangeArrowheads="1" noChangeAspect="1"/>
                          </pic:cNvPicPr>
                        </pic:nvPicPr>
                        <pic:blipFill>
                          <a:blip r:embed="rId26"/>
                          <a:stretch>
                            <a:fillRect/>
                          </a:stretch>
                        </pic:blipFill>
                        <pic:spPr bwMode="auto">
                          <a:xfrm>
                            <a:off x="0" y="0"/>
                            <a:ext cx="5943600" cy="3714750"/>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5943600" cy="3714750"/>
                  <wp:effectExtent b="0" l="0" r="0" t="0"/>
                  <wp:docPr descr="" title="" id="30" name="Picture"/>
                  <a:graphic>
                    <a:graphicData uri="http://schemas.openxmlformats.org/drawingml/2006/picture">
                      <pic:pic>
                        <pic:nvPicPr>
                          <pic:cNvPr descr="aar-2022-aa-visuals-fin_files/figure-docx/unnamed-chunk-21-1.png" id="31" name="Picture"/>
                          <pic:cNvPicPr>
                            <a:picLocks noChangeArrowheads="1" noChangeAspect="1"/>
                          </pic:cNvPicPr>
                        </pic:nvPicPr>
                        <pic:blipFill>
                          <a:blip r:embed="rId29"/>
                          <a:stretch>
                            <a:fillRect/>
                          </a:stretch>
                        </pic:blipFill>
                        <pic:spPr bwMode="auto">
                          <a:xfrm>
                            <a:off x="0" y="0"/>
                            <a:ext cx="5943600" cy="3714750"/>
                          </a:xfrm>
                          <a:prstGeom prst="rect">
                            <a:avLst/>
                          </a:prstGeom>
                          <a:noFill/>
                          <a:ln w="9525">
                            <a:noFill/>
                            <a:headEnd/>
                            <a:tailEnd/>
                          </a:ln>
                        </pic:spPr>
                      </pic:pic>
                    </a:graphicData>
                  </a:graphic>
                </wp:inline>
              </w:drawing>
            </w:r>
          </w:p>
          <w:p>
            <w:pPr>
              <w:jc w:val="center"/>
            </w:pPr>
            <w:pPr>
              <w:jc w:val="start"/>
              <w:spacing w:before="200"/>
              <w:pStyle w:val="ImageCaption"/>
            </w:pPr>
          </w:p>
        </w:tc>
      </w:tr>
    </w:tbl>
    <w:sectPr w:rsidR="00225F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A949A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E0CC3B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42E98A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8A4F65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8A022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B2C40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FD26696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D50CA7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DA6AF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742D9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107603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04445837" w:numId="1">
    <w:abstractNumId w:val="10"/>
  </w:num>
  <w:num w16cid:durableId="1435830547" w:numId="2">
    <w:abstractNumId w:val="9"/>
  </w:num>
  <w:num w16cid:durableId="2145803351" w:numId="3">
    <w:abstractNumId w:val="7"/>
  </w:num>
  <w:num w16cid:durableId="494954612" w:numId="4">
    <w:abstractNumId w:val="6"/>
  </w:num>
  <w:num w16cid:durableId="985358508" w:numId="5">
    <w:abstractNumId w:val="5"/>
  </w:num>
  <w:num w16cid:durableId="4409911" w:numId="6">
    <w:abstractNumId w:val="4"/>
  </w:num>
  <w:num w16cid:durableId="549339412" w:numId="7">
    <w:abstractNumId w:val="8"/>
  </w:num>
  <w:num w16cid:durableId="1553420535" w:numId="8">
    <w:abstractNumId w:val="3"/>
  </w:num>
  <w:num w16cid:durableId="468519929" w:numId="9">
    <w:abstractNumId w:val="2"/>
  </w:num>
  <w:num w16cid:durableId="1367025828" w:numId="10">
    <w:abstractNumId w:val="1"/>
  </w:num>
  <w:num w16cid:durableId="447630830" w:numId="11">
    <w:abstractNumId w:val="0"/>
  </w:num>
  <w:num w16cid:durableId="69546340" w:numId="12">
    <w:abstractNumId w:val="10"/>
  </w:num>
  <w:num w16cid:durableId="2062434357" w:numId="13">
    <w:abstractNumId w:val="10"/>
  </w:num>
  <w:num w16cid:durableId="1985625516" w:numId="14">
    <w:abstractNumId w:val="10"/>
  </w:num>
  <w:num w16cid:durableId="610861904" w:numId="15">
    <w:abstractNumId w:val="10"/>
  </w:num>
  <w:num w16cid:durableId="1627543391" w:numId="16">
    <w:abstractNumId w:val="10"/>
  </w:num>
  <w:num w16cid:durableId="1447888164" w:numId="17">
    <w:abstractNumId w:val="10"/>
  </w:num>
  <w:num w16cid:durableId="740054729" w:numId="18">
    <w:abstractNumId w:val="10"/>
  </w:num>
  <w:num w16cid:durableId="1059745654" w:numId="19">
    <w:abstractNumId w:val="10"/>
  </w:num>
  <w:num w16cid:durableId="451552800" w:numId="20">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B76D64"/>
    <w:pPr>
      <w:spacing w:after="180" w:before="180"/>
      <w:ind w:firstLine="720"/>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F6232"/>
    <w:pPr>
      <w:keepNext/>
      <w:keepLines/>
      <w:spacing w:after="240" w:before="480"/>
      <w:jc w:val="center"/>
    </w:pPr>
    <w:rPr>
      <w:rFonts w:asciiTheme="majorHAnsi" w:cstheme="majorBidi" w:eastAsiaTheme="majorEastAsia" w:hAnsiTheme="majorHAnsi"/>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qFormat/>
    <w:rsid w:val="00FD575A"/>
    <w:pPr>
      <w:spacing w:after="120" w:before="200"/>
      <w:jc w:val="center"/>
    </w:pPr>
    <w:rPr>
      <w:b/>
      <w:i/>
    </w:rPr>
  </w:style>
  <w:style w:customStyle="1" w:styleId="TableCaption" w:type="paragraph">
    <w:name w:val="Table Caption"/>
    <w:basedOn w:val="Caption"/>
    <w:pPr>
      <w:keepNext/>
    </w:pPr>
  </w:style>
  <w:style w:customStyle="1" w:styleId="ImageCaption" w:type="paragraph">
    <w:name w:val="Image Caption"/>
    <w:basedOn w:val="Caption"/>
    <w:qFormat/>
    <w:rsid w:val="00A74D37"/>
  </w:style>
  <w:style w:customStyle="1" w:styleId="Figure" w:type="paragraph">
    <w:name w:val="Figure"/>
    <w:basedOn w:val="Normal"/>
    <w:rsid w:val="00680B59"/>
    <w:pPr>
      <w:jc w:val="center"/>
    </w:pPr>
    <w:rPr>
      <w:b/>
      <w:noProof/>
    </w:r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FD575A"/>
    <w:rPr>
      <w:b/>
      <w:i/>
    </w:rPr>
  </w:style>
  <w:style w:customStyle="1" w:styleId="VerbatimChar" w:type="character">
    <w:name w:val="Verbatim Char"/>
    <w:basedOn w:val="CaptionChar"/>
    <w:link w:val="SourceCode"/>
    <w:rPr>
      <w:rFonts w:ascii="Consolas" w:hAnsi="Consolas"/>
      <w:b/>
      <w:i/>
      <w:sz w:val="22"/>
    </w:rPr>
  </w:style>
  <w:style w:customStyle="1" w:styleId="SectionNumber" w:type="character">
    <w:name w:val="Section Number"/>
    <w:basedOn w:val="CaptionChar"/>
    <w:rPr>
      <w:b/>
      <w:i/>
    </w:rPr>
  </w:style>
  <w:style w:styleId="FootnoteReference" w:type="character">
    <w:name w:val="footnote reference"/>
    <w:basedOn w:val="CaptionChar"/>
    <w:rPr>
      <w:b/>
      <w:i/>
      <w:vertAlign w:val="superscript"/>
    </w:rPr>
  </w:style>
  <w:style w:styleId="Hyperlink" w:type="character">
    <w:name w:val="Hyperlink"/>
    <w:basedOn w:val="CaptionChar"/>
    <w:rPr>
      <w:b/>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i/>
      <w:color w:val="003B4F"/>
      <w:sz w:val="22"/>
      <w:shd w:color="auto" w:fill="F1F3F5" w:val="clear"/>
    </w:rPr>
  </w:style>
  <w:style w:customStyle="1" w:styleId="DataTypeTok" w:type="character">
    <w:name w:val="DataTypeTok"/>
    <w:basedOn w:val="VerbatimChar"/>
    <w:rPr>
      <w:rFonts w:ascii="Consolas" w:hAnsi="Consolas"/>
      <w:b/>
      <w:i/>
      <w:color w:val="AD0000"/>
      <w:sz w:val="22"/>
      <w:shd w:color="auto" w:fill="F1F3F5" w:val="clear"/>
    </w:rPr>
  </w:style>
  <w:style w:customStyle="1" w:styleId="DecValTok" w:type="character">
    <w:name w:val="DecValTok"/>
    <w:basedOn w:val="VerbatimChar"/>
    <w:rPr>
      <w:rFonts w:ascii="Consolas" w:hAnsi="Consolas"/>
      <w:b/>
      <w:i/>
      <w:color w:val="AD0000"/>
      <w:sz w:val="22"/>
      <w:shd w:color="auto" w:fill="F1F3F5" w:val="clear"/>
    </w:rPr>
  </w:style>
  <w:style w:customStyle="1" w:styleId="BaseNTok" w:type="character">
    <w:name w:val="BaseNTok"/>
    <w:basedOn w:val="VerbatimChar"/>
    <w:rPr>
      <w:rFonts w:ascii="Consolas" w:hAnsi="Consolas"/>
      <w:b/>
      <w:i/>
      <w:color w:val="AD0000"/>
      <w:sz w:val="22"/>
      <w:shd w:color="auto" w:fill="F1F3F5" w:val="clear"/>
    </w:rPr>
  </w:style>
  <w:style w:customStyle="1" w:styleId="FloatTok" w:type="character">
    <w:name w:val="FloatTok"/>
    <w:basedOn w:val="VerbatimChar"/>
    <w:rPr>
      <w:rFonts w:ascii="Consolas" w:hAnsi="Consolas"/>
      <w:b/>
      <w:i/>
      <w:color w:val="AD0000"/>
      <w:sz w:val="22"/>
      <w:shd w:color="auto" w:fill="F1F3F5" w:val="clear"/>
    </w:rPr>
  </w:style>
  <w:style w:customStyle="1" w:styleId="ConstantTok" w:type="character">
    <w:name w:val="ConstantTok"/>
    <w:basedOn w:val="VerbatimChar"/>
    <w:rPr>
      <w:rFonts w:ascii="Consolas" w:hAnsi="Consolas"/>
      <w:b/>
      <w:i/>
      <w:color w:val="8F5902"/>
      <w:sz w:val="22"/>
      <w:shd w:color="auto" w:fill="F1F3F5" w:val="clear"/>
    </w:rPr>
  </w:style>
  <w:style w:customStyle="1" w:styleId="CharTok" w:type="character">
    <w:name w:val="CharTok"/>
    <w:basedOn w:val="VerbatimChar"/>
    <w:rPr>
      <w:rFonts w:ascii="Consolas" w:hAnsi="Consolas"/>
      <w:b/>
      <w:i/>
      <w:color w:val="20794D"/>
      <w:sz w:val="22"/>
      <w:shd w:color="auto" w:fill="F1F3F5" w:val="clear"/>
    </w:rPr>
  </w:style>
  <w:style w:customStyle="1" w:styleId="SpecialCharTok" w:type="character">
    <w:name w:val="SpecialCharTok"/>
    <w:basedOn w:val="VerbatimChar"/>
    <w:rPr>
      <w:rFonts w:ascii="Consolas" w:hAnsi="Consolas"/>
      <w:b/>
      <w:i/>
      <w:color w:val="5E5E5E"/>
      <w:sz w:val="22"/>
      <w:shd w:color="auto" w:fill="F1F3F5" w:val="clear"/>
    </w:rPr>
  </w:style>
  <w:style w:customStyle="1" w:styleId="StringTok" w:type="character">
    <w:name w:val="StringTok"/>
    <w:basedOn w:val="VerbatimChar"/>
    <w:rPr>
      <w:rFonts w:ascii="Consolas" w:hAnsi="Consolas"/>
      <w:b/>
      <w:i/>
      <w:color w:val="20794D"/>
      <w:sz w:val="22"/>
      <w:shd w:color="auto" w:fill="F1F3F5" w:val="clear"/>
    </w:rPr>
  </w:style>
  <w:style w:customStyle="1" w:styleId="VerbatimStringTok" w:type="character">
    <w:name w:val="VerbatimStringTok"/>
    <w:basedOn w:val="VerbatimChar"/>
    <w:rPr>
      <w:rFonts w:ascii="Consolas" w:hAnsi="Consolas"/>
      <w:b/>
      <w:i/>
      <w:color w:val="20794D"/>
      <w:sz w:val="22"/>
      <w:shd w:color="auto" w:fill="F1F3F5" w:val="clear"/>
    </w:rPr>
  </w:style>
  <w:style w:customStyle="1" w:styleId="SpecialStringTok" w:type="character">
    <w:name w:val="SpecialStringTok"/>
    <w:basedOn w:val="VerbatimChar"/>
    <w:rPr>
      <w:rFonts w:ascii="Consolas" w:hAnsi="Consolas"/>
      <w:b/>
      <w:i/>
      <w:color w:val="20794D"/>
      <w:sz w:val="22"/>
      <w:shd w:color="auto" w:fill="F1F3F5" w:val="clear"/>
    </w:rPr>
  </w:style>
  <w:style w:customStyle="1" w:styleId="ImportTok" w:type="character">
    <w:name w:val="ImportTok"/>
    <w:basedOn w:val="VerbatimChar"/>
    <w:rPr>
      <w:rFonts w:ascii="Consolas" w:hAnsi="Consolas"/>
      <w:b/>
      <w:i/>
      <w:color w:val="00769E"/>
      <w:sz w:val="22"/>
      <w:shd w:color="auto" w:fill="F1F3F5" w:val="clear"/>
    </w:rPr>
  </w:style>
  <w:style w:customStyle="1" w:styleId="CommentTok" w:type="character">
    <w:name w:val="CommentTok"/>
    <w:basedOn w:val="VerbatimChar"/>
    <w:rPr>
      <w:rFonts w:ascii="Consolas" w:hAnsi="Consolas"/>
      <w:b/>
      <w:i/>
      <w:color w:val="5E5E5E"/>
      <w:sz w:val="22"/>
      <w:shd w:color="auto" w:fill="F1F3F5" w:val="clear"/>
    </w:rPr>
  </w:style>
  <w:style w:customStyle="1" w:styleId="DocumentationTok" w:type="character">
    <w:name w:val="DocumentationTok"/>
    <w:basedOn w:val="VerbatimChar"/>
    <w:rPr>
      <w:rFonts w:ascii="Consolas" w:hAnsi="Consolas"/>
      <w:b/>
      <w:i w:val="0"/>
      <w:color w:val="5E5E5E"/>
      <w:sz w:val="22"/>
      <w:shd w:color="auto" w:fill="F1F3F5" w:val="clear"/>
    </w:rPr>
  </w:style>
  <w:style w:customStyle="1" w:styleId="AnnotationTok" w:type="character">
    <w:name w:val="AnnotationTok"/>
    <w:basedOn w:val="VerbatimChar"/>
    <w:rPr>
      <w:rFonts w:ascii="Consolas" w:hAnsi="Consolas"/>
      <w:b/>
      <w:i/>
      <w:color w:val="5E5E5E"/>
      <w:sz w:val="22"/>
      <w:shd w:color="auto" w:fill="F1F3F5" w:val="clear"/>
    </w:rPr>
  </w:style>
  <w:style w:customStyle="1" w:styleId="CommentVarTok" w:type="character">
    <w:name w:val="CommentVarTok"/>
    <w:basedOn w:val="VerbatimChar"/>
    <w:rPr>
      <w:rFonts w:ascii="Consolas" w:hAnsi="Consolas"/>
      <w:b/>
      <w:i w:val="0"/>
      <w:color w:val="5E5E5E"/>
      <w:sz w:val="22"/>
      <w:shd w:color="auto" w:fill="F1F3F5" w:val="clear"/>
    </w:rPr>
  </w:style>
  <w:style w:customStyle="1" w:styleId="OtherTok" w:type="character">
    <w:name w:val="OtherTok"/>
    <w:basedOn w:val="VerbatimChar"/>
    <w:rPr>
      <w:rFonts w:ascii="Consolas" w:hAnsi="Consolas"/>
      <w:b/>
      <w:i/>
      <w:color w:val="003B4F"/>
      <w:sz w:val="22"/>
      <w:shd w:color="auto" w:fill="F1F3F5" w:val="clear"/>
    </w:rPr>
  </w:style>
  <w:style w:customStyle="1" w:styleId="FunctionTok" w:type="character">
    <w:name w:val="FunctionTok"/>
    <w:basedOn w:val="VerbatimChar"/>
    <w:rPr>
      <w:rFonts w:ascii="Consolas" w:hAnsi="Consolas"/>
      <w:b/>
      <w:i/>
      <w:color w:val="4758AB"/>
      <w:sz w:val="22"/>
      <w:shd w:color="auto" w:fill="F1F3F5" w:val="clear"/>
    </w:rPr>
  </w:style>
  <w:style w:customStyle="1" w:styleId="VariableTok" w:type="character">
    <w:name w:val="VariableTok"/>
    <w:basedOn w:val="VerbatimChar"/>
    <w:rPr>
      <w:rFonts w:ascii="Consolas" w:hAnsi="Consolas"/>
      <w:b/>
      <w:i/>
      <w:color w:val="111111"/>
      <w:sz w:val="22"/>
      <w:shd w:color="auto" w:fill="F1F3F5" w:val="clear"/>
    </w:rPr>
  </w:style>
  <w:style w:customStyle="1" w:styleId="ControlFlowTok" w:type="character">
    <w:name w:val="ControlFlowTok"/>
    <w:basedOn w:val="VerbatimChar"/>
    <w:rPr>
      <w:rFonts w:ascii="Consolas" w:hAnsi="Consolas"/>
      <w:b/>
      <w:i/>
      <w:color w:val="003B4F"/>
      <w:sz w:val="22"/>
      <w:shd w:color="auto" w:fill="F1F3F5" w:val="clear"/>
    </w:rPr>
  </w:style>
  <w:style w:customStyle="1" w:styleId="OperatorTok" w:type="character">
    <w:name w:val="OperatorTok"/>
    <w:basedOn w:val="VerbatimChar"/>
    <w:rPr>
      <w:rFonts w:ascii="Consolas" w:hAnsi="Consolas"/>
      <w:b/>
      <w:i/>
      <w:color w:val="5E5E5E"/>
      <w:sz w:val="22"/>
      <w:shd w:color="auto" w:fill="F1F3F5" w:val="clear"/>
    </w:rPr>
  </w:style>
  <w:style w:customStyle="1" w:styleId="BuiltInTok" w:type="character">
    <w:name w:val="BuiltInTok"/>
    <w:basedOn w:val="VerbatimChar"/>
    <w:rPr>
      <w:rFonts w:ascii="Consolas" w:hAnsi="Consolas"/>
      <w:b/>
      <w:i/>
      <w:color w:val="003B4F"/>
      <w:sz w:val="22"/>
      <w:shd w:color="auto" w:fill="F1F3F5" w:val="clear"/>
    </w:rPr>
  </w:style>
  <w:style w:customStyle="1" w:styleId="ExtensionTok" w:type="character">
    <w:name w:val="ExtensionTok"/>
    <w:basedOn w:val="VerbatimChar"/>
    <w:rPr>
      <w:rFonts w:ascii="Consolas" w:hAnsi="Consolas"/>
      <w:b/>
      <w:i/>
      <w:color w:val="003B4F"/>
      <w:sz w:val="22"/>
      <w:shd w:color="auto" w:fill="F1F3F5" w:val="clear"/>
    </w:rPr>
  </w:style>
  <w:style w:customStyle="1" w:styleId="PreprocessorTok" w:type="character">
    <w:name w:val="PreprocessorTok"/>
    <w:basedOn w:val="VerbatimChar"/>
    <w:rPr>
      <w:rFonts w:ascii="Consolas" w:hAnsi="Consolas"/>
      <w:b/>
      <w:i/>
      <w:color w:val="AD0000"/>
      <w:sz w:val="22"/>
      <w:shd w:color="auto" w:fill="F1F3F5" w:val="clear"/>
    </w:rPr>
  </w:style>
  <w:style w:customStyle="1" w:styleId="AttributeTok" w:type="character">
    <w:name w:val="AttributeTok"/>
    <w:basedOn w:val="VerbatimChar"/>
    <w:rPr>
      <w:rFonts w:ascii="Consolas" w:hAnsi="Consolas"/>
      <w:b/>
      <w:i/>
      <w:color w:val="657422"/>
      <w:sz w:val="22"/>
      <w:shd w:color="auto" w:fill="F1F3F5" w:val="clear"/>
    </w:rPr>
  </w:style>
  <w:style w:customStyle="1" w:styleId="RegionMarkerTok" w:type="character">
    <w:name w:val="RegionMarkerTok"/>
    <w:basedOn w:val="VerbatimChar"/>
    <w:rPr>
      <w:rFonts w:ascii="Consolas" w:hAnsi="Consolas"/>
      <w:b/>
      <w:i/>
      <w:color w:val="003B4F"/>
      <w:sz w:val="22"/>
      <w:shd w:color="auto" w:fill="F1F3F5" w:val="clear"/>
    </w:rPr>
  </w:style>
  <w:style w:customStyle="1" w:styleId="InformationTok" w:type="character">
    <w:name w:val="InformationTok"/>
    <w:basedOn w:val="VerbatimChar"/>
    <w:rPr>
      <w:rFonts w:ascii="Consolas" w:hAnsi="Consolas"/>
      <w:b/>
      <w:i/>
      <w:color w:val="5E5E5E"/>
      <w:sz w:val="22"/>
      <w:shd w:color="auto" w:fill="F1F3F5" w:val="clear"/>
    </w:rPr>
  </w:style>
  <w:style w:customStyle="1" w:styleId="WarningTok" w:type="character">
    <w:name w:val="WarningTok"/>
    <w:basedOn w:val="VerbatimChar"/>
    <w:rPr>
      <w:rFonts w:ascii="Consolas" w:hAnsi="Consolas"/>
      <w:b/>
      <w:i w:val="0"/>
      <w:color w:val="5E5E5E"/>
      <w:sz w:val="22"/>
      <w:shd w:color="auto" w:fill="F1F3F5" w:val="clear"/>
    </w:rPr>
  </w:style>
  <w:style w:customStyle="1" w:styleId="AlertTok" w:type="character">
    <w:name w:val="AlertTok"/>
    <w:basedOn w:val="VerbatimChar"/>
    <w:rPr>
      <w:rFonts w:ascii="Consolas" w:hAnsi="Consolas"/>
      <w:b/>
      <w:i/>
      <w:color w:val="AD0000"/>
      <w:sz w:val="22"/>
      <w:shd w:color="auto" w:fill="F1F3F5" w:val="clear"/>
    </w:rPr>
  </w:style>
  <w:style w:customStyle="1" w:styleId="ErrorTok" w:type="character">
    <w:name w:val="ErrorTok"/>
    <w:basedOn w:val="VerbatimChar"/>
    <w:rPr>
      <w:rFonts w:ascii="Consolas" w:hAnsi="Consolas"/>
      <w:b/>
      <w:i/>
      <w:color w:val="AD0000"/>
      <w:sz w:val="22"/>
      <w:shd w:color="auto" w:fill="F1F3F5" w:val="clear"/>
    </w:rPr>
  </w:style>
  <w:style w:customStyle="1" w:styleId="NormalTok" w:type="character">
    <w:name w:val="NormalTok"/>
    <w:basedOn w:val="VerbatimChar"/>
    <w:rPr>
      <w:rFonts w:ascii="Consolas" w:hAnsi="Consolas"/>
      <w:b/>
      <w:i/>
      <w:color w:val="003B4F"/>
      <w:sz w:val="22"/>
      <w:shd w:color="auto" w:fill="F1F3F5" w:val="clear"/>
    </w:rPr>
  </w:style>
  <w:style w:customStyle="1" w:styleId="BodyTextChar" w:type="character">
    <w:name w:val="Body Text Char"/>
    <w:basedOn w:val="DefaultParagraphFont"/>
    <w:link w:val="BodyText"/>
    <w:rsid w:val="00B76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NVSU ANNUAL ACCOMPLISHMENT REPORT 2022</dc:title>
  <dc:creator>IPPRC</dc:creator>
  <cp:keywords/>
  <dcterms:created xsi:type="dcterms:W3CDTF">2023-06-05T03:38:55Z</dcterms:created>
  <dcterms:modified xsi:type="dcterms:W3CDTF">2023-06-05T03:38:55Z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ACADEMIC AFFAIRS</vt:lpwstr>
  </property>
  <property fmtid="{D5CDD505-2E9C-101B-9397-08002B2CF9AE}" pid="12" name="toc-title">
    <vt:lpwstr>Table of contents</vt:lpwstr>
  </property>
</Properties>
</file>