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 based on true events – about a famous mathematician. In this case, the life story of Mr. Srinivas Ramanujan. I have encountered him in teaching number theory. Little did I know that his story is quite a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trully inspired.</w:t>
      </w:r>
    </w:p>
    <w:p>
      <w:pPr>
        <w:pStyle w:val="Heading1"/>
      </w:pPr>
      <w:bookmarkStart w:id="21" w:name="issues"/>
      <w:r>
        <w:t xml:space="preserve">Issues</w:t>
      </w:r>
      <w:bookmarkEnd w:id="21"/>
    </w:p>
    <w:p>
      <w:pPr>
        <w:pStyle w:val="FirstParagraph"/>
      </w:pPr>
      <w:r>
        <w:t xml:space="preserve">In explaining his notes to his wife, he said that it is</w:t>
      </w:r>
      <w:r>
        <w:t xml:space="preserve"> </w:t>
      </w:r>
      <w:r>
        <w:t xml:space="preserve">“</w:t>
      </w:r>
      <w:r>
        <w:t xml:space="preserve">like a painting with colors you cannot see.</w:t>
      </w:r>
      <w:r>
        <w:t xml:space="preserve">”</w:t>
      </w:r>
      <w:r>
        <w:t xml:space="preserve"> </w:t>
      </w:r>
      <w:r>
        <w:t xml:space="preserve">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of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Heading1"/>
      </w:pPr>
      <w:bookmarkStart w:id="22" w:name="conclusion"/>
      <w:r>
        <w:t xml:space="preserve">Conclusion</w:t>
      </w:r>
      <w:bookmarkEnd w:id="22"/>
    </w:p>
    <w:p>
      <w:pPr>
        <w:pStyle w:val="Heading1"/>
      </w:pPr>
      <w:bookmarkStart w:id="23" w:name="recommendations"/>
      <w:r>
        <w:t xml:space="preserve">Recommendations</w:t>
      </w:r>
      <w:bookmarkEnd w:id="23"/>
    </w:p>
    <w:p>
      <w:pPr>
        <w:pStyle w:val="Heading1"/>
      </w:pPr>
      <w:bookmarkStart w:id="24" w:name="references"/>
      <w:r>
        <w:t xml:space="preserve">References</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BC019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74ACB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C260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060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DF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F80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D0F5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FE040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4C1B9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C6A9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6B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Critique Paper: The Man Who Knew Infinity</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The Man Who Knew Infinity</dc:title>
  <dc:creator>Orville D. Hombrebueno; Ph.D. in Science Education: Mathematics</dc:creator>
  <cp:keywords/>
  <dcterms:created xsi:type="dcterms:W3CDTF">2018-10-19T15:55:16Z</dcterms:created>
  <dcterms:modified xsi:type="dcterms:W3CDTF">2018-10-19T15:55:16Z</dcterms:modified>
</cp:coreProperties>
</file>