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writen by a renowned outstanding scientist, he would only be speaking for himself and his generation. History will help us compare the topic to the same topic from various generations and authors thus brighing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curriculums (basic &amp; higher education)?</w:t>
      </w:r>
    </w:p>
    <w:p>
      <w:pPr>
        <w:pStyle w:val="Heading1"/>
      </w:pPr>
      <w:bookmarkStart w:id="21" w:name="references"/>
      <w:bookmarkEnd w:id="21"/>
      <w:r>
        <w:t xml:space="preserve">References</w:t>
      </w:r>
    </w:p>
    <w:p>
      <w:pPr>
        <w:pStyle w:val="Bibliography"/>
      </w:pPr>
      <w:r>
        <w:t xml:space="preserve">Matthews, Michael R. 2001. “Science Teaching: The Role of History and Philosophy of Science.”</w:t>
      </w:r>
    </w:p>
    <w:p>
      <w:pPr>
        <w:pStyle w:val="Bibliography"/>
      </w:pPr>
      <w:r>
        <w:t xml:space="preserve">Slezak, Peter. n.d. “Does Science Teaching Need History and Philosophy of Science?”</w:t>
      </w:r>
    </w:p>
    <w:sectPr w:rsidR="007131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3f28f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82ee6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245a2c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dcterms:created xsi:type="dcterms:W3CDTF">2018-10-14T06:34:18Z</dcterms:created>
  <dcterms:modified xsi:type="dcterms:W3CDTF">2018-10-14T06:34:18Z</dcterms:modified>
</cp:coreProperties>
</file>