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et al., 2018)</w:t>
      </w:r>
      <w:r>
        <w:t xml:space="preserve">. Nonetheless, some measures are already in place to lessen the gap between statistical practice and statistics education.</w:t>
      </w:r>
    </w:p>
    <w:p>
      <w:pPr>
        <w:pStyle w:val="BodyText"/>
      </w:pPr>
      <w:r>
        <w:t xml:space="preserve">Moreover,</w:t>
      </w:r>
      <w:r>
        <w:t xml:space="preserve"> </w:t>
      </w:r>
      <w:r>
        <w:t xml:space="preserve">Gould (2010)</w:t>
      </w:r>
      <w:r>
        <w:t xml:space="preserve">,</w:t>
      </w:r>
      <w:r>
        <w:t xml:space="preserve"> </w:t>
      </w:r>
      <w:r>
        <w:t xml:space="preserve">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data management skills in introductory and second courses in statistics.</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numPr>
          <w:numId w:val="1001"/>
          <w:ilvl w:val="0"/>
        </w:numPr>
      </w:pPr>
      <w:r>
        <w:t xml:space="preserve">What are the profile variables of the respondents?</w:t>
      </w:r>
    </w:p>
    <w:p>
      <w:pPr>
        <w:numPr>
          <w:numId w:val="1001"/>
          <w:ilvl w:val="0"/>
        </w:numPr>
      </w:pPr>
      <w:r>
        <w:t xml:space="preserve">What are the calculator test scores and RStudio test scores of the respondents?</w:t>
      </w:r>
    </w:p>
    <w:p>
      <w:pPr>
        <w:numPr>
          <w:numId w:val="1001"/>
          <w:ilvl w:val="0"/>
        </w:numPr>
      </w:pPr>
      <w:r>
        <w:t xml:space="preserve">What are the calculator test scores and RStudio test scores of the respondents when grouped according to the profile variables?</w:t>
      </w:r>
    </w:p>
    <w:p>
      <w:pPr>
        <w:numPr>
          <w:numId w:val="1001"/>
          <w:ilvl w:val="0"/>
        </w:numPr>
      </w:pPr>
      <w:r>
        <w:t xml:space="preserve">Is there significant difference in the calculator test scores and the RStudio test scores of the respondents when grouped according to the profile variables?</w:t>
      </w:r>
    </w:p>
    <w:p>
      <w:pPr>
        <w:numPr>
          <w:numId w:val="1001"/>
          <w:ilvl w:val="0"/>
        </w:numPr>
      </w:pPr>
      <w:r>
        <w:t xml:space="preserve">Is there significant relationship between age and calculator test scores and age and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numPr>
          <w:numId w:val="1002"/>
          <w:ilvl w:val="0"/>
        </w:numPr>
      </w:pPr>
      <w:r>
        <w:t xml:space="preserve">Is there significant difference between the calculator test scores and RStudio test scores of the respondents?</w:t>
      </w:r>
    </w:p>
    <w:p>
      <w:pPr>
        <w:numPr>
          <w:numId w:val="1002"/>
          <w:ilvl w:val="0"/>
        </w:numPr>
      </w:pPr>
      <w:r>
        <w:t xml:space="preserve">the</w:t>
      </w:r>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sults-and-discussion"/>
      <w:r>
        <w:t xml:space="preserve">Results and Discussion</w:t>
      </w:r>
      <w:bookmarkEnd w:id="36"/>
    </w:p>
    <w:p>
      <w:pPr>
        <w:pStyle w:val="Heading2"/>
      </w:pPr>
      <w:bookmarkStart w:id="37" w:name="profile-variables-of-the-respondents"/>
      <w:r>
        <w:t xml:space="preserve">Profile Variables of the Respondents</w:t>
      </w:r>
      <w:bookmarkEnd w:id="37"/>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38" w:name="gender"/>
      <w:r>
        <w:t xml:space="preserve">Gender</w:t>
      </w:r>
      <w:bookmarkEnd w:id="38"/>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39" w:name="have-previous-programming-experience"/>
      <w:r>
        <w:t xml:space="preserve">Have Previous Programming Experience</w:t>
      </w:r>
      <w:bookmarkEnd w:id="39"/>
    </w:p>
    <w:p>
      <w:pPr>
        <w:pStyle w:val="FirstParagraph"/>
      </w:pPr>
      <w:r>
        <w:t xml:space="preserve">Among the respondents, half have previos programming experience while the other half have none. Table 2 shows the frequency distribution for have previous programming experience. It seems that some students still have no programming experience when they take their second course in statistics.</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0" w:name="X7f59e9ce22f84628a9268806c5f1ff51916bee0"/>
      <w:r>
        <w:t xml:space="preserve">Statistical Computing Tool Preference: Calculator or RStudio</w:t>
      </w:r>
      <w:bookmarkEnd w:id="40"/>
    </w:p>
    <w:p>
      <w:pPr>
        <w:pStyle w:val="FirstParagraph"/>
      </w:pPr>
      <w:r>
        <w:t xml:space="preserve">Having learned the basics of using calculator and RStudio for statistical computing and took the examination using calculator and RStudio and then knowing their scores, half of the respondents still preferred to use calculator while the other half now preferred to use RStudio. Table 3 shows the frequency distribution for statistical computing tool preference. Among those who preferred RStudio, one said</w:t>
      </w:r>
      <w:r>
        <w:t xml:space="preserve"> </w:t>
      </w:r>
      <w:r>
        <w:t xml:space="preserve">“</w:t>
      </w:r>
      <w:r>
        <w:t xml:space="preserve">it is easy</w:t>
      </w:r>
      <w:r>
        <w:t xml:space="preserve">”</w:t>
      </w:r>
      <w:r>
        <w:t xml:space="preserve">. Among those who preferred calculator, one found using RStudio</w:t>
      </w:r>
      <w:r>
        <w:t xml:space="preserve"> </w:t>
      </w:r>
      <w:r>
        <w:t xml:space="preserve">“</w:t>
      </w:r>
      <w:r>
        <w:t xml:space="preserve">complicated</w:t>
      </w:r>
      <w:r>
        <w:t xml:space="preserve">”</w:t>
      </w:r>
      <w:r>
        <w:t xml:space="preserve"> </w:t>
      </w:r>
      <w:r>
        <w:t xml:space="preserve">and that using calculator is</w:t>
      </w:r>
      <w:r>
        <w:t xml:space="preserve"> </w:t>
      </w:r>
      <w:r>
        <w:t xml:space="preserve">“</w:t>
      </w:r>
      <w:r>
        <w:t xml:space="preserve">comfortable</w:t>
      </w:r>
      <w:r>
        <w:t xml:space="preserve">”</w:t>
      </w:r>
      <w:r>
        <w:t xml:space="preserve">. Table 3 shows the frequency distribution of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1" w:name="age"/>
      <w:r>
        <w:t xml:space="preserve">Age</w:t>
      </w:r>
      <w:bookmarkEnd w:id="41"/>
    </w:p>
    <w:p>
      <w:pPr>
        <w:pStyle w:val="FirstParagraph"/>
      </w:pPr>
      <w:r>
        <w:t xml:space="preserve">Half of the respondents are 21 years old, two are 22 years old, one is 24 years old and one is 39 years old. Table 4 is the frequency distribution of age.</w:t>
      </w:r>
    </w:p>
    <w:p>
      <w:pPr>
        <w:pStyle w:val="TableCaption"/>
      </w:pPr>
      <w:r>
        <w:rPr>
          <w:b/>
        </w:rPr>
        <w:t xml:space="preserve">Table 4:</w:t>
      </w:r>
      <w:r>
        <w:t xml:space="preserve"> </w:t>
      </w:r>
      <w:r>
        <w:t xml:space="preserve">Frequency Distribution of Age</w:t>
      </w:r>
    </w:p>
    <w:tbl>
      <w:tblPr>
        <w:tblStyle w:val="Table"/>
        <w:tblW w:type="pct" w:w="1944.4444444444441"/>
        <w:tblLook w:firstRow="1"/>
        <w:tblCaption w:val="Table 4: Frequency Distribution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2"/>
      </w:pPr>
      <w:bookmarkStart w:id="42" w:name="X415a44f6250555506220cdea9bc80f27b1252a6"/>
      <w:r>
        <w:t xml:space="preserve">Calculator Test Scores and RStudio Test Scores of the Respondents</w:t>
      </w:r>
      <w:bookmarkEnd w:id="42"/>
    </w:p>
    <w:p>
      <w:pPr>
        <w:pStyle w:val="FirstParagraph"/>
      </w:pPr>
      <w:r>
        <w:t xml:space="preserve">There are two sets of examination scores: the calculator test scores and RStudio test scores.</w:t>
      </w:r>
    </w:p>
    <w:p>
      <w:pPr>
        <w:pStyle w:val="Heading3"/>
      </w:pPr>
      <w:bookmarkStart w:id="43" w:name="calculator-test-scores"/>
      <w:r>
        <w:t xml:space="preserve">Calculator Test Scores</w:t>
      </w:r>
      <w:bookmarkEnd w:id="43"/>
    </w:p>
    <w:p>
      <w:pPr>
        <w:pStyle w:val="FirstParagraph"/>
      </w:pPr>
      <w:r>
        <w:t xml:space="preserve">The result of the calculator test shows that 62.50% failed and 37.50% passed. The mean score is 46.25% which is not even passing. The exam result is not remarkable. Table 5 shows the frequency distribution and summary of calculator test scores.</w:t>
      </w:r>
    </w:p>
    <w:p>
      <w:pPr>
        <w:pStyle w:val="TableCaption"/>
      </w:pPr>
      <w:r>
        <w:rPr>
          <w:b/>
        </w:rPr>
        <w:t xml:space="preserve">Table 5:</w:t>
      </w:r>
      <w:r>
        <w:t xml:space="preserve"> </w:t>
      </w:r>
      <w:r>
        <w:t xml:space="preserve">Frequency Distribution and Summary of Calculator Test Scores</w:t>
      </w:r>
    </w:p>
    <w:tbl>
      <w:tblPr>
        <w:tblStyle w:val="Table"/>
        <w:tblW w:type="pct" w:w="2013.888888888889"/>
        <w:tblLook w:firstRow="1"/>
        <w:tblCaption w:val="Table 5: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44" w:name="rstudio-test-scores"/>
      <w:r>
        <w:t xml:space="preserve">RStudio Test Scores</w:t>
      </w:r>
      <w:bookmarkEnd w:id="44"/>
    </w:p>
    <w:p>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summary of RStudio test scores.</w:t>
      </w:r>
    </w:p>
    <w:p>
      <w:pPr>
        <w:pStyle w:val="TableCaption"/>
      </w:pPr>
      <w:r>
        <w:rPr>
          <w:b/>
        </w:rPr>
        <w:t xml:space="preserve">Table 6:</w:t>
      </w:r>
      <w:r>
        <w:t xml:space="preserve"> </w:t>
      </w:r>
      <w:r>
        <w:t xml:space="preserve">Frequency Distribution and Summary of RStudio Test Scores</w:t>
      </w:r>
    </w:p>
    <w:tbl>
      <w:tblPr>
        <w:tblStyle w:val="Table"/>
        <w:tblW w:type="pct" w:w="2013.888888888889"/>
        <w:tblLook w:firstRow="1"/>
        <w:tblCaption w:val="Table 6: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45" w:name="Xcf711e1b2cc4473bc7e366cc828900d9d7f606d"/>
      <w:r>
        <w:t xml:space="preserve">Calculator Test Scores and RStudio Test Scores of the Respondents When Grouped According to the Profile Variables</w:t>
      </w:r>
      <w:bookmarkEnd w:id="45"/>
    </w:p>
    <w:p>
      <w:pPr>
        <w:pStyle w:val="FirstParagraph"/>
      </w:pPr>
      <w:r>
        <w:t xml:space="preserve">The calculator test scores and the RStudio test scores of the respondents are grouped according to the profile variables gender, having previous programming experience and statistical computing tool preference.</w:t>
      </w:r>
    </w:p>
    <w:p>
      <w:pPr>
        <w:pStyle w:val="Heading3"/>
      </w:pPr>
      <w:bookmarkStart w:id="46" w:name="X69d0e5258ddf6b7c43e943dbacd24d0cb959ba9"/>
      <w:r>
        <w:t xml:space="preserve">Calculator Test Scores According to Gender</w:t>
      </w:r>
      <w:bookmarkEnd w:id="46"/>
    </w:p>
    <w:p>
      <w:pPr>
        <w:pStyle w:val="FirstParagraph"/>
      </w:pPr>
      <w:r>
        <w:t xml:space="preserve">Among the female respondents, only one passed the test. Among the male respondents, only one failed the test. The mean score for female respondents is 37 which is not passing. The mean score for male respondents is 61.67 which is passing. Table 7 shows the frequency distribution and summary of calculator test scores according to gender. The calculator test scores of male respondents seems to be better than the scores of female respondents.</w:t>
      </w:r>
    </w:p>
    <w:p>
      <w:pPr>
        <w:pStyle w:val="TableCaption"/>
      </w:pPr>
      <w:r>
        <w:rPr>
          <w:b/>
        </w:rPr>
        <w:t xml:space="preserve">Table 7:</w:t>
      </w:r>
      <w:r>
        <w:t xml:space="preserve"> </w:t>
      </w:r>
      <w:r>
        <w:t xml:space="preserve">Frequency Distribution and Summary of Calculator Test Scores According to Gender</w:t>
      </w:r>
    </w:p>
    <w:tbl>
      <w:tblPr>
        <w:tblStyle w:val="Table"/>
        <w:tblW w:type="pct" w:w="3819.4444444444443"/>
        <w:tblLook w:firstRow="1"/>
        <w:tblCaption w:val="Table 7: Frequency Distribution and Summary of Calculator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3"/>
      </w:pPr>
      <w:bookmarkStart w:id="47" w:name="rstudio-test-scores-according-to-gender"/>
      <w:r>
        <w:t xml:space="preserve">RStudio Test Scores According to Gender</w:t>
      </w:r>
      <w:bookmarkEnd w:id="47"/>
    </w:p>
    <w:p>
      <w:pPr>
        <w:pStyle w:val="FirstParagraph"/>
      </w:pPr>
      <w:r>
        <w:t xml:space="preserve">Among the female respondents, the number of respondents who failed the test is one respondent greater than the number of respondents who passed the test. All of the male respondents passed the test. The mean score for female respondents is 43.20 which is not passing. The mean score for male respondents is 73.33 which is passing. Table 8 shows the frequency distribution and summary of RStudio test scores according to gender. The RStudio test scores of male respondents seem to be better than the scores of female respondents.</w:t>
      </w:r>
    </w:p>
    <w:p>
      <w:pPr>
        <w:pStyle w:val="TableCaption"/>
      </w:pPr>
      <w:r>
        <w:rPr>
          <w:b/>
        </w:rPr>
        <w:t xml:space="preserve">Table 8:</w:t>
      </w:r>
      <w:r>
        <w:t xml:space="preserve"> </w:t>
      </w:r>
      <w:r>
        <w:t xml:space="preserve">Frequency Distribution and Summary of RStudio Test Scores According to Gender</w:t>
      </w:r>
    </w:p>
    <w:tbl>
      <w:tblPr>
        <w:tblStyle w:val="Table"/>
        <w:tblW w:type="pct" w:w="3819.4444444444443"/>
        <w:tblLook w:firstRow="1"/>
        <w:tblCaption w:val="Table 8: Frequency Distribution and Summary of RStudio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3"/>
      </w:pPr>
      <w:bookmarkStart w:id="48" w:name="X680bcc51204c6e161c7ecab1465326b0499e623"/>
      <w:r>
        <w:t xml:space="preserve">Calculator Test Scores According to Have Previous Programming Experience</w:t>
      </w:r>
      <w:bookmarkEnd w:id="48"/>
    </w:p>
    <w:p>
      <w:pPr>
        <w:pStyle w:val="FirstParagraph"/>
      </w:pPr>
      <w:r>
        <w:t xml:space="preserve">Half of the respondents who don’t have previous programming experience failed the calculator test and the other half passed. Only one respondent who have previous programming experience passed the test. The mean score for those who don’t have previous programming experience is 54.25 which is passing. The mean score for those who have previous programming experience is 38.25 which is not passing. Table 9 shows the frequency distribution and summary of calculator test scores according to have previous programming experience.</w:t>
      </w:r>
    </w:p>
    <w:p>
      <w:pPr>
        <w:pStyle w:val="TableCaption"/>
      </w:pPr>
      <w:r>
        <w:rPr>
          <w:b/>
        </w:rPr>
        <w:t xml:space="preserve">Table 9:</w:t>
      </w:r>
      <w:r>
        <w:t xml:space="preserve"> </w:t>
      </w:r>
      <w:r>
        <w:t xml:space="preserve">Frequency Distribution and Summary of Calculator Test Scores According to Have Previous Programming Experience</w:t>
      </w:r>
    </w:p>
    <w:tbl>
      <w:tblPr>
        <w:tblStyle w:val="Table"/>
        <w:tblW w:type="pct" w:w="4166.666666666666"/>
        <w:tblLook w:firstRow="1"/>
        <w:tblCaption w:val="Table 9: Frequency Distribution and Summary of Calculator Test Scores According to Have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3"/>
      </w:pPr>
      <w:bookmarkStart w:id="49" w:name="Xcfd4e5e24d262e312e1b04c2aafd42500f2c507"/>
      <w:r>
        <w:t xml:space="preserve">RStudio Test Scores According to Have Previous Programming Experience</w:t>
      </w:r>
      <w:bookmarkEnd w:id="49"/>
    </w:p>
    <w:p>
      <w:pPr>
        <w:pStyle w:val="FirstParagraph"/>
      </w:pPr>
      <w:r>
        <w:t xml:space="preserve">Half of the respondents who don’t have previous programming experience failed the RStudio test and the other half passed. Only one respondent who have previous programming experience failed the test. The mean score for those who don’t have previous programming experience is 52.50 which is passing. The mean score for those who have previous programming experience is 56.50 which is passing. Table 10 shows the frequency distribution and summary of RStudio test scores according to have previous programming experience.</w:t>
      </w:r>
    </w:p>
    <w:p>
      <w:pPr>
        <w:pStyle w:val="TableCaption"/>
      </w:pPr>
      <w:r>
        <w:rPr>
          <w:b/>
        </w:rPr>
        <w:t xml:space="preserve">Table 10:</w:t>
      </w:r>
      <w:r>
        <w:t xml:space="preserve"> </w:t>
      </w:r>
      <w:r>
        <w:t xml:space="preserve">Frequency Distribution and Summary of RStudio Test Scores According to Have Previous Programming Experience</w:t>
      </w:r>
    </w:p>
    <w:tbl>
      <w:tblPr>
        <w:tblStyle w:val="Table"/>
        <w:tblW w:type="pct" w:w="4097.222222222222"/>
        <w:tblLook w:firstRow="1"/>
        <w:tblCaption w:val="Table 10: Frequency Distribution and Summary of RStudio Test Scores According to Have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3"/>
      </w:pPr>
      <w:bookmarkStart w:id="50" w:name="X4cdd0d4399ae57bf4a3567f3a2e69df7c2943b3"/>
      <w:r>
        <w:t xml:space="preserve">Calculator Test Scores According to Statistical Computing Tool Preference</w:t>
      </w:r>
      <w:bookmarkEnd w:id="50"/>
    </w:p>
    <w:p>
      <w:pPr>
        <w:pStyle w:val="FirstParagraph"/>
      </w:pPr>
      <w:r>
        <w:t xml:space="preserve">In the calculator test, only one passed among those who prefer calculator as statistical computing tool. Among those who preferred RStudio as statistical tool, half passed and half failed in the calculator test. The mean score for those who prefer calculator is 48.75 which is not passing. The mean score for those who prefer RStudio is 43.75 which is also not passing. Table 11 shows the frequency distribution and summary of calculator test scores according to statistical computing tool preference.</w:t>
      </w:r>
    </w:p>
    <w:p>
      <w:pPr>
        <w:pStyle w:val="TableCaption"/>
      </w:pPr>
      <w:r>
        <w:rPr>
          <w:b/>
        </w:rPr>
        <w:t xml:space="preserve">Table 11:</w:t>
      </w:r>
      <w:r>
        <w:t xml:space="preserve"> </w:t>
      </w:r>
      <w:r>
        <w:t xml:space="preserve">Frequency Distribution and Summary of Calculator Test Scores According to Statistical Computing Tool Preference</w:t>
      </w:r>
    </w:p>
    <w:tbl>
      <w:tblPr>
        <w:tblStyle w:val="Table"/>
        <w:tblW w:type="pct" w:w="4097.222222222222"/>
        <w:tblLook w:firstRow="1"/>
        <w:tblCaption w:val="Table 11: Frequency Distribution and Summary of Calculator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1" w:name="X5cb653e5b3fbb79e506094823b99cba38be8a58"/>
      <w:r>
        <w:t xml:space="preserve">RStudio Test Scores According to Statistical Computing Tool Preference</w:t>
      </w:r>
      <w:bookmarkEnd w:id="51"/>
    </w:p>
    <w:p>
      <w:pPr>
        <w:pStyle w:val="FirstParagraph"/>
      </w:pPr>
      <w:r>
        <w:t xml:space="preserve">Among those who prefer calculator as statistical computing tool, half passed and half failed the RStudio test. Among those who prefer RStudio as statistical computing tool, only one failed. The mean score of those who prefer calculator is 53.25 which is passing. The mean score of those who prefer RStudio is 55.75 which is also passing. Table 12 shows the frequency distribution and summary of RStudio test scores according to statistical computing tool preference.</w:t>
      </w:r>
    </w:p>
    <w:p>
      <w:pPr>
        <w:pStyle w:val="TableCaption"/>
      </w:pPr>
      <w:r>
        <w:rPr>
          <w:b/>
        </w:rPr>
        <w:t xml:space="preserve">Table 12:</w:t>
      </w:r>
      <w:r>
        <w:t xml:space="preserve"> </w:t>
      </w:r>
      <w:r>
        <w:t xml:space="preserve">Frequency Distribution and Summary of RStudio Test Scores According to Statistical Computing Tool Preference</w:t>
      </w:r>
    </w:p>
    <w:tbl>
      <w:tblPr>
        <w:tblStyle w:val="Table"/>
        <w:tblW w:type="pct" w:w="4097.222222222222"/>
        <w:tblLook w:firstRow="1"/>
        <w:tblCaption w:val="Table 12: Frequency Distribution and Summary of RStudio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2" w:name="X3a3ec23900fc436ad8f39afc74b17dcd9d886cb"/>
      <w:r>
        <w:t xml:space="preserve">Significant Difference in the Calculator Test Scores and the RStudio Test Scores of the Respondents when Grouped According to the Profile Variables</w:t>
      </w:r>
      <w:bookmarkEnd w:id="52"/>
    </w:p>
    <w:p>
      <w:pPr>
        <w:pStyle w:val="FirstParagraph"/>
      </w:pPr>
      <w:r>
        <w:t xml:space="preserve">The calculator test scores and the RStudio test scores are grouped according to gender and have previous programming experience and statistical computing tool preference.</w:t>
      </w:r>
    </w:p>
    <w:p>
      <w:pPr>
        <w:pStyle w:val="Heading3"/>
      </w:pPr>
      <w:bookmarkStart w:id="53" w:name="calculator-test-scores-1"/>
      <w:r>
        <w:t xml:space="preserve">Calculator Test Scores</w:t>
      </w:r>
      <w:bookmarkEnd w:id="53"/>
    </w:p>
    <w:p>
      <w:pPr>
        <w:pStyle w:val="FirstParagraph"/>
      </w:pPr>
      <w:r>
        <w:t xml:space="preserve">For the calculator test scores of the respondents when grouped according to gender, the Wilcoxon rank-sum test gives a p value of 0.29. Since the p value is greater than the significance level of 0.05, the null hypothesis that the mean calculator test score of male is equal to the mean calculator score of female is not rejected. There is no statistical evidence that the mean score of male of 61.67 is greater than the mean score of female of 37. Gender is not a factor among the respondents when it comes to their performance in the calculator test.</w:t>
      </w:r>
    </w:p>
    <w:p>
      <w:pPr>
        <w:pStyle w:val="BodyText"/>
      </w:pPr>
      <w:r>
        <w:t xml:space="preserve">For the calculator test scores of the respondents when grouped according to have previous programming experience, the Wilcoxon rank-sum test gives a p value of 0.56. Since the p value is greater than the significance level of 0.05, the null hypothesis that the mean calculator test score of the respondents who have previous programming experience is equal to the mean calculator score of the respondents who have no previous programming experience is not rejected. There is no statistical evidence that the mean score of the respondents who have no previous programming experience of 54.25 is greater than the mean score of the respondents who have previous programming experience of 38.25. Having previous programming experience is not a factor among the respondents when it comes to their performance in the calculator test.</w:t>
      </w:r>
    </w:p>
    <w:p>
      <w:pPr>
        <w:pStyle w:val="Heading3"/>
      </w:pPr>
      <w:bookmarkStart w:id="54" w:name="rstudio-test-scores-1"/>
      <w:r>
        <w:t xml:space="preserve">RStudio Test Scores</w:t>
      </w:r>
      <w:bookmarkEnd w:id="54"/>
    </w:p>
    <w:p>
      <w:pPr>
        <w:pStyle w:val="FirstParagraph"/>
      </w:pPr>
      <w:r>
        <w:t xml:space="preserve">For the RStudio test scores of the respondents when grouped according to gender, the Wilcoxon rank-sum test gives a p value of 0.07. Since the p value is greater than the significance level of 0.05, the null hypothesis that the mean RStudio test score of male is equal to the mean RStudio test score of female is not rejected. There is no statistical evidence that the mean score of male of 73.33 is greater than the mean score of female of 43.20. Gender is not a factor among the respondents when it comes to their performance in the RStudio test.</w:t>
      </w:r>
    </w:p>
    <w:p>
      <w:pPr>
        <w:pStyle w:val="BodyText"/>
      </w:pPr>
      <w:r>
        <w:t xml:space="preserve">For the RStudio test scores of the respondents when grouped according to have previous programming experience, the Wilcoxon rank-sum test gives a p value of 0.89. Since the p value is greater than the significance level of 0.05, the null hypothesis that the mean RStudio test score of the respondents who have previous programming experience is equal to the mean RStudio test score of the respondents who have no previous programming experience is not rejected. There is no statistical evidence that the mean score of the respondents who have previous programming experience of 56.50 is greater than the mean score of the respondents who have no previous programming experience of 52.50. Having previous programming experience is not a factor among the respondents when it comes to their performance in the RStudio test.</w:t>
      </w:r>
    </w:p>
    <w:p>
      <w:pPr>
        <w:pStyle w:val="Heading2"/>
      </w:pPr>
      <w:bookmarkStart w:id="55" w:name="Xae52f931b8e0ddbc447a2d091bceb8bc052e743"/>
      <w:r>
        <w:t xml:space="preserve">Significant Relationship Between Age and the Calculator Test Scores and Between Age and the RStudio Test Scores of the Respondents</w:t>
      </w:r>
      <w:bookmarkEnd w:id="55"/>
    </w:p>
    <w:p>
      <w:pPr>
        <w:pStyle w:val="Heading3"/>
      </w:pPr>
      <w:bookmarkStart w:id="56" w:name="calculator-test-scores-and-age"/>
      <w:r>
        <w:t xml:space="preserve">Calculator Test Scores and Age</w:t>
      </w:r>
      <w:bookmarkEnd w:id="56"/>
    </w:p>
    <w:p>
      <w:pPr>
        <w:pStyle w:val="FirstParagraph"/>
      </w:pPr>
      <w:r>
        <w:t xml:space="preserve">The computed p value and correlation of calculator test scores and age is 0.004 and 0.88 respectively. Table 13 shows that the p value of 0.004 is less than the significance level of 0.05. The null hypothesis that calulator test scores and age are linearly uncorrelated is rejected. At the 5% significance level, the data provide sufficient evidence to conclude that calculator test scores and age are positively linearly correlated. There is a very strong positive correlation. The older the respondent, the better the calculator test score.</w:t>
      </w:r>
    </w:p>
    <w:p>
      <w:pPr>
        <w:pStyle w:val="TableCaption"/>
      </w:pPr>
      <w:r>
        <w:rPr>
          <w:b/>
        </w:rPr>
        <w:t xml:space="preserve">Table 13:</w:t>
      </w:r>
      <w:r>
        <w:t xml:space="preserve"> </w:t>
      </w:r>
      <w:r>
        <w:t xml:space="preserve">Pearson’s product-moment correlation: Age and Calculator Test</w:t>
      </w:r>
    </w:p>
    <w:tbl>
      <w:tblPr>
        <w:tblStyle w:val="Table"/>
        <w:tblW w:type="pct" w:w="4930.555555555556"/>
        <w:tblLook w:firstRow="1"/>
        <w:tblCaption w:val="Table 13: Pearson’s product-moment correlation: Age and Calculator Test"/>
      </w:tblPr>
      <w:tblGrid>
        <w:gridCol w:w="1870"/>
        <w:gridCol w:w="550"/>
        <w:gridCol w:w="1650"/>
        <w:gridCol w:w="2750"/>
        <w:gridCol w:w="99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4.637</w:t>
            </w:r>
          </w:p>
        </w:tc>
        <w:tc>
          <w:p>
            <w:pPr>
              <w:pStyle w:val="Compact"/>
              <w:jc w:val="center"/>
            </w:pPr>
            <w:r>
              <w:t xml:space="preserve">6</w:t>
            </w:r>
          </w:p>
        </w:tc>
        <w:tc>
          <w:p>
            <w:pPr>
              <w:pStyle w:val="Compact"/>
              <w:jc w:val="center"/>
            </w:pPr>
            <w:r>
              <w:t xml:space="preserve">0.003552 * *</w:t>
            </w:r>
          </w:p>
        </w:tc>
        <w:tc>
          <w:p>
            <w:pPr>
              <w:pStyle w:val="Compact"/>
              <w:jc w:val="center"/>
            </w:pPr>
            <w:r>
              <w:t xml:space="preserve">two.sided</w:t>
            </w:r>
          </w:p>
        </w:tc>
        <w:tc>
          <w:p>
            <w:pPr>
              <w:pStyle w:val="Compact"/>
              <w:jc w:val="center"/>
            </w:pPr>
            <w:r>
              <w:t xml:space="preserve">0.8842</w:t>
            </w:r>
          </w:p>
        </w:tc>
      </w:tr>
    </w:tbl>
    <w:p>
      <w:pPr>
        <w:pStyle w:val="Heading3"/>
      </w:pPr>
      <w:bookmarkStart w:id="57" w:name="rstudio-test-scores-and-age"/>
      <w:r>
        <w:t xml:space="preserve">RStudio Test Scores and Age</w:t>
      </w:r>
      <w:bookmarkEnd w:id="57"/>
    </w:p>
    <w:p>
      <w:pPr>
        <w:pStyle w:val="FirstParagraph"/>
      </w:pPr>
      <w:r>
        <w:t xml:space="preserve">The computed p value and correlation of RStudio test scores and age is 0.12 and 0.59 respectively. The p value of 0.12 is greater than the significance level of 0.05. The null hypothesis that RStudio test scores and age are linearly uncorrelated is not rejected. At the 5% significance level, the data provide no evidence to conclude that RStudio test scores and age are positively linearly correlated. In their RStudio test scores, age does not matter among the respondents.</w:t>
      </w:r>
    </w:p>
    <w:p>
      <w:pPr>
        <w:pStyle w:val="Heading2"/>
      </w:pPr>
      <w:bookmarkStart w:id="58" w:name="Xbd3786db3cdba4882b69bdebd5642e6e286cd1f"/>
      <w:r>
        <w:t xml:space="preserve">Significant Difference Between the Calculator Test Scores and Rstudio Test Scores of The Respondents</w:t>
      </w:r>
      <w:bookmarkEnd w:id="58"/>
    </w:p>
    <w:p>
      <w:pPr>
        <w:pStyle w:val="FirstParagraph"/>
      </w:pPr>
      <w:r>
        <w:t xml:space="preserve">Comparing the mean calculator test score and the mean RStudio test score, the Wilcoxon signed rank-sum test gives a p value of 0.25. Since the p value is greater than the significance level of 0.05, the null hypothesis that the mean calculator test score is equal to the mean RStudio test score is not rejected. There is no statistical evidence that the mean RStudio test score of 54.50 is greater than the mean calculator test score of 46.25. The use of RStudio as statistical computing tool in the test has not significantly improved the performance of the respondents.</w:t>
      </w:r>
    </w:p>
    <w:p>
      <w:pPr>
        <w:pStyle w:val="Heading1"/>
      </w:pPr>
      <w:bookmarkStart w:id="59" w:name="reference"/>
      <w:r>
        <w:t xml:space="preserve">Reference</w:t>
      </w:r>
      <w:bookmarkEnd w:id="59"/>
    </w:p>
    <w:bookmarkStart w:id="93" w:name="refs"/>
    <w:bookmarkStart w:id="60"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60"/>
    <w:bookmarkStart w:id="62"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61">
        <w:r>
          <w:rPr>
            <w:rStyle w:val="Hyperlink"/>
          </w:rPr>
          <w:t xml:space="preserve">https://escholarship.org/uc/item/8sd2t4rr</w:t>
        </w:r>
      </w:hyperlink>
    </w:p>
    <w:bookmarkEnd w:id="62"/>
    <w:bookmarkStart w:id="63"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63"/>
    <w:bookmarkStart w:id="65"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64">
        <w:r>
          <w:rPr>
            <w:rStyle w:val="Hyperlink"/>
          </w:rPr>
          <w:t xml:space="preserve">https://doi.org/10.1080/00031305.2017.1397549</w:t>
        </w:r>
      </w:hyperlink>
    </w:p>
    <w:bookmarkEnd w:id="65"/>
    <w:bookmarkStart w:id="67"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66">
        <w:r>
          <w:rPr>
            <w:rStyle w:val="Hyperlink"/>
          </w:rPr>
          <w:t xml:space="preserve">https://escholarship.org/uc/item/00d4q8cp</w:t>
        </w:r>
      </w:hyperlink>
    </w:p>
    <w:bookmarkEnd w:id="67"/>
    <w:bookmarkStart w:id="69"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68">
        <w:r>
          <w:rPr>
            <w:rStyle w:val="Hyperlink"/>
          </w:rPr>
          <w:t xml:space="preserve">https://escholarship.org/uc/item/7gv0q9dc</w:t>
        </w:r>
      </w:hyperlink>
    </w:p>
    <w:bookmarkEnd w:id="69"/>
    <w:bookmarkStart w:id="70"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70"/>
    <w:bookmarkStart w:id="72" w:name="ref-GCR16"/>
    <w:p>
      <w:pPr>
        <w:pStyle w:val="Bibliography"/>
      </w:pPr>
      <w:r>
        <w:t xml:space="preserve">GAISE College Report ASA Revision Committee. (2016). Guidelines for Assessment and Instruction in Statistics Education College Report 2016. Retrieved from</w:t>
      </w:r>
      <w:r>
        <w:t xml:space="preserve"> </w:t>
      </w:r>
      <w:hyperlink r:id="rId71">
        <w:r>
          <w:rPr>
            <w:rStyle w:val="Hyperlink"/>
          </w:rPr>
          <w:t xml:space="preserve">http://www.amstat.org/education/gaise</w:t>
        </w:r>
      </w:hyperlink>
    </w:p>
    <w:bookmarkEnd w:id="72"/>
    <w:bookmarkStart w:id="74"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73">
        <w:r>
          <w:rPr>
            <w:rStyle w:val="Hyperlink"/>
          </w:rPr>
          <w:t xml:space="preserve">https://doi.org/10.1111/j.1751-5823.2010.00117.x</w:t>
        </w:r>
      </w:hyperlink>
    </w:p>
    <w:bookmarkEnd w:id="74"/>
    <w:bookmarkStart w:id="75"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75"/>
    <w:bookmarkStart w:id="77"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76">
        <w:r>
          <w:rPr>
            <w:rStyle w:val="Hyperlink"/>
          </w:rPr>
          <w:t xml:space="preserve">https://doi.org/10.1080/00031305.2015.1077729</w:t>
        </w:r>
      </w:hyperlink>
    </w:p>
    <w:bookmarkEnd w:id="77"/>
    <w:bookmarkStart w:id="79"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78">
        <w:r>
          <w:rPr>
            <w:rStyle w:val="Hyperlink"/>
          </w:rPr>
          <w:t xml:space="preserve">https://escholarship.org/uc/item/1fn7k2x3</w:t>
        </w:r>
      </w:hyperlink>
    </w:p>
    <w:bookmarkEnd w:id="79"/>
    <w:bookmarkStart w:id="81"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80">
        <w:r>
          <w:rPr>
            <w:rStyle w:val="Hyperlink"/>
          </w:rPr>
          <w:t xml:space="preserve">https://doi.org/10.1080/00031305.2015.1032435</w:t>
        </w:r>
      </w:hyperlink>
    </w:p>
    <w:bookmarkEnd w:id="81"/>
    <w:bookmarkStart w:id="83"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82">
        <w:r>
          <w:rPr>
            <w:rStyle w:val="Hyperlink"/>
          </w:rPr>
          <w:t xml:space="preserve">https://doi.org/10.1080/09332480.2015.1042739</w:t>
        </w:r>
      </w:hyperlink>
    </w:p>
    <w:bookmarkEnd w:id="83"/>
    <w:bookmarkStart w:id="85"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84">
        <w:r>
          <w:rPr>
            <w:rStyle w:val="Hyperlink"/>
          </w:rPr>
          <w:t xml:space="preserve">https://doi.org/10.1080/00031305.2018.1482784</w:t>
        </w:r>
      </w:hyperlink>
    </w:p>
    <w:bookmarkEnd w:id="85"/>
    <w:bookmarkStart w:id="87"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86">
        <w:r>
          <w:rPr>
            <w:rStyle w:val="Hyperlink"/>
          </w:rPr>
          <w:t xml:space="preserve">https://www.R-project.org/</w:t>
        </w:r>
      </w:hyperlink>
    </w:p>
    <w:bookmarkEnd w:id="87"/>
    <w:bookmarkStart w:id="89"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88">
        <w:r>
          <w:rPr>
            <w:rStyle w:val="Hyperlink"/>
          </w:rPr>
          <w:t xml:space="preserve">https://doi.org/10.1080/10691898.2017.1322474</w:t>
        </w:r>
      </w:hyperlink>
    </w:p>
    <w:bookmarkEnd w:id="89"/>
    <w:bookmarkStart w:id="91"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90">
        <w:r>
          <w:rPr>
            <w:rStyle w:val="Hyperlink"/>
          </w:rPr>
          <w:t xml:space="preserve">https://doi.org/10.1080/09332480.2018.1467642</w:t>
        </w:r>
      </w:hyperlink>
    </w:p>
    <w:bookmarkEnd w:id="91"/>
    <w:bookmarkStart w:id="92"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92"/>
    <w:bookmarkEnd w:id="93"/>
    <w:sectPr w:rsidR="0076364E">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6EBC" w14:textId="77777777" w:rsidR="000E7413" w:rsidRDefault="000E7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4BBF287D" w14:textId="16579CEB" w:rsidR="000E7413" w:rsidRDefault="000E74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87B749" w14:textId="77777777" w:rsidR="000E7413" w:rsidRDefault="000E7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AB8DE" w14:textId="77777777" w:rsidR="000E7413" w:rsidRDefault="000E74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75142" w14:textId="77777777" w:rsidR="000E7413" w:rsidRDefault="000E7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D2C94" w14:textId="77777777" w:rsidR="000E7413" w:rsidRDefault="000E7413">
    <w:pPr>
      <w:pStyle w:val="Header"/>
    </w:pPr>
    <w:bookmarkStart w:id="63" w:name="_GoBack"/>
    <w:bookmarkEnd w:id="6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D561B" w14:textId="77777777" w:rsidR="000E7413" w:rsidRDefault="000E7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08C8B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82829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7467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C46E0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0E43F2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456F01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32D2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7B63C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8A94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2290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71" Target="http://www.amstat.org/education/gaise" TargetMode="External" /><Relationship Type="http://schemas.openxmlformats.org/officeDocument/2006/relationships/hyperlink" Id="rId80" Target="https://doi.org/10.1080/00031305.2015.1032435" TargetMode="External" /><Relationship Type="http://schemas.openxmlformats.org/officeDocument/2006/relationships/hyperlink" Id="rId76" Target="https://doi.org/10.1080/00031305.2015.1077729" TargetMode="External" /><Relationship Type="http://schemas.openxmlformats.org/officeDocument/2006/relationships/hyperlink" Id="rId64" Target="https://doi.org/10.1080/00031305.2017.1397549" TargetMode="External" /><Relationship Type="http://schemas.openxmlformats.org/officeDocument/2006/relationships/hyperlink" Id="rId84" Target="https://doi.org/10.1080/00031305.2018.1482784" TargetMode="External" /><Relationship Type="http://schemas.openxmlformats.org/officeDocument/2006/relationships/hyperlink" Id="rId82" Target="https://doi.org/10.1080/09332480.2015.1042739" TargetMode="External" /><Relationship Type="http://schemas.openxmlformats.org/officeDocument/2006/relationships/hyperlink" Id="rId90" Target="https://doi.org/10.1080/09332480.2018.1467642" TargetMode="External" /><Relationship Type="http://schemas.openxmlformats.org/officeDocument/2006/relationships/hyperlink" Id="rId88" Target="https://doi.org/10.1080/10691898.2017.1322474" TargetMode="External" /><Relationship Type="http://schemas.openxmlformats.org/officeDocument/2006/relationships/hyperlink" Id="rId73" Target="https://doi.org/10.1111/j.1751-5823.2010.00117.x" TargetMode="External" /><Relationship Type="http://schemas.openxmlformats.org/officeDocument/2006/relationships/hyperlink" Id="rId66" Target="https://escholarship.org/uc/item/00d4q8cp" TargetMode="External" /><Relationship Type="http://schemas.openxmlformats.org/officeDocument/2006/relationships/hyperlink" Id="rId78" Target="https://escholarship.org/uc/item/1fn7k2x3" TargetMode="External" /><Relationship Type="http://schemas.openxmlformats.org/officeDocument/2006/relationships/hyperlink" Id="rId68" Target="https://escholarship.org/uc/item/7gv0q9dc" TargetMode="External" /><Relationship Type="http://schemas.openxmlformats.org/officeDocument/2006/relationships/hyperlink" Id="rId61" Target="https://escholarship.org/uc/item/8sd2t4rr" TargetMode="External" /><Relationship Type="http://schemas.openxmlformats.org/officeDocument/2006/relationships/hyperlink" Id="rId8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1" Target="http://www.amstat.org/education/gaise" TargetMode="External" /><Relationship Type="http://schemas.openxmlformats.org/officeDocument/2006/relationships/hyperlink" Id="rId80" Target="https://doi.org/10.1080/00031305.2015.1032435" TargetMode="External" /><Relationship Type="http://schemas.openxmlformats.org/officeDocument/2006/relationships/hyperlink" Id="rId76" Target="https://doi.org/10.1080/00031305.2015.1077729" TargetMode="External" /><Relationship Type="http://schemas.openxmlformats.org/officeDocument/2006/relationships/hyperlink" Id="rId64" Target="https://doi.org/10.1080/00031305.2017.1397549" TargetMode="External" /><Relationship Type="http://schemas.openxmlformats.org/officeDocument/2006/relationships/hyperlink" Id="rId84" Target="https://doi.org/10.1080/00031305.2018.1482784" TargetMode="External" /><Relationship Type="http://schemas.openxmlformats.org/officeDocument/2006/relationships/hyperlink" Id="rId82" Target="https://doi.org/10.1080/09332480.2015.1042739" TargetMode="External" /><Relationship Type="http://schemas.openxmlformats.org/officeDocument/2006/relationships/hyperlink" Id="rId90" Target="https://doi.org/10.1080/09332480.2018.1467642" TargetMode="External" /><Relationship Type="http://schemas.openxmlformats.org/officeDocument/2006/relationships/hyperlink" Id="rId88" Target="https://doi.org/10.1080/10691898.2017.1322474" TargetMode="External" /><Relationship Type="http://schemas.openxmlformats.org/officeDocument/2006/relationships/hyperlink" Id="rId73" Target="https://doi.org/10.1111/j.1751-5823.2010.00117.x" TargetMode="External" /><Relationship Type="http://schemas.openxmlformats.org/officeDocument/2006/relationships/hyperlink" Id="rId66" Target="https://escholarship.org/uc/item/00d4q8cp" TargetMode="External" /><Relationship Type="http://schemas.openxmlformats.org/officeDocument/2006/relationships/hyperlink" Id="rId78" Target="https://escholarship.org/uc/item/1fn7k2x3" TargetMode="External" /><Relationship Type="http://schemas.openxmlformats.org/officeDocument/2006/relationships/hyperlink" Id="rId68" Target="https://escholarship.org/uc/item/7gv0q9dc" TargetMode="External" /><Relationship Type="http://schemas.openxmlformats.org/officeDocument/2006/relationships/hyperlink" Id="rId61" Target="https://escholarship.org/uc/item/8sd2t4rr" TargetMode="External" /><Relationship Type="http://schemas.openxmlformats.org/officeDocument/2006/relationships/hyperlink" Id="rId8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2020-01-11T20:59:48Z</dcterms:created>
  <dcterms:modified xsi:type="dcterms:W3CDTF">2020-01-11T20:59:48Z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