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the-researchers-standpoint"/>
      <w:r>
        <w:t xml:space="preserve">The Researcher’s Standpoint</w:t>
      </w:r>
      <w:bookmarkEnd w:id="21"/>
    </w:p>
    <w:p>
      <w:pPr>
        <w:pStyle w:val="Heading2"/>
      </w:pPr>
      <w:bookmarkStart w:id="22" w:name="rationale"/>
      <w:r>
        <w:t xml:space="preserve">Rationale</w:t>
      </w:r>
      <w:bookmarkEnd w:id="22"/>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2019)</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3" w:name="statement-of-the-problem"/>
      <w:r>
        <w:t xml:space="preserve">Statement of the Problem</w:t>
      </w:r>
      <w:bookmarkEnd w:id="23"/>
    </w:p>
    <w:p>
      <w:pPr>
        <w:pStyle w:val="FirstParagraph"/>
      </w:pPr>
      <w:r>
        <w:t xml:space="preserve">Using only calculator as a statistical computing tool in the teaching and learning of statistics</w:t>
      </w:r>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4" w:name="statement-of-the-hypothesis"/>
      <w:r>
        <w:t xml:space="preserve">Statement of the Hypothesis</w:t>
      </w:r>
      <w:bookmarkEnd w:id="24"/>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5" w:name="significance-of-the-study"/>
      <w:r>
        <w:t xml:space="preserve">Significance of the Study</w:t>
      </w:r>
      <w:bookmarkEnd w:id="25"/>
    </w:p>
    <w:p>
      <w:pPr>
        <w:pStyle w:val="Heading2"/>
      </w:pPr>
      <w:bookmarkStart w:id="26" w:name="research-framework"/>
      <w:r>
        <w:t xml:space="preserve">Research Framework</w:t>
      </w:r>
      <w:bookmarkEnd w:id="26"/>
    </w:p>
    <w:p>
      <w:pPr>
        <w:pStyle w:val="Heading2"/>
      </w:pPr>
      <w:bookmarkStart w:id="27" w:name="scope"/>
      <w:r>
        <w:t xml:space="preserve">Scope</w:t>
      </w:r>
      <w:bookmarkEnd w:id="27"/>
    </w:p>
    <w:p>
      <w:pPr>
        <w:pStyle w:val="Heading2"/>
      </w:pPr>
      <w:bookmarkStart w:id="28" w:name="definition-of-terms"/>
      <w:r>
        <w:t xml:space="preserve">Definition of Terms</w:t>
      </w:r>
      <w:bookmarkEnd w:id="28"/>
    </w:p>
    <w:p>
      <w:pPr>
        <w:pStyle w:val="Heading1"/>
      </w:pPr>
      <w:bookmarkStart w:id="29" w:name="review-of-related-literature-and-studies"/>
      <w:r>
        <w:t xml:space="preserve">Review of Related Literature and Studies</w:t>
      </w:r>
      <w:bookmarkEnd w:id="29"/>
    </w:p>
    <w:p>
      <w:pPr>
        <w:pStyle w:val="FirstParagraph"/>
      </w:pPr>
      <w:r>
        <w:t xml:space="preserve">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pPr>
        <w:pStyle w:val="Heading2"/>
      </w:pPr>
      <w:bookmarkStart w:id="30" w:name="X7b550816ab4b4b0cc8eda0bafa759114883b350"/>
      <w:r>
        <w:t xml:space="preserve">The Necessity of Statistics Education and its Current Landscape</w:t>
      </w:r>
      <w:bookmarkEnd w:id="30"/>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(Ben-Zvi &amp; Makar, 2016)</w:t>
      </w:r>
      <w:r>
        <w:t xml:space="preserve">.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(Ben-Zvi &amp; Makar, 2016)</w:t>
      </w:r>
      <w:r>
        <w:t xml:space="preserve">.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literatures. This is where my study would like to investigate.</w:t>
      </w:r>
    </w:p>
    <w:p>
      <w:pPr>
        <w:pStyle w:val="Heading3"/>
      </w:pPr>
      <w:bookmarkStart w:id="31" w:name="a-brief-history-of-statistics-education"/>
      <w:r>
        <w:t xml:space="preserve">A Brief History of Statistics Education</w:t>
      </w:r>
      <w:bookmarkEnd w:id="31"/>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2" w:name="X7e626ed3dac537c43225eb6bf901f8857a6d1a4"/>
      <w:r>
        <w:t xml:space="preserve">The Global Perspective on Statistics Education</w:t>
      </w:r>
      <w:bookmarkEnd w:id="32"/>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w:t>
      </w:r>
      <w:r>
        <w:t xml:space="preserve"> </w:t>
      </w:r>
      <w:r>
        <w:t xml:space="preserve">(MacGillivray et al., 2014)</w:t>
      </w:r>
      <w:r>
        <w:t xml:space="preserve">.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(MacGillivray et al., 2014)</w:t>
      </w:r>
      <w:r>
        <w:t xml:space="preserve">.</w:t>
      </w:r>
    </w:p>
    <w:p>
      <w:pPr>
        <w:pStyle w:val="Heading4"/>
      </w:pPr>
      <w:bookmarkStart w:id="33" w:name="local-perspective-the-philippine-context"/>
      <w:r>
        <w:t xml:space="preserve">Local Perspective: The Philippine Context</w:t>
      </w:r>
      <w:bookmarkEnd w:id="33"/>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4" w:name="rstudio-in-teaching-statistics"/>
      <w:r>
        <w:t xml:space="preserve">RStudio in Teaching Statistics</w:t>
      </w:r>
      <w:bookmarkEnd w:id="34"/>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numId w:val="1003"/>
          <w:ilvl w:val="0"/>
        </w:numPr>
      </w:pPr>
      <w:r>
        <w:t xml:space="preserve">R is one of the most popular programing languages in the world</w:t>
      </w:r>
      <w:r>
        <w:t xml:space="preserve"> </w:t>
      </w:r>
      <w:r>
        <w:t xml:space="preserve">(Cass, 2017)</w:t>
      </w:r>
      <w:r>
        <w:t xml:space="preserve">.</w:t>
      </w:r>
    </w:p>
    <w:p>
      <w:pPr>
        <w:numPr>
          <w:numId w:val="1003"/>
          <w:ilvl w:val="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programing background.</w:t>
      </w:r>
    </w:p>
    <w:p>
      <w:pPr>
        <w:numPr>
          <w:numId w:val="1003"/>
          <w:ilvl w:val="0"/>
        </w:numPr>
      </w:pPr>
      <w:r>
        <w:t xml:space="preserve">R is open source, so students are learning a toolkit that will still be accessible to them after they complete the course.</w:t>
      </w:r>
    </w:p>
    <w:p>
      <w:pPr>
        <w:numPr>
          <w:numId w:val="1003"/>
          <w:ilvl w:val="0"/>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numId w:val="1003"/>
          <w:ilvl w:val="0"/>
        </w:numPr>
      </w:pPr>
      <w:r>
        <w:t xml:space="preserve">R makes reproducibility easy. For example, if you share your dataset and R Markdown document, then your analysis can be easily rerun by another researcher.</w:t>
      </w:r>
    </w:p>
    <w:p>
      <w:pPr>
        <w:numPr>
          <w:numId w:val="1003"/>
          <w:ilvl w:val="0"/>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5" w:name="methodology"/>
      <w:r>
        <w:t xml:space="preserve">Methodology</w:t>
      </w:r>
      <w:bookmarkEnd w:id="35"/>
    </w:p>
    <w:p>
      <w:pPr>
        <w:pStyle w:val="Heading2"/>
      </w:pPr>
      <w:bookmarkStart w:id="36" w:name="research-design"/>
      <w:r>
        <w:t xml:space="preserve">Research Design</w:t>
      </w:r>
      <w:bookmarkEnd w:id="36"/>
    </w:p>
    <w:p>
      <w:pPr>
        <w:pStyle w:val="Heading2"/>
      </w:pPr>
      <w:bookmarkStart w:id="37" w:name="research-environment"/>
      <w:r>
        <w:t xml:space="preserve">Research Environment</w:t>
      </w:r>
      <w:bookmarkEnd w:id="37"/>
    </w:p>
    <w:p>
      <w:pPr>
        <w:pStyle w:val="Heading2"/>
      </w:pPr>
      <w:bookmarkStart w:id="38" w:name="respondents"/>
      <w:r>
        <w:t xml:space="preserve">Respondents</w:t>
      </w:r>
      <w:bookmarkEnd w:id="38"/>
    </w:p>
    <w:p>
      <w:pPr>
        <w:pStyle w:val="Heading2"/>
      </w:pPr>
      <w:bookmarkStart w:id="39" w:name="research-instruments"/>
      <w:r>
        <w:t xml:space="preserve">Research Instruments</w:t>
      </w:r>
      <w:bookmarkEnd w:id="39"/>
    </w:p>
    <w:p>
      <w:pPr>
        <w:pStyle w:val="Heading2"/>
      </w:pPr>
      <w:bookmarkStart w:id="40" w:name="data-gathering-procedure"/>
      <w:r>
        <w:t xml:space="preserve">Data Gathering Procedure</w:t>
      </w:r>
      <w:bookmarkEnd w:id="40"/>
    </w:p>
    <w:p>
      <w:pPr>
        <w:pStyle w:val="Heading2"/>
      </w:pPr>
      <w:bookmarkStart w:id="41" w:name="data-analysis"/>
      <w:r>
        <w:t xml:space="preserve">Data Analysis</w:t>
      </w:r>
      <w:bookmarkEnd w:id="41"/>
    </w:p>
    <w:p>
      <w:pPr>
        <w:pStyle w:val="Heading1"/>
      </w:pPr>
      <w:bookmarkStart w:id="42" w:name="results-and-discussion"/>
      <w:r>
        <w:t xml:space="preserve">Results and Discussion</w:t>
      </w:r>
      <w:bookmarkEnd w:id="42"/>
    </w:p>
    <w:p>
      <w:pPr>
        <w:pStyle w:val="Heading2"/>
      </w:pPr>
      <w:bookmarkStart w:id="43" w:name="profile-variables-of-the-respondents"/>
      <w:r>
        <w:t xml:space="preserve">Profile Variables of the Respondents</w:t>
      </w:r>
      <w:bookmarkEnd w:id="43"/>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4" w:name="gender"/>
      <w:r>
        <w:t xml:space="preserve">Gender</w:t>
      </w:r>
      <w:bookmarkEnd w:id="44"/>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5" w:name="have-previous-programming-experience"/>
      <w:r>
        <w:t xml:space="preserve">Have Previous Programming Experience</w:t>
      </w:r>
      <w:bookmarkEnd w:id="45"/>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6" w:name="X7f59e9ce22f84628a9268806c5f1ff51916bee0"/>
      <w:r>
        <w:t xml:space="preserve">Statistical Computing Tool Preference: Calculator or RStudio</w:t>
      </w:r>
      <w:bookmarkEnd w:id="46"/>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7" w:name="age"/>
      <w:r>
        <w:t xml:space="preserve">Age</w:t>
      </w:r>
      <w:bookmarkEnd w:id="47"/>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8" w:name="X415a44f6250555506220cdea9bc80f27b1252a6"/>
      <w:r>
        <w:t xml:space="preserve">Calculator Test Scores and RStudio Test Scores of the Respondents</w:t>
      </w:r>
      <w:bookmarkEnd w:id="48"/>
    </w:p>
    <w:p>
      <w:pPr>
        <w:pStyle w:val="FirstParagraph"/>
      </w:pPr>
      <w:r>
        <w:t xml:space="preserve">There are two sets of examination scores: the calculator test scores and RStudio test scores.</w:t>
      </w:r>
    </w:p>
    <w:p>
      <w:pPr>
        <w:pStyle w:val="Heading3"/>
      </w:pPr>
      <w:bookmarkStart w:id="49" w:name="calculator-test-scores"/>
      <w:r>
        <w:t xml:space="preserve">Calculator Test Scores</w:t>
      </w:r>
      <w:bookmarkEnd w:id="49"/>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50" w:name="rstudio-test-scores"/>
      <w:r>
        <w:t xml:space="preserve">RStudio Test Scores</w:t>
      </w:r>
      <w:bookmarkEnd w:id="50"/>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1" w:name="Xcf711e1b2cc4473bc7e366cc828900d9d7f606d"/>
      <w:r>
        <w:t xml:space="preserve">Calculator Test Scores and RStudio Test Scores of the Respondents When Grouped According to the Profile Variables</w:t>
      </w:r>
      <w:bookmarkEnd w:id="51"/>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2" w:name="X69d0e5258ddf6b7c43e943dbacd24d0cb959ba9"/>
      <w:r>
        <w:t xml:space="preserve">Calculator Test Scores According to Gender</w:t>
      </w:r>
      <w:bookmarkEnd w:id="52"/>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3" w:name="rstudio-test-scores-according-to-gender"/>
      <w:r>
        <w:t xml:space="preserve">RStudio Test Scores According to Gender</w:t>
      </w:r>
      <w:bookmarkEnd w:id="53"/>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4" w:name="X680bcc51204c6e161c7ecab1465326b0499e623"/>
      <w:r>
        <w:t xml:space="preserve">Calculator Test Scores According to Have Previous Programming Experience</w:t>
      </w:r>
      <w:bookmarkEnd w:id="54"/>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5" w:name="Xcfd4e5e24d262e312e1b04c2aafd42500f2c507"/>
      <w:r>
        <w:t xml:space="preserve">RStudio Test Scores According to Have Previous Programming Experience</w:t>
      </w:r>
      <w:bookmarkEnd w:id="55"/>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6" w:name="X4cdd0d4399ae57bf4a3567f3a2e69df7c2943b3"/>
      <w:r>
        <w:t xml:space="preserve">Calculator Test Scores According to Statistical Computing Tool Preference</w:t>
      </w:r>
      <w:bookmarkEnd w:id="56"/>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7" w:name="X5cb653e5b3fbb79e506094823b99cba38be8a58"/>
      <w:r>
        <w:t xml:space="preserve">RStudio Test Scores According to Statistical Computing Tool Preference</w:t>
      </w:r>
      <w:bookmarkEnd w:id="57"/>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8" w:name="X3a3ec23900fc436ad8f39afc74b17dcd9d886cb"/>
      <w:r>
        <w:t xml:space="preserve">Significant Difference in the Calculator Test Scores and the RStudio Test Scores of the Respondents when Grouped According to the Profile Variables</w:t>
      </w:r>
      <w:bookmarkEnd w:id="58"/>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9" w:name="calculator-test-scores-1"/>
      <w:r>
        <w:t xml:space="preserve">Calculator Test Scores</w:t>
      </w:r>
      <w:bookmarkEnd w:id="59"/>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60" w:name="rstudio-test-scores-1"/>
      <w:r>
        <w:t xml:space="preserve">RStudio Test Scores</w:t>
      </w:r>
      <w:bookmarkEnd w:id="60"/>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1" w:name="Xae52f931b8e0ddbc447a2d091bceb8bc052e743"/>
      <w:r>
        <w:t xml:space="preserve">Significant Relationship Between Age and the Calculator Test Scores and Between Age and the RStudio Test Scores of the Respondents</w:t>
      </w:r>
      <w:bookmarkEnd w:id="61"/>
    </w:p>
    <w:p>
      <w:pPr>
        <w:pStyle w:val="Heading3"/>
      </w:pPr>
      <w:bookmarkStart w:id="62" w:name="calculator-test-scores-and-age"/>
      <w:r>
        <w:t xml:space="preserve">Calculator Test Scores and Age</w:t>
      </w:r>
      <w:bookmarkEnd w:id="62"/>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3" w:name="rstudio-test-scores-and-age"/>
      <w:r>
        <w:t xml:space="preserve">RStudio Test Scores and Age</w:t>
      </w:r>
      <w:bookmarkEnd w:id="63"/>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4" w:name="Xbd3786db3cdba4882b69bdebd5642e6e286cd1f"/>
      <w:r>
        <w:t xml:space="preserve">Significant Difference Between the Calculator Test Scores and RStudio Test Scores of The Respondents</w:t>
      </w:r>
      <w:bookmarkEnd w:id="64"/>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5" w:name="reference"/>
      <w:r>
        <w:t xml:space="preserve">Reference</w:t>
      </w:r>
      <w:bookmarkEnd w:id="65"/>
    </w:p>
    <w:bookmarkStart w:id="113" w:name="refs"/>
    <w:bookmarkStart w:id="66"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66"/>
    <w:bookmarkStart w:id="67"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67"/>
    <w:bookmarkStart w:id="68"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68"/>
    <w:bookmarkStart w:id="69"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9"/>
    <w:bookmarkStart w:id="71"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70">
        <w:r>
          <w:rPr>
            <w:rStyle w:val="Hyperlink"/>
          </w:rPr>
          <w:t xml:space="preserve">https://spectrum.ieee.org/computing/software/the-2017-topprogramming-
languages</w:t>
        </w:r>
      </w:hyperlink>
    </w:p>
    <w:bookmarkEnd w:id="71"/>
    <w:bookmarkStart w:id="73"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2">
        <w:r>
          <w:rPr>
            <w:rStyle w:val="Hyperlink"/>
          </w:rPr>
          <w:t xml:space="preserve">https://escholarship.org/uc/item/8sd2t4rr</w:t>
        </w:r>
      </w:hyperlink>
    </w:p>
    <w:bookmarkEnd w:id="73"/>
    <w:bookmarkStart w:id="74"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4"/>
    <w:bookmarkStart w:id="76" w:name="ref-CR16"/>
    <w:p>
      <w:pPr>
        <w:pStyle w:val="Bibliography"/>
      </w:pPr>
      <w:r>
        <w:t xml:space="preserve">Çetinkaya-Rundel, M., &amp; Horton, N. J. (2016). Technology lowering barriers: Get started with R at the snap of a finger. Retrieved from</w:t>
      </w:r>
      <w:r>
        <w:t xml:space="preserve"> </w:t>
      </w:r>
      <w:hyperlink r:id="rId75">
        <w:r>
          <w:rPr>
            <w:rStyle w:val="Hyperlink"/>
          </w:rPr>
          <w:t xml:space="preserve">https://www.causeweb.org/cause/ecots/ecots16/breakouts/7</w:t>
        </w:r>
      </w:hyperlink>
    </w:p>
    <w:bookmarkEnd w:id="76"/>
    <w:bookmarkStart w:id="78"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7">
        <w:r>
          <w:rPr>
            <w:rStyle w:val="Hyperlink"/>
          </w:rPr>
          <w:t xml:space="preserve">https://doi.org/10.1080/00031305.2017.1397549</w:t>
        </w:r>
      </w:hyperlink>
    </w:p>
    <w:bookmarkEnd w:id="78"/>
    <w:bookmarkStart w:id="80"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9">
        <w:r>
          <w:rPr>
            <w:rStyle w:val="Hyperlink"/>
          </w:rPr>
          <w:t xml:space="preserve">https://escholarship.org/uc/item/00d4q8cp</w:t>
        </w:r>
      </w:hyperlink>
    </w:p>
    <w:bookmarkEnd w:id="80"/>
    <w:bookmarkStart w:id="82"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81">
        <w:r>
          <w:rPr>
            <w:rStyle w:val="Hyperlink"/>
          </w:rPr>
          <w:t xml:space="preserve">https://escholarship.org/uc/item/7gv0q9dc</w:t>
        </w:r>
      </w:hyperlink>
    </w:p>
    <w:bookmarkEnd w:id="82"/>
    <w:bookmarkStart w:id="83"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3"/>
    <w:bookmarkStart w:id="85" w:name="ref-GCR16"/>
    <w:p>
      <w:pPr>
        <w:pStyle w:val="Bibliography"/>
      </w:pPr>
      <w:r>
        <w:t xml:space="preserve">GAISE College Report ASA Revision Committee. (2016). Guidelines for assessment and instruction in statistics education college report 2016. Retrieved from</w:t>
      </w:r>
      <w:r>
        <w:t xml:space="preserve"> </w:t>
      </w:r>
      <w:hyperlink r:id="rId84">
        <w:r>
          <w:rPr>
            <w:rStyle w:val="Hyperlink"/>
          </w:rPr>
          <w:t xml:space="preserve">http://www.amstat.org/education/gaise</w:t>
        </w:r>
      </w:hyperlink>
    </w:p>
    <w:bookmarkEnd w:id="85"/>
    <w:bookmarkStart w:id="86"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86"/>
    <w:bookmarkStart w:id="88"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7">
        <w:r>
          <w:rPr>
            <w:rStyle w:val="Hyperlink"/>
          </w:rPr>
          <w:t xml:space="preserve">https://doi.org/10.1111/j.1751-5823.2010.00117.x</w:t>
        </w:r>
      </w:hyperlink>
    </w:p>
    <w:bookmarkEnd w:id="88"/>
    <w:bookmarkStart w:id="89"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9"/>
    <w:bookmarkStart w:id="91"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90">
        <w:r>
          <w:rPr>
            <w:rStyle w:val="Hyperlink"/>
          </w:rPr>
          <w:t xml:space="preserve">https://doi.org/10.1080/00031305.2015.1077729</w:t>
        </w:r>
      </w:hyperlink>
    </w:p>
    <w:bookmarkEnd w:id="91"/>
    <w:bookmarkStart w:id="93"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2">
        <w:r>
          <w:rPr>
            <w:rStyle w:val="Hyperlink"/>
          </w:rPr>
          <w:t xml:space="preserve">https://escholarship.org/uc/item/1fn7k2x3</w:t>
        </w:r>
      </w:hyperlink>
    </w:p>
    <w:bookmarkEnd w:id="93"/>
    <w:bookmarkStart w:id="95"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4">
        <w:r>
          <w:rPr>
            <w:rStyle w:val="Hyperlink"/>
          </w:rPr>
          <w:t xml:space="preserve">https://doi.org/10.1080/00031305.2015.1032435</w:t>
        </w:r>
      </w:hyperlink>
    </w:p>
    <w:bookmarkEnd w:id="95"/>
    <w:bookmarkStart w:id="97"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6">
        <w:r>
          <w:rPr>
            <w:rStyle w:val="Hyperlink"/>
          </w:rPr>
          <w:t xml:space="preserve">https://doi.org/10.1080/09332480.2015.1042739</w:t>
        </w:r>
      </w:hyperlink>
    </w:p>
    <w:bookmarkEnd w:id="97"/>
    <w:bookmarkStart w:id="99"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98">
        <w:r>
          <w:rPr>
            <w:rStyle w:val="Hyperlink"/>
          </w:rPr>
          <w:t xml:space="preserve">https://doi.org/10.1080/10691898.2018.1564638</w:t>
        </w:r>
      </w:hyperlink>
    </w:p>
    <w:bookmarkEnd w:id="99"/>
    <w:bookmarkStart w:id="100"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100"/>
    <w:bookmarkStart w:id="102"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1">
        <w:r>
          <w:rPr>
            <w:rStyle w:val="Hyperlink"/>
          </w:rPr>
          <w:t xml:space="preserve">https://doi.org/10.1080/00031305.2018.1482784</w:t>
        </w:r>
      </w:hyperlink>
    </w:p>
    <w:bookmarkEnd w:id="102"/>
    <w:bookmarkStart w:id="104" w:name="ref-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03">
        <w:r>
          <w:rPr>
            <w:rStyle w:val="Hyperlink"/>
          </w:rPr>
          <w:t xml:space="preserve">https://www.R-project.org/</w:t>
        </w:r>
      </w:hyperlink>
    </w:p>
    <w:bookmarkEnd w:id="104"/>
    <w:bookmarkStart w:id="106"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5">
        <w:r>
          <w:rPr>
            <w:rStyle w:val="Hyperlink"/>
          </w:rPr>
          <w:t xml:space="preserve">http://www.rstudio.com/</w:t>
        </w:r>
      </w:hyperlink>
    </w:p>
    <w:bookmarkEnd w:id="106"/>
    <w:bookmarkStart w:id="108"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07">
        <w:r>
          <w:rPr>
            <w:rStyle w:val="Hyperlink"/>
          </w:rPr>
          <w:t xml:space="preserve">https://doi.org/10.1080/10691898.2017.1322474</w:t>
        </w:r>
      </w:hyperlink>
    </w:p>
    <w:bookmarkEnd w:id="108"/>
    <w:bookmarkStart w:id="109"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09"/>
    <w:bookmarkStart w:id="11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10">
        <w:r>
          <w:rPr>
            <w:rStyle w:val="Hyperlink"/>
          </w:rPr>
          <w:t xml:space="preserve">https://doi.org/10.1080/09332480.2018.1467642</w:t>
        </w:r>
      </w:hyperlink>
    </w:p>
    <w:bookmarkEnd w:id="111"/>
    <w:bookmarkStart w:id="11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2"/>
    <w:bookmarkEnd w:id="113"/>
    <w:sectPr w:rsidR="00F052B5">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9749E44" w14:textId="77777777" w:rsidR="000E7413" w:rsidRDefault="00D93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85F9C" w14:textId="77777777" w:rsidR="000E7413" w:rsidRDefault="00D93B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756FDF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A234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FFC8D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3080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ED0FF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76E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AF4A7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D1E57D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0AFD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5822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4" Target="http://www.amstat.org/education/gaise" TargetMode="External" /><Relationship Type="http://schemas.openxmlformats.org/officeDocument/2006/relationships/hyperlink" Id="rId105" Target="http://www.rstudio.com/" TargetMode="External" /><Relationship Type="http://schemas.openxmlformats.org/officeDocument/2006/relationships/hyperlink" Id="rId94" Target="https://doi.org/10.1080/00031305.2015.1032435" TargetMode="External" /><Relationship Type="http://schemas.openxmlformats.org/officeDocument/2006/relationships/hyperlink" Id="rId90" Target="https://doi.org/10.1080/00031305.2015.1077729" TargetMode="External" /><Relationship Type="http://schemas.openxmlformats.org/officeDocument/2006/relationships/hyperlink" Id="rId77" Target="https://doi.org/10.1080/00031305.2017.1397549" TargetMode="External" /><Relationship Type="http://schemas.openxmlformats.org/officeDocument/2006/relationships/hyperlink" Id="rId101" Target="https://doi.org/10.1080/00031305.2018.1482784" TargetMode="External" /><Relationship Type="http://schemas.openxmlformats.org/officeDocument/2006/relationships/hyperlink" Id="rId96" Target="https://doi.org/10.1080/09332480.2015.1042739" TargetMode="External" /><Relationship Type="http://schemas.openxmlformats.org/officeDocument/2006/relationships/hyperlink" Id="rId110" Target="https://doi.org/10.1080/09332480.2018.1467642" TargetMode="External" /><Relationship Type="http://schemas.openxmlformats.org/officeDocument/2006/relationships/hyperlink" Id="rId107" Target="https://doi.org/10.1080/10691898.2017.1322474" TargetMode="External" /><Relationship Type="http://schemas.openxmlformats.org/officeDocument/2006/relationships/hyperlink" Id="rId98" Target="https://doi.org/10.1080/10691898.2018.1564638" TargetMode="External" /><Relationship Type="http://schemas.openxmlformats.org/officeDocument/2006/relationships/hyperlink" Id="rId87" Target="https://doi.org/10.1111/j.1751-5823.2010.00117.x" TargetMode="External" /><Relationship Type="http://schemas.openxmlformats.org/officeDocument/2006/relationships/hyperlink" Id="rId79" Target="https://escholarship.org/uc/item/00d4q8cp" TargetMode="External" /><Relationship Type="http://schemas.openxmlformats.org/officeDocument/2006/relationships/hyperlink" Id="rId92" Target="https://escholarship.org/uc/item/1fn7k2x3" TargetMode="External" /><Relationship Type="http://schemas.openxmlformats.org/officeDocument/2006/relationships/hyperlink" Id="rId81" Target="https://escholarship.org/uc/item/7gv0q9dc" TargetMode="External" /><Relationship Type="http://schemas.openxmlformats.org/officeDocument/2006/relationships/hyperlink" Id="rId72" Target="https://escholarship.org/uc/item/8sd2t4rr" TargetMode="External" /><Relationship Type="http://schemas.openxmlformats.org/officeDocument/2006/relationships/hyperlink" Id="rId70" Target="https://spectrum.ieee.org/computing/software/the-2017-topprogramming-%0Alanguages" TargetMode="External" /><Relationship Type="http://schemas.openxmlformats.org/officeDocument/2006/relationships/hyperlink" Id="rId103" Target="https://www.R-project.org/" TargetMode="External" /><Relationship Type="http://schemas.openxmlformats.org/officeDocument/2006/relationships/hyperlink" Id="rId75"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4" Target="http://www.amstat.org/education/gaise" TargetMode="External" /><Relationship Type="http://schemas.openxmlformats.org/officeDocument/2006/relationships/hyperlink" Id="rId105" Target="http://www.rstudio.com/" TargetMode="External" /><Relationship Type="http://schemas.openxmlformats.org/officeDocument/2006/relationships/hyperlink" Id="rId94" Target="https://doi.org/10.1080/00031305.2015.1032435" TargetMode="External" /><Relationship Type="http://schemas.openxmlformats.org/officeDocument/2006/relationships/hyperlink" Id="rId90" Target="https://doi.org/10.1080/00031305.2015.1077729" TargetMode="External" /><Relationship Type="http://schemas.openxmlformats.org/officeDocument/2006/relationships/hyperlink" Id="rId77" Target="https://doi.org/10.1080/00031305.2017.1397549" TargetMode="External" /><Relationship Type="http://schemas.openxmlformats.org/officeDocument/2006/relationships/hyperlink" Id="rId101" Target="https://doi.org/10.1080/00031305.2018.1482784" TargetMode="External" /><Relationship Type="http://schemas.openxmlformats.org/officeDocument/2006/relationships/hyperlink" Id="rId96" Target="https://doi.org/10.1080/09332480.2015.1042739" TargetMode="External" /><Relationship Type="http://schemas.openxmlformats.org/officeDocument/2006/relationships/hyperlink" Id="rId110" Target="https://doi.org/10.1080/09332480.2018.1467642" TargetMode="External" /><Relationship Type="http://schemas.openxmlformats.org/officeDocument/2006/relationships/hyperlink" Id="rId107" Target="https://doi.org/10.1080/10691898.2017.1322474" TargetMode="External" /><Relationship Type="http://schemas.openxmlformats.org/officeDocument/2006/relationships/hyperlink" Id="rId98" Target="https://doi.org/10.1080/10691898.2018.1564638" TargetMode="External" /><Relationship Type="http://schemas.openxmlformats.org/officeDocument/2006/relationships/hyperlink" Id="rId87" Target="https://doi.org/10.1111/j.1751-5823.2010.00117.x" TargetMode="External" /><Relationship Type="http://schemas.openxmlformats.org/officeDocument/2006/relationships/hyperlink" Id="rId79" Target="https://escholarship.org/uc/item/00d4q8cp" TargetMode="External" /><Relationship Type="http://schemas.openxmlformats.org/officeDocument/2006/relationships/hyperlink" Id="rId92" Target="https://escholarship.org/uc/item/1fn7k2x3" TargetMode="External" /><Relationship Type="http://schemas.openxmlformats.org/officeDocument/2006/relationships/hyperlink" Id="rId81" Target="https://escholarship.org/uc/item/7gv0q9dc" TargetMode="External" /><Relationship Type="http://schemas.openxmlformats.org/officeDocument/2006/relationships/hyperlink" Id="rId72" Target="https://escholarship.org/uc/item/8sd2t4rr" TargetMode="External" /><Relationship Type="http://schemas.openxmlformats.org/officeDocument/2006/relationships/hyperlink" Id="rId70" Target="https://spectrum.ieee.org/computing/software/the-2017-topprogramming-%0Alanguages" TargetMode="External" /><Relationship Type="http://schemas.openxmlformats.org/officeDocument/2006/relationships/hyperlink" Id="rId103" Target="https://www.R-project.org/" TargetMode="External" /><Relationship Type="http://schemas.openxmlformats.org/officeDocument/2006/relationships/hyperlink" Id="rId75"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7373</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2020-01-12T21:53:28Z</dcterms:created>
  <dcterms:modified xsi:type="dcterms:W3CDTF">2020-01-12T21:53:28Z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