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rationale"/>
      <w:r>
        <w:t xml:space="preserve">Rationale</w:t>
      </w:r>
      <w:bookmarkEnd w:id="21"/>
    </w:p>
    <w:p>
      <w:pPr>
        <w:pStyle w:val="FirstParagraph"/>
      </w:pPr>
      <w:r>
        <w:t xml:space="preserve">Technological advancement have made big data</w:t>
      </w:r>
      <w:r>
        <w:t xml:space="preserve"> </w:t>
      </w:r>
      <w:r>
        <w:t xml:space="preserve">(Gould &amp; Çetinkaya-Rundel, 2014)</w:t>
      </w:r>
      <w:r>
        <w:t xml:space="preserve"> </w:t>
      </w:r>
      <w:r>
        <w:t xml:space="preserve">inevitable in our daily life and powerful computers easily available</w:t>
      </w:r>
      <w:r>
        <w:t xml:space="preserve"> </w:t>
      </w:r>
      <w:r>
        <w:t xml:space="preserve">(Finzer, 2013)</w:t>
      </w:r>
      <w:r>
        <w:t xml:space="preserve">. In turn, these advances have dramatically changed the practice of statistics</w:t>
      </w:r>
      <w:r>
        <w:t xml:space="preserve"> </w:t>
      </w:r>
      <w:r>
        <w:t xml:space="preserve">(Wood, Mocko, Everson, Horton, &amp; Velleman, 2018)</w:t>
      </w:r>
      <w:r>
        <w:t xml:space="preserve">. To cope up with these changes, in 2007,</w:t>
      </w:r>
      <w:r>
        <w:t xml:space="preserve"> </w:t>
      </w:r>
      <w:r>
        <w:t xml:space="preserve">Franklin et al. (2007)</w:t>
      </w:r>
      <w:r>
        <w:t xml:space="preserve"> </w:t>
      </w:r>
      <w:r>
        <w:t xml:space="preserve">published a framework for statistics education both in the k to 12 and college.</w:t>
      </w:r>
    </w:p>
    <w:p>
      <w:pPr>
        <w:pStyle w:val="BodyText"/>
      </w:pPr>
      <w:r>
        <w:t xml:space="preserve">The impact of technology in teaching statistics</w:t>
      </w:r>
    </w:p>
    <w:p>
      <w:pPr>
        <w:pStyle w:val="BodyText"/>
      </w:pPr>
      <w:r>
        <w:t xml:space="preserve">Reproducible</w:t>
      </w:r>
    </w:p>
    <w:p>
      <w:pPr>
        <w:pStyle w:val="BodyText"/>
      </w:pPr>
      <w:r>
        <w:t xml:space="preserve">The gap between statistical practice and statistics education.</w:t>
      </w:r>
    </w:p>
    <w:p>
      <w:pPr>
        <w:pStyle w:val="BodyText"/>
      </w:pPr>
      <w:r>
        <w:t xml:space="preserve">Zeiffler, Garfield, &amp; Fry (2018)</w:t>
      </w:r>
      <w:r>
        <w:t xml:space="preserve"> </w:t>
      </w:r>
      <w:r>
        <w:t xml:space="preserve">pointed out that New Zealand adopted the GAISE report and has now benefited.</w:t>
      </w:r>
    </w:p>
    <w:p>
      <w:pPr>
        <w:pStyle w:val="BodyText"/>
      </w:pPr>
      <w:r>
        <w:t xml:space="preserve">R and RStudio</w:t>
      </w:r>
    </w:p>
    <w:p>
      <w:pPr>
        <w:pStyle w:val="BodyText"/>
      </w:pPr>
      <w:r>
        <w:t xml:space="preserve">Efforts in the Philippines</w:t>
      </w:r>
    </w:p>
    <w:p>
      <w:pPr>
        <w:pStyle w:val="Heading2"/>
      </w:pPr>
      <w:bookmarkStart w:id="22" w:name="statement-of-the-problem"/>
      <w:r>
        <w:t xml:space="preserve">Statement of the Problem</w:t>
      </w:r>
      <w:bookmarkEnd w:id="22"/>
    </w:p>
    <w:p>
      <w:pPr>
        <w:pStyle w:val="Heading2"/>
      </w:pPr>
      <w:bookmarkStart w:id="23" w:name="statement-of-the-hypothesis"/>
      <w:r>
        <w:t xml:space="preserve">Statement of the Hypothesis</w:t>
      </w:r>
      <w:bookmarkEnd w:id="23"/>
    </w:p>
    <w:p>
      <w:pPr>
        <w:pStyle w:val="Heading2"/>
      </w:pPr>
      <w:bookmarkStart w:id="24" w:name="significance-of-the-study"/>
      <w:r>
        <w:t xml:space="preserve">Significance of the Study</w:t>
      </w:r>
      <w:bookmarkEnd w:id="24"/>
    </w:p>
    <w:p>
      <w:pPr>
        <w:pStyle w:val="Heading2"/>
      </w:pPr>
      <w:bookmarkStart w:id="25" w:name="research-framework"/>
      <w:r>
        <w:t xml:space="preserve">Research Framework</w:t>
      </w:r>
      <w:bookmarkEnd w:id="25"/>
    </w:p>
    <w:p>
      <w:pPr>
        <w:pStyle w:val="Heading2"/>
      </w:pPr>
      <w:bookmarkStart w:id="26" w:name="scope"/>
      <w:r>
        <w:t xml:space="preserve">Scope</w:t>
      </w:r>
      <w:bookmarkEnd w:id="26"/>
    </w:p>
    <w:p>
      <w:pPr>
        <w:pStyle w:val="Heading2"/>
      </w:pPr>
      <w:bookmarkStart w:id="27" w:name="definition-of-terms"/>
      <w:r>
        <w:t xml:space="preserve">Definition of Terms</w:t>
      </w:r>
      <w:bookmarkEnd w:id="27"/>
    </w:p>
    <w:p>
      <w:pPr>
        <w:pStyle w:val="Heading1"/>
      </w:pPr>
      <w:bookmarkStart w:id="28" w:name="review-of-related-literature-and-studies"/>
      <w:r>
        <w:t xml:space="preserve">Review of Related Literature and Studies</w:t>
      </w:r>
      <w:bookmarkEnd w:id="28"/>
    </w:p>
    <w:p>
      <w:pPr>
        <w:pStyle w:val="Heading1"/>
      </w:pPr>
      <w:bookmarkStart w:id="29" w:name="methodology"/>
      <w:r>
        <w:t xml:space="preserve">Methodology</w:t>
      </w:r>
      <w:bookmarkEnd w:id="29"/>
    </w:p>
    <w:p>
      <w:pPr>
        <w:pStyle w:val="Heading2"/>
      </w:pPr>
      <w:bookmarkStart w:id="30" w:name="research-design"/>
      <w:r>
        <w:t xml:space="preserve">Research Design</w:t>
      </w:r>
      <w:bookmarkEnd w:id="30"/>
    </w:p>
    <w:p>
      <w:pPr>
        <w:pStyle w:val="Heading2"/>
      </w:pPr>
      <w:bookmarkStart w:id="31" w:name="research-environment"/>
      <w:r>
        <w:t xml:space="preserve">Research Environment</w:t>
      </w:r>
      <w:bookmarkEnd w:id="31"/>
    </w:p>
    <w:p>
      <w:pPr>
        <w:pStyle w:val="Heading2"/>
      </w:pPr>
      <w:bookmarkStart w:id="32" w:name="respondents"/>
      <w:r>
        <w:t xml:space="preserve">Respondents</w:t>
      </w:r>
      <w:bookmarkEnd w:id="32"/>
    </w:p>
    <w:p>
      <w:pPr>
        <w:pStyle w:val="Heading2"/>
      </w:pPr>
      <w:bookmarkStart w:id="33" w:name="research-instruments"/>
      <w:r>
        <w:t xml:space="preserve">Research Instruments</w:t>
      </w:r>
      <w:bookmarkEnd w:id="33"/>
    </w:p>
    <w:p>
      <w:pPr>
        <w:pStyle w:val="Heading2"/>
      </w:pPr>
      <w:bookmarkStart w:id="34" w:name="data-gathering-procedure"/>
      <w:r>
        <w:t xml:space="preserve">Data Gathering Procedure</w:t>
      </w:r>
      <w:bookmarkEnd w:id="34"/>
    </w:p>
    <w:p>
      <w:pPr>
        <w:pStyle w:val="Heading2"/>
      </w:pPr>
      <w:bookmarkStart w:id="35" w:name="data-analysis"/>
      <w:r>
        <w:t xml:space="preserve">Data Analysis</w:t>
      </w:r>
      <w:bookmarkEnd w:id="35"/>
    </w:p>
    <w:p>
      <w:pPr>
        <w:pStyle w:val="Heading1"/>
      </w:pPr>
      <w:bookmarkStart w:id="36" w:name="reference"/>
      <w:r>
        <w:t xml:space="preserve">Reference</w:t>
      </w:r>
      <w:bookmarkEnd w:id="36"/>
    </w:p>
    <w:bookmarkStart w:id="44" w:name="refs"/>
    <w:bookmarkStart w:id="38" w:name="ref-finzer13"/>
    <w:p>
      <w:pPr>
        <w:pStyle w:val="Bibliography"/>
      </w:pPr>
      <w:r>
        <w:t xml:space="preserve">Finzer, W. (2013). The Data Science Education Dilemma.</w:t>
      </w:r>
      <w:r>
        <w:t xml:space="preserve"> </w:t>
      </w:r>
      <w:r>
        <w:rPr>
          <w:i/>
        </w:rPr>
        <w:t xml:space="preserve">Technology Innovations in Statistics Education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(2). Retrieved from</w:t>
      </w:r>
      <w:r>
        <w:t xml:space="preserve"> </w:t>
      </w:r>
      <w:hyperlink r:id="rId37">
        <w:r>
          <w:rPr>
            <w:rStyle w:val="Hyperlink"/>
          </w:rPr>
          <w:t xml:space="preserve">https://escholarship.org/uc/item/7gv0q9dc</w:t>
        </w:r>
      </w:hyperlink>
    </w:p>
    <w:bookmarkEnd w:id="38"/>
    <w:bookmarkStart w:id="39" w:name="ref-franklin07"/>
    <w:p>
      <w:pPr>
        <w:pStyle w:val="Bibliography"/>
      </w:pPr>
      <w:r>
        <w:t xml:space="preserve">Franklin, C., Kader, G., Mewborn, D. S., Moreno, J., Peck, R., Perry, M., &amp; Scheaffer, R. (2007).</w:t>
      </w:r>
      <w:r>
        <w:t xml:space="preserve"> </w:t>
      </w:r>
      <w:r>
        <w:rPr>
          <w:i/>
        </w:rPr>
        <w:t xml:space="preserve">Guidelines for Assessment and Instruction in Statistics Education (GAISE) Report: A Pre-K-12 Curriculum Framework</w:t>
      </w:r>
      <w:r>
        <w:t xml:space="preserve">. Alexandria, VA: American Statistical Association.</w:t>
      </w:r>
    </w:p>
    <w:bookmarkEnd w:id="39"/>
    <w:bookmarkStart w:id="40" w:name="ref-gould14"/>
    <w:p>
      <w:pPr>
        <w:pStyle w:val="Bibliography"/>
      </w:pPr>
      <w:r>
        <w:t xml:space="preserve">Gould, R., &amp; Çetinkaya-Rundel, M. (2014). Teaching Statistical Thinking in the Data Deluge. In T. Wassong, D. Frischemeier, P. Fischer, R. Hochmuth, &amp; P. Bender (Eds.),</w:t>
      </w:r>
      <w:r>
        <w:t xml:space="preserve"> </w:t>
      </w:r>
      <w:r>
        <w:rPr>
          <w:i/>
        </w:rPr>
        <w:t xml:space="preserve">Mit Werkzeugen Mathematik und Stochastik lernen – Using Tools for Learning Mathematics and Statistics</w:t>
      </w:r>
      <w:r>
        <w:t xml:space="preserve"> </w:t>
      </w:r>
      <w:r>
        <w:t xml:space="preserve">(pp. 377–391). Wiesbaden: Springer Spektrum.</w:t>
      </w:r>
    </w:p>
    <w:bookmarkEnd w:id="40"/>
    <w:bookmarkStart w:id="42" w:name="ref-wood18"/>
    <w:p>
      <w:pPr>
        <w:pStyle w:val="Bibliography"/>
      </w:pPr>
      <w:r>
        <w:t xml:space="preserve">Wood, B. L., Mocko, M., Everson, M., Horton, N. J., &amp; Velleman, P. (2018). Updated guidelines, updated curriculum: The GAISE college report and introductory statistics for the modern student.</w:t>
      </w:r>
      <w:r>
        <w:t xml:space="preserve"> </w:t>
      </w:r>
      <w:r>
        <w:rPr>
          <w:i/>
        </w:rPr>
        <w:t xml:space="preserve">CHANCE</w:t>
      </w:r>
      <w:r>
        <w:t xml:space="preserve">,</w:t>
      </w:r>
      <w:r>
        <w:t xml:space="preserve"> </w:t>
      </w:r>
      <w:r>
        <w:rPr>
          <w:i/>
        </w:rPr>
        <w:t xml:space="preserve">31</w:t>
      </w:r>
      <w:r>
        <w:t xml:space="preserve">(2), 53–59.</w:t>
      </w:r>
      <w:r>
        <w:t xml:space="preserve"> </w:t>
      </w:r>
      <w:hyperlink r:id="rId41">
        <w:r>
          <w:rPr>
            <w:rStyle w:val="Hyperlink"/>
          </w:rPr>
          <w:t xml:space="preserve">https://doi.org/10.1080/09332480.2018.1467642</w:t>
        </w:r>
      </w:hyperlink>
    </w:p>
    <w:bookmarkEnd w:id="42"/>
    <w:bookmarkStart w:id="43" w:name="ref-zieffler18"/>
    <w:p>
      <w:pPr>
        <w:pStyle w:val="Bibliography"/>
      </w:pPr>
      <w:r>
        <w:t xml:space="preserve">Zeiffler, A., Garfield, J., &amp; Fry, E. (2018). What is Statistics Education? In D. Ben-Zvi, K. Makar, &amp; J. Garfield (Eds.),</w:t>
      </w:r>
      <w:r>
        <w:t xml:space="preserve"> </w:t>
      </w:r>
      <w:r>
        <w:rPr>
          <w:i/>
        </w:rPr>
        <w:t xml:space="preserve">International Handbook of Research in Statistics Education</w:t>
      </w:r>
      <w:r>
        <w:t xml:space="preserve"> </w:t>
      </w:r>
      <w:r>
        <w:t xml:space="preserve">(pp. 37–70). Cham: Springer.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doi.org/10.1080/09332480.2018.1467642" TargetMode="External" /><Relationship Type="http://schemas.openxmlformats.org/officeDocument/2006/relationships/hyperlink" Id="rId37" Target="https://escholarship.org/uc/item/7gv0q9d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doi.org/10.1080/09332480.2018.1467642" TargetMode="External" /><Relationship Type="http://schemas.openxmlformats.org/officeDocument/2006/relationships/hyperlink" Id="rId37" Target="https://escholarship.org/uc/item/7gv0q9d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2018-11-17T05:07:14Z</dcterms:created>
  <dcterms:modified xsi:type="dcterms:W3CDTF">2018-11-17T05:07:14Z</dcterms:modified>
</cp:coreProperties>
</file>