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rationale"/>
      <w:r>
        <w:t xml:space="preserve">Rationale</w:t>
      </w:r>
      <w:bookmarkEnd w:id="21"/>
    </w:p>
    <w:p>
      <w:pPr>
        <w:pStyle w:val="FirstParagraph"/>
      </w:pPr>
      <w:r>
        <w:t xml:space="preserve">Technological advances have dramatically changed the landscape of education. This is evident in the presence of I</w:t>
      </w:r>
      <w:r>
        <w:t xml:space="preserve"> </w:t>
      </w:r>
      <w:r>
        <w:t xml:space="preserve">Çetinkaya-Rundel &amp; Rundel (2017)</w:t>
      </w:r>
    </w:p>
    <w:p>
      <w:pPr>
        <w:pStyle w:val="BodyText"/>
      </w:pPr>
      <w:r>
        <w:t xml:space="preserve">The impact of technology in teaching statistics</w:t>
      </w:r>
    </w:p>
    <w:p>
      <w:pPr>
        <w:pStyle w:val="BodyText"/>
      </w:pPr>
      <w:r>
        <w:t xml:space="preserve">Reproducible</w:t>
      </w:r>
    </w:p>
    <w:p>
      <w:pPr>
        <w:pStyle w:val="BodyText"/>
      </w:pPr>
      <w:r>
        <w:t xml:space="preserve">The gap between statistical practice and statistics education.</w:t>
      </w:r>
    </w:p>
    <w:p>
      <w:pPr>
        <w:pStyle w:val="BodyText"/>
      </w:pPr>
      <w:r>
        <w:t xml:space="preserve">Zeiffler, Garfield, &amp; Fry (2018)</w:t>
      </w:r>
      <w:r>
        <w:t xml:space="preserve"> </w:t>
      </w:r>
      <w:r>
        <w:t xml:space="preserve">pointed out that New Zealand adopted the GAISE report and has now benefited.</w:t>
      </w:r>
    </w:p>
    <w:p>
      <w:pPr>
        <w:pStyle w:val="BodyText"/>
      </w:pPr>
      <w:r>
        <w:t xml:space="preserve">R and RStudio</w:t>
      </w:r>
    </w:p>
    <w:p>
      <w:pPr>
        <w:pStyle w:val="BodyText"/>
      </w:pPr>
      <w:r>
        <w:t xml:space="preserve">Efforts in the Philippines</w:t>
      </w:r>
    </w:p>
    <w:p>
      <w:pPr>
        <w:pStyle w:val="Heading2"/>
      </w:pPr>
      <w:bookmarkStart w:id="22" w:name="statement-of-the-problem"/>
      <w:r>
        <w:t xml:space="preserve">Statement of the Problem</w:t>
      </w:r>
      <w:bookmarkEnd w:id="22"/>
    </w:p>
    <w:p>
      <w:pPr>
        <w:pStyle w:val="Heading2"/>
      </w:pPr>
      <w:bookmarkStart w:id="23" w:name="statement-of-the-hypothesis"/>
      <w:r>
        <w:t xml:space="preserve">Statement of the Hypothesis</w:t>
      </w:r>
      <w:bookmarkEnd w:id="23"/>
    </w:p>
    <w:p>
      <w:pPr>
        <w:pStyle w:val="Heading2"/>
      </w:pPr>
      <w:bookmarkStart w:id="24" w:name="significance-of-the-study"/>
      <w:r>
        <w:t xml:space="preserve">Significance of the Study</w:t>
      </w:r>
      <w:bookmarkEnd w:id="24"/>
    </w:p>
    <w:p>
      <w:pPr>
        <w:pStyle w:val="Heading2"/>
      </w:pPr>
      <w:bookmarkStart w:id="25" w:name="research-framework"/>
      <w:r>
        <w:t xml:space="preserve">Research Framework</w:t>
      </w:r>
      <w:bookmarkEnd w:id="25"/>
    </w:p>
    <w:p>
      <w:pPr>
        <w:pStyle w:val="Heading2"/>
      </w:pPr>
      <w:bookmarkStart w:id="26" w:name="scope"/>
      <w:r>
        <w:t xml:space="preserve">Scope</w:t>
      </w:r>
      <w:bookmarkEnd w:id="26"/>
    </w:p>
    <w:p>
      <w:pPr>
        <w:pStyle w:val="Heading2"/>
      </w:pPr>
      <w:bookmarkStart w:id="27" w:name="definition-of-terms"/>
      <w:r>
        <w:t xml:space="preserve">Definition of Terms</w:t>
      </w:r>
      <w:bookmarkEnd w:id="27"/>
    </w:p>
    <w:p>
      <w:pPr>
        <w:pStyle w:val="Heading1"/>
      </w:pPr>
      <w:bookmarkStart w:id="28" w:name="review-of-related-literature-and-studies"/>
      <w:r>
        <w:t xml:space="preserve">Review of Related Literature and Studies</w:t>
      </w:r>
      <w:bookmarkEnd w:id="28"/>
    </w:p>
    <w:p>
      <w:pPr>
        <w:pStyle w:val="Heading1"/>
      </w:pPr>
      <w:bookmarkStart w:id="29" w:name="methodology"/>
      <w:r>
        <w:t xml:space="preserve">Methodology</w:t>
      </w:r>
      <w:bookmarkEnd w:id="29"/>
    </w:p>
    <w:p>
      <w:pPr>
        <w:pStyle w:val="Heading2"/>
      </w:pPr>
      <w:bookmarkStart w:id="30" w:name="research-design"/>
      <w:r>
        <w:t xml:space="preserve">Research Design</w:t>
      </w:r>
      <w:bookmarkEnd w:id="30"/>
    </w:p>
    <w:p>
      <w:pPr>
        <w:pStyle w:val="Heading2"/>
      </w:pPr>
      <w:bookmarkStart w:id="31" w:name="research-environment"/>
      <w:r>
        <w:t xml:space="preserve">Research Environment</w:t>
      </w:r>
      <w:bookmarkEnd w:id="31"/>
    </w:p>
    <w:p>
      <w:pPr>
        <w:pStyle w:val="Heading2"/>
      </w:pPr>
      <w:bookmarkStart w:id="32" w:name="respondents"/>
      <w:r>
        <w:t xml:space="preserve">Respondents</w:t>
      </w:r>
      <w:bookmarkEnd w:id="32"/>
    </w:p>
    <w:p>
      <w:pPr>
        <w:pStyle w:val="Heading2"/>
      </w:pPr>
      <w:bookmarkStart w:id="33" w:name="research-instruments"/>
      <w:r>
        <w:t xml:space="preserve">Research Instruments</w:t>
      </w:r>
      <w:bookmarkEnd w:id="33"/>
    </w:p>
    <w:p>
      <w:pPr>
        <w:pStyle w:val="Heading2"/>
      </w:pPr>
      <w:bookmarkStart w:id="34" w:name="data-gathering-procedure"/>
      <w:r>
        <w:t xml:space="preserve">Data Gathering Procedure</w:t>
      </w:r>
      <w:bookmarkEnd w:id="34"/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Heading1"/>
      </w:pPr>
      <w:bookmarkStart w:id="36" w:name="reference"/>
      <w:r>
        <w:t xml:space="preserve">Reference</w:t>
      </w:r>
      <w:bookmarkEnd w:id="36"/>
    </w:p>
    <w:bookmarkStart w:id="40" w:name="refs"/>
    <w:bookmarkStart w:id="38" w:name="ref-CR17"/>
    <w:p>
      <w:pPr>
        <w:pStyle w:val="Bibliography"/>
      </w:pPr>
      <w:r>
        <w:t xml:space="preserve">Çetinkaya-Rundel, M., &amp; Rundel, C. (2017). Infrastructure and tools for teaching computing throughout the statistical curriculum.</w:t>
      </w:r>
      <w:r>
        <w:t xml:space="preserve"> </w:t>
      </w:r>
      <w:r>
        <w:rPr>
          <w:i/>
        </w:rPr>
        <w:t xml:space="preserve">The American Statistician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https://doi.org/10.1080/00031305.2017.1397549</w:t>
        </w:r>
      </w:hyperlink>
    </w:p>
    <w:bookmarkEnd w:id="38"/>
    <w:bookmarkStart w:id="39" w:name="ref-zieffler18"/>
    <w:p>
      <w:pPr>
        <w:pStyle w:val="Bibliography"/>
      </w:pPr>
      <w:r>
        <w:t xml:space="preserve">Zeiffler, A., Garfield, J., &amp; Fry, E. (2018). What is Statistics Education? In D. Ben-Zvi, K. Makar, &amp; J. Garfield (Eds.),</w:t>
      </w:r>
      <w:r>
        <w:t xml:space="preserve"> </w:t>
      </w:r>
      <w:r>
        <w:rPr>
          <w:i/>
        </w:rPr>
        <w:t xml:space="preserve">International Handbook of Research in Statistics Education</w:t>
      </w:r>
      <w:r>
        <w:t xml:space="preserve"> </w:t>
      </w:r>
      <w:r>
        <w:t xml:space="preserve">(pp. 37–70). Cham: Springer.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80/00031305.2017.139754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80/00031305.2017.13975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2018-11-14T02:18:48Z</dcterms:created>
  <dcterms:modified xsi:type="dcterms:W3CDTF">2018-11-14T02:18:48Z</dcterms:modified>
</cp:coreProperties>
</file>