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rationale"/>
      <w:r>
        <w:t xml:space="preserve">Rationale</w:t>
      </w:r>
      <w:bookmarkEnd w:id="21"/>
    </w:p>
    <w:p>
      <w:pPr>
        <w:pStyle w:val="FirstParagraph"/>
      </w:pPr>
      <w:r>
        <w:t xml:space="preserve">Commission on Higher Education (2013)</w:t>
      </w:r>
      <w:r>
        <w:t xml:space="preserve"> </w:t>
      </w:r>
      <w:r>
        <w:t xml:space="preserve">Commission on Higher Education (2017)</w:t>
      </w:r>
      <w:r>
        <w:t xml:space="preserve"> </w:t>
      </w:r>
      <w:r>
        <w:t xml:space="preserve">Commission on Higher Education (2014)</w:t>
      </w:r>
      <w:r>
        <w:t xml:space="preserve"> </w:t>
      </w:r>
      <w:r>
        <w:t xml:space="preserve">Commission on Higher Education (2012)</w:t>
      </w:r>
    </w:p>
    <w:p>
      <w:pPr>
        <w:pStyle w:val="BodyText"/>
      </w:pPr>
      <w:r>
        <w:t xml:space="preserve">The gap between statistical practice and statistics education.</w:t>
      </w:r>
    </w:p>
    <w:p>
      <w:pPr>
        <w:pStyle w:val="BodyText"/>
      </w:pPr>
      <w:r>
        <w:t xml:space="preserve">Zeiffler, Garfield, &amp; Fry (2018)</w:t>
      </w:r>
      <w:r>
        <w:t xml:space="preserve"> </w:t>
      </w:r>
      <w:r>
        <w:t xml:space="preserve">pointed out that New Zealand adopted the GAISE report and has now benefited.</w:t>
      </w:r>
    </w:p>
    <w:p>
      <w:pPr>
        <w:pStyle w:val="Heading2"/>
      </w:pPr>
      <w:bookmarkStart w:id="22" w:name="statement-of-the-problem"/>
      <w:r>
        <w:t xml:space="preserve">Statement of the Problem</w:t>
      </w:r>
      <w:bookmarkEnd w:id="22"/>
    </w:p>
    <w:p>
      <w:pPr>
        <w:pStyle w:val="Heading2"/>
      </w:pPr>
      <w:bookmarkStart w:id="23" w:name="statement-of-the-hypothesis"/>
      <w:r>
        <w:t xml:space="preserve">Statement of the Hypothesis</w:t>
      </w:r>
      <w:bookmarkEnd w:id="23"/>
    </w:p>
    <w:p>
      <w:pPr>
        <w:pStyle w:val="Heading2"/>
      </w:pPr>
      <w:bookmarkStart w:id="24" w:name="significance-of-the-study"/>
      <w:r>
        <w:t xml:space="preserve">Significance of the Study</w:t>
      </w:r>
      <w:bookmarkEnd w:id="24"/>
    </w:p>
    <w:p>
      <w:pPr>
        <w:pStyle w:val="Heading2"/>
      </w:pPr>
      <w:bookmarkStart w:id="25" w:name="research-framework"/>
      <w:r>
        <w:t xml:space="preserve">Research Framework</w:t>
      </w:r>
      <w:bookmarkEnd w:id="25"/>
    </w:p>
    <w:p>
      <w:pPr>
        <w:pStyle w:val="Heading2"/>
      </w:pPr>
      <w:bookmarkStart w:id="26" w:name="scope"/>
      <w:r>
        <w:t xml:space="preserve">Scope</w:t>
      </w:r>
      <w:bookmarkEnd w:id="26"/>
    </w:p>
    <w:p>
      <w:pPr>
        <w:pStyle w:val="Heading2"/>
      </w:pPr>
      <w:bookmarkStart w:id="27" w:name="definition-of-terms"/>
      <w:r>
        <w:t xml:space="preserve">Definition of Terms</w:t>
      </w:r>
      <w:bookmarkEnd w:id="27"/>
    </w:p>
    <w:p>
      <w:pPr>
        <w:pStyle w:val="Heading1"/>
      </w:pPr>
      <w:bookmarkStart w:id="28" w:name="review-of-related-literature-and-studies"/>
      <w:r>
        <w:t xml:space="preserve">Review of Related Literature and Studies</w:t>
      </w:r>
      <w:bookmarkEnd w:id="28"/>
    </w:p>
    <w:p>
      <w:pPr>
        <w:pStyle w:val="Heading1"/>
      </w:pPr>
      <w:bookmarkStart w:id="29" w:name="methodology"/>
      <w:r>
        <w:t xml:space="preserve">Methodology</w:t>
      </w:r>
      <w:bookmarkEnd w:id="29"/>
    </w:p>
    <w:p>
      <w:pPr>
        <w:pStyle w:val="Heading2"/>
      </w:pPr>
      <w:bookmarkStart w:id="30" w:name="research-design"/>
      <w:r>
        <w:t xml:space="preserve">Research Design</w:t>
      </w:r>
      <w:bookmarkEnd w:id="30"/>
    </w:p>
    <w:p>
      <w:pPr>
        <w:pStyle w:val="Heading2"/>
      </w:pPr>
      <w:bookmarkStart w:id="31" w:name="research-environment"/>
      <w:r>
        <w:t xml:space="preserve">Research Environment</w:t>
      </w:r>
      <w:bookmarkEnd w:id="31"/>
    </w:p>
    <w:p>
      <w:pPr>
        <w:pStyle w:val="Heading2"/>
      </w:pPr>
      <w:bookmarkStart w:id="32" w:name="respondents"/>
      <w:r>
        <w:t xml:space="preserve">Respondents</w:t>
      </w:r>
      <w:bookmarkEnd w:id="32"/>
    </w:p>
    <w:p>
      <w:pPr>
        <w:pStyle w:val="Heading2"/>
      </w:pPr>
      <w:bookmarkStart w:id="33" w:name="research-instruments"/>
      <w:r>
        <w:t xml:space="preserve">Research Instruments</w:t>
      </w:r>
      <w:bookmarkEnd w:id="33"/>
    </w:p>
    <w:p>
      <w:pPr>
        <w:pStyle w:val="Heading2"/>
      </w:pPr>
      <w:bookmarkStart w:id="34" w:name="data-gathering-procedure"/>
      <w:r>
        <w:t xml:space="preserve">Data Gathering Procedure</w:t>
      </w:r>
      <w:bookmarkEnd w:id="34"/>
    </w:p>
    <w:p>
      <w:pPr>
        <w:pStyle w:val="Heading2"/>
      </w:pPr>
      <w:bookmarkStart w:id="35" w:name="data-analysis"/>
      <w:r>
        <w:t xml:space="preserve">Data Analysis</w:t>
      </w:r>
      <w:bookmarkEnd w:id="35"/>
    </w:p>
    <w:p>
      <w:pPr>
        <w:pStyle w:val="Heading1"/>
      </w:pPr>
      <w:bookmarkStart w:id="36" w:name="reference"/>
      <w:r>
        <w:t xml:space="preserve">Reference</w:t>
      </w:r>
      <w:bookmarkEnd w:id="36"/>
    </w:p>
    <w:bookmarkStart w:id="43" w:name="refs"/>
    <w:bookmarkStart w:id="37" w:name="ref-qa"/>
    <w:p>
      <w:pPr>
        <w:pStyle w:val="Bibliography"/>
      </w:pPr>
      <w:r>
        <w:t xml:space="preserve">Commission on Higher Education. (2012). Memorandum Order No. 46. In</w:t>
      </w:r>
      <w:r>
        <w:t xml:space="preserve"> </w:t>
      </w:r>
      <w:r>
        <w:rPr>
          <w:i/>
        </w:rPr>
        <w:t xml:space="preserve">Policy-Standard to Enhance Quality Assurance(QA) in the Philippine Higher Education</w:t>
      </w:r>
      <w:r>
        <w:t xml:space="preserve">. Quezon City, Philippines: Author.</w:t>
      </w:r>
    </w:p>
    <w:bookmarkEnd w:id="37"/>
    <w:bookmarkStart w:id="38" w:name="ref-gened"/>
    <w:p>
      <w:pPr>
        <w:pStyle w:val="Bibliography"/>
      </w:pPr>
      <w:r>
        <w:t xml:space="preserve">Commission on Higher Education. (2013). Memorandum Order No. 20. In</w:t>
      </w:r>
      <w:r>
        <w:t xml:space="preserve"> </w:t>
      </w:r>
      <w:r>
        <w:rPr>
          <w:i/>
        </w:rPr>
        <w:t xml:space="preserve">General Education Curriculum: Holistic Understandings, Intellectual and Civic Competencies</w:t>
      </w:r>
      <w:r>
        <w:t xml:space="preserve">. Quezon City, Philippines: Author.</w:t>
      </w:r>
    </w:p>
    <w:bookmarkEnd w:id="38"/>
    <w:bookmarkStart w:id="40" w:name="ref-hbook"/>
    <w:p>
      <w:pPr>
        <w:pStyle w:val="Bibliography"/>
      </w:pPr>
      <w:r>
        <w:t xml:space="preserve">Commission on Higher Education. (2014). Handbook on typology, outcomes-based education, and institutional sustainability assessment.</w:t>
      </w:r>
      <w:r>
        <w:t xml:space="preserve"> </w:t>
      </w:r>
      <w:hyperlink r:id="rId39">
        <w:r>
          <w:rPr>
            <w:rStyle w:val="Hyperlink"/>
          </w:rPr>
          <w:t xml:space="preserve">www.ched.gov.ph</w:t>
        </w:r>
      </w:hyperlink>
      <w:r>
        <w:t xml:space="preserve">.</w:t>
      </w:r>
    </w:p>
    <w:bookmarkEnd w:id="40"/>
    <w:bookmarkStart w:id="41" w:name="ref-bsmath"/>
    <w:p>
      <w:pPr>
        <w:pStyle w:val="Bibliography"/>
      </w:pPr>
      <w:r>
        <w:t xml:space="preserve">Commission on Higher Education. (2017). Memorandum Order No. 48. In</w:t>
      </w:r>
      <w:r>
        <w:t xml:space="preserve"> </w:t>
      </w:r>
      <w:r>
        <w:rPr>
          <w:i/>
        </w:rPr>
        <w:t xml:space="preserve">Policies, Standards and Guidelines for the Bachelor of Science in Mathematics (BS Math) and Bachelor of Science in Applied Mathematics (BS Applied Math) Programs</w:t>
      </w:r>
      <w:r>
        <w:t xml:space="preserve">. Quezon City, Philippines: Author.</w:t>
      </w:r>
    </w:p>
    <w:bookmarkEnd w:id="41"/>
    <w:bookmarkStart w:id="42" w:name="ref-zieffler18"/>
    <w:p>
      <w:pPr>
        <w:pStyle w:val="Bibliography"/>
      </w:pPr>
      <w:r>
        <w:t xml:space="preserve">Zeiffler, A., Garfield, J., &amp; Fry, E. (2018). What is Statistics Education? In D. Ben-Zvi, K. Makar, &amp; J. Garfield (Eds.),</w:t>
      </w:r>
      <w:r>
        <w:t xml:space="preserve"> </w:t>
      </w:r>
      <w:r>
        <w:rPr>
          <w:i/>
        </w:rPr>
        <w:t xml:space="preserve">International Handbook of Research in Statistics Education</w:t>
      </w:r>
      <w:r>
        <w:t xml:space="preserve"> </w:t>
      </w:r>
      <w:r>
        <w:t xml:space="preserve">(pp. 37–70). Cham: Springer.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www.ched.gov.p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www.ched.gov.p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2018-11-05T16:20:08Z</dcterms:created>
  <dcterms:modified xsi:type="dcterms:W3CDTF">2018-11-05T16:20:08Z</dcterms:modified>
</cp:coreProperties>
</file>