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the calculator test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f711e1b2cc4473bc7e366cc828900d9d7f606d"/>
      <w:r>
        <w:t xml:space="preserve">Calculator Test Scores and RStudio Test Scores of the Respondents When Grouped According to the Profile Variables</w:t>
      </w:r>
      <w:bookmarkEnd w:id="45"/>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46" w:name="X69d0e5258ddf6b7c43e943dbacd24d0cb959ba9"/>
      <w:r>
        <w:t xml:space="preserve">Calculator Test Scores According to Gender</w:t>
      </w:r>
      <w:bookmarkEnd w:id="46"/>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is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47" w:name="rstudio-test-scores-according-to-gender"/>
      <w:r>
        <w:t xml:space="preserve">RStudio Test Scores According to Gender</w:t>
      </w:r>
      <w:bookmarkEnd w:id="47"/>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48" w:name="X527044ba72496ebf4107004859e919216fc2303"/>
      <w:r>
        <w:t xml:space="preserve">Calculator Test Scores According to Having Previous Programming Experience</w:t>
      </w:r>
      <w:bookmarkEnd w:id="48"/>
    </w:p>
    <w:p>
      <w:pPr>
        <w:pStyle w:val="FirstParagraph"/>
      </w:pPr>
      <w:r>
        <w:t xml:space="preserve">Half of the respondents who have previous programming experience failed the test and the other half passed. Only one respondent who have previous programming experience passed the test.</w:t>
      </w:r>
    </w:p>
    <w:p>
      <w:pPr>
        <w:pStyle w:val="TableCaption"/>
      </w:pPr>
      <w:r>
        <w:rPr>
          <w:b/>
        </w:rPr>
        <w:t xml:space="preserve">Table 9:</w:t>
      </w:r>
      <w:r>
        <w:t xml:space="preserve"> </w:t>
      </w:r>
      <w:r>
        <w:t xml:space="preserve">Frequency Distribution and Summary of Calculator Test Scores According to Having Previous Programming Experience</w:t>
      </w:r>
    </w:p>
    <w:tbl>
      <w:tblPr>
        <w:tblStyle w:val="Table"/>
        <w:tblW w:type="pct" w:w="4166.666666666666"/>
        <w:tblLook w:firstRow="1"/>
        <w:tblCaption w:val="Table 9: Frequency Distribution and Summary of Calculator Test Scores According to Having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49" w:name="X272cc27517288f1af1e3997ff2552ebbba3e2fd"/>
      <w:r>
        <w:t xml:space="preserve">RStudio Test Scores According to Having Previous Programming Experience</w:t>
      </w:r>
      <w:bookmarkEnd w:id="49"/>
    </w:p>
    <w:p>
      <w:pPr>
        <w:pStyle w:val="TableCaption"/>
      </w:pPr>
      <w:r>
        <w:rPr>
          <w:b/>
        </w:rPr>
        <w:t xml:space="preserve">Table 10:</w:t>
      </w:r>
      <w:r>
        <w:t xml:space="preserve"> </w:t>
      </w:r>
      <w:r>
        <w:t xml:space="preserve">Frequency Distribution and Summary of RStudio Test Scores According to Having Previous Programming Experience</w:t>
      </w:r>
    </w:p>
    <w:tbl>
      <w:tblPr>
        <w:tblStyle w:val="Table"/>
        <w:tblW w:type="pct" w:w="4097.222222222222"/>
        <w:tblLook w:firstRow="1"/>
        <w:tblCaption w:val="Table 10: Frequency Distribution and Summary of RStudio Test Scores According to Having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4"/>
      </w:pPr>
      <w:bookmarkStart w:id="50" w:name="X22a5b2783fff080d1bb91366d669df06d673615"/>
      <w:r>
        <w:t xml:space="preserve">Statistical Computing Tool Preference: Calculator or RStudio</w:t>
      </w:r>
      <w:bookmarkEnd w:id="50"/>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4"/>
      </w:pPr>
      <w:bookmarkStart w:id="51" w:name="Xc01f885e6cacee16f4832c84920337657ed41f0"/>
      <w:r>
        <w:t xml:space="preserve">Statistical Computing Tool Preference: Calculator or RStudio</w:t>
      </w:r>
      <w:bookmarkEnd w:id="51"/>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2" w:name="X7b8e245f4e1cbe86e8a833b0b0b5228be979612"/>
      <w:r>
        <w:t xml:space="preserve">Significant Difference in the Technology Readiness Index Scores, the Calculator Test Scores, and the RStudio Test Scores of the Respondents when Grouped According to the Profile Variables</w:t>
      </w:r>
      <w:bookmarkEnd w:id="52"/>
    </w:p>
    <w:p>
      <w:pPr>
        <w:pStyle w:val="Heading3"/>
      </w:pPr>
      <w:bookmarkStart w:id="53" w:name="technology-readiness-index-scores"/>
      <w:r>
        <w:t xml:space="preserve">Technology Readiness Index Scores</w:t>
      </w:r>
      <w:bookmarkEnd w:id="53"/>
    </w:p>
    <w:p>
      <w:pPr>
        <w:pStyle w:val="FirstParagraph"/>
      </w:pPr>
      <w:r>
        <w:t xml:space="preserve">There are no significant difference.</w:t>
      </w:r>
    </w:p>
    <w:p>
      <w:pPr>
        <w:pStyle w:val="Heading3"/>
      </w:pPr>
      <w:bookmarkStart w:id="54" w:name="calculator-test-scores-1"/>
      <w:r>
        <w:t xml:space="preserve">Calculator Test Scores</w:t>
      </w:r>
      <w:bookmarkEnd w:id="54"/>
    </w:p>
    <w:p>
      <w:pPr>
        <w:pStyle w:val="FirstParagraph"/>
      </w:pPr>
      <w:r>
        <w:t xml:space="preserve">There are no significant difference.</w:t>
      </w:r>
    </w:p>
    <w:p>
      <w:pPr>
        <w:pStyle w:val="Heading3"/>
      </w:pPr>
      <w:bookmarkStart w:id="55" w:name="rstudio-test-scores-1"/>
      <w:r>
        <w:t xml:space="preserve">RStudio Test Scores</w:t>
      </w:r>
      <w:bookmarkEnd w:id="55"/>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56" w:name="X72d2701e89da16f010a35e24a176b743c6eddb5"/>
      <w:r>
        <w:t xml:space="preserve">Significant Relationship Between Age and the Technology Readiness Index Scores, the Calculator Test Scores and the RStudio Test Scores of the Respondents</w:t>
      </w:r>
      <w:bookmarkEnd w:id="56"/>
    </w:p>
    <w:p>
      <w:pPr>
        <w:pStyle w:val="Heading3"/>
      </w:pPr>
      <w:bookmarkStart w:id="57" w:name="X31ec9bf6425344f3b3b389737f5c8f963bf08c0"/>
      <w:r>
        <w:t xml:space="preserve">Technology Readiness Index Scores and Age</w:t>
      </w:r>
      <w:bookmarkEnd w:id="57"/>
    </w:p>
    <w:p>
      <w:pPr>
        <w:pStyle w:val="FirstParagraph"/>
      </w:pPr>
      <w:r>
        <w:t xml:space="preserve">No significant relationship.</w:t>
      </w:r>
    </w:p>
    <w:p>
      <w:pPr>
        <w:pStyle w:val="Heading3"/>
      </w:pPr>
      <w:bookmarkStart w:id="58" w:name="calculator-test-scores-and-age"/>
      <w:r>
        <w:t xml:space="preserve">Calculator Test Scores and Age</w:t>
      </w:r>
      <w:bookmarkEnd w:id="58"/>
    </w:p>
    <w:p>
      <w:pPr>
        <w:pStyle w:val="FirstParagraph"/>
      </w:pPr>
      <w:r>
        <w:t xml:space="preserve">No Significant relationship.</w:t>
      </w:r>
    </w:p>
    <w:p>
      <w:pPr>
        <w:pStyle w:val="Heading3"/>
      </w:pPr>
      <w:bookmarkStart w:id="59" w:name="rstudio-test-scores-and-age"/>
      <w:r>
        <w:t xml:space="preserve">RStudio Test Scores and Age</w:t>
      </w:r>
      <w:bookmarkEnd w:id="59"/>
    </w:p>
    <w:p>
      <w:pPr>
        <w:pStyle w:val="FirstParagraph"/>
      </w:pPr>
      <w:r>
        <w:t xml:space="preserve">No significant relationship.</w:t>
      </w:r>
    </w:p>
    <w:p>
      <w:pPr>
        <w:pStyle w:val="Heading2"/>
      </w:pPr>
      <w:bookmarkStart w:id="60" w:name="X0d36107203af25fdacd5ad7d9c7f40fdb6f52d9"/>
      <w:r>
        <w:t xml:space="preserve">Significant Relationship Between the Technology Readiness Index Scores and the RStudio Test Scores of the Respondents</w:t>
      </w:r>
      <w:bookmarkEnd w:id="60"/>
    </w:p>
    <w:p>
      <w:pPr>
        <w:pStyle w:val="FirstParagraph"/>
      </w:pPr>
      <w:r>
        <w:t xml:space="preserve">There is no significant relationship.</w:t>
      </w:r>
    </w:p>
    <w:p>
      <w:pPr>
        <w:pStyle w:val="Heading2"/>
      </w:pPr>
      <w:bookmarkStart w:id="61" w:name="Xbd3786db3cdba4882b69bdebd5642e6e286cd1f"/>
      <w:r>
        <w:t xml:space="preserve">Significant Difference Between the Calculator Test Scores and Rstudio Test Scores Of The Respondents</w:t>
      </w:r>
      <w:bookmarkEnd w:id="61"/>
    </w:p>
    <w:p>
      <w:pPr>
        <w:pStyle w:val="FirstParagraph"/>
      </w:pPr>
      <w:r>
        <w:t xml:space="preserve">There is no significant difference.</w:t>
      </w:r>
    </w:p>
    <w:p>
      <w:pPr>
        <w:pStyle w:val="Heading1"/>
      </w:pPr>
      <w:bookmarkStart w:id="62" w:name="reference"/>
      <w:r>
        <w:t xml:space="preserve">Reference</w:t>
      </w:r>
      <w:bookmarkEnd w:id="62"/>
    </w:p>
    <w:bookmarkStart w:id="96" w:name="refs"/>
    <w:bookmarkStart w:id="63"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3"/>
    <w:bookmarkStart w:id="65"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64">
        <w:r>
          <w:rPr>
            <w:rStyle w:val="Hyperlink"/>
          </w:rPr>
          <w:t xml:space="preserve">https://escholarship.org/uc/item/8sd2t4rr</w:t>
        </w:r>
      </w:hyperlink>
    </w:p>
    <w:bookmarkEnd w:id="65"/>
    <w:bookmarkStart w:id="66"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66"/>
    <w:bookmarkStart w:id="68"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67">
        <w:r>
          <w:rPr>
            <w:rStyle w:val="Hyperlink"/>
          </w:rPr>
          <w:t xml:space="preserve">https://doi.org/10.1080/00031305.2017.1397549</w:t>
        </w:r>
      </w:hyperlink>
    </w:p>
    <w:bookmarkEnd w:id="68"/>
    <w:bookmarkStart w:id="70"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69">
        <w:r>
          <w:rPr>
            <w:rStyle w:val="Hyperlink"/>
          </w:rPr>
          <w:t xml:space="preserve">https://escholarship.org/uc/item/00d4q8cp</w:t>
        </w:r>
      </w:hyperlink>
    </w:p>
    <w:bookmarkEnd w:id="70"/>
    <w:bookmarkStart w:id="72"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1">
        <w:r>
          <w:rPr>
            <w:rStyle w:val="Hyperlink"/>
          </w:rPr>
          <w:t xml:space="preserve">https://escholarship.org/uc/item/7gv0q9dc</w:t>
        </w:r>
      </w:hyperlink>
    </w:p>
    <w:bookmarkEnd w:id="72"/>
    <w:bookmarkStart w:id="73"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3"/>
    <w:bookmarkStart w:id="75" w:name="ref-GCR16"/>
    <w:p>
      <w:pPr>
        <w:pStyle w:val="Bibliography"/>
      </w:pPr>
      <w:r>
        <w:t xml:space="preserve">GAISE College Report ASA Revision Committee. (2016). Guidelines for Assessment and Instruction in Statistics Education College Report 2016. Retrieved from</w:t>
      </w:r>
      <w:r>
        <w:t xml:space="preserve"> </w:t>
      </w:r>
      <w:hyperlink r:id="rId74">
        <w:r>
          <w:rPr>
            <w:rStyle w:val="Hyperlink"/>
          </w:rPr>
          <w:t xml:space="preserve">http://www.amstat.org/education/gaise</w:t>
        </w:r>
      </w:hyperlink>
    </w:p>
    <w:bookmarkEnd w:id="75"/>
    <w:bookmarkStart w:id="77"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76">
        <w:r>
          <w:rPr>
            <w:rStyle w:val="Hyperlink"/>
          </w:rPr>
          <w:t xml:space="preserve">https://doi.org/10.1111/j.1751-5823.2010.00117.x</w:t>
        </w:r>
      </w:hyperlink>
    </w:p>
    <w:bookmarkEnd w:id="77"/>
    <w:bookmarkStart w:id="78"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8"/>
    <w:bookmarkStart w:id="80"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9">
        <w:r>
          <w:rPr>
            <w:rStyle w:val="Hyperlink"/>
          </w:rPr>
          <w:t xml:space="preserve">https://doi.org/10.1080/00031305.2015.1077729</w:t>
        </w:r>
      </w:hyperlink>
    </w:p>
    <w:bookmarkEnd w:id="80"/>
    <w:bookmarkStart w:id="82"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1">
        <w:r>
          <w:rPr>
            <w:rStyle w:val="Hyperlink"/>
          </w:rPr>
          <w:t xml:space="preserve">https://escholarship.org/uc/item/1fn7k2x3</w:t>
        </w:r>
      </w:hyperlink>
    </w:p>
    <w:bookmarkEnd w:id="82"/>
    <w:bookmarkStart w:id="84"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3">
        <w:r>
          <w:rPr>
            <w:rStyle w:val="Hyperlink"/>
          </w:rPr>
          <w:t xml:space="preserve">https://doi.org/10.1080/00031305.2015.1032435</w:t>
        </w:r>
      </w:hyperlink>
    </w:p>
    <w:bookmarkEnd w:id="84"/>
    <w:bookmarkStart w:id="86"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85">
        <w:r>
          <w:rPr>
            <w:rStyle w:val="Hyperlink"/>
          </w:rPr>
          <w:t xml:space="preserve">https://doi.org/10.1080/09332480.2015.1042739</w:t>
        </w:r>
      </w:hyperlink>
    </w:p>
    <w:bookmarkEnd w:id="86"/>
    <w:bookmarkStart w:id="88"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7">
        <w:r>
          <w:rPr>
            <w:rStyle w:val="Hyperlink"/>
          </w:rPr>
          <w:t xml:space="preserve">https://doi.org/10.1080/00031305.2018.1482784</w:t>
        </w:r>
      </w:hyperlink>
    </w:p>
    <w:bookmarkEnd w:id="88"/>
    <w:bookmarkStart w:id="90"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9">
        <w:r>
          <w:rPr>
            <w:rStyle w:val="Hyperlink"/>
          </w:rPr>
          <w:t xml:space="preserve">https://www.R-project.org/</w:t>
        </w:r>
      </w:hyperlink>
    </w:p>
    <w:bookmarkEnd w:id="90"/>
    <w:bookmarkStart w:id="92"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1">
        <w:r>
          <w:rPr>
            <w:rStyle w:val="Hyperlink"/>
          </w:rPr>
          <w:t xml:space="preserve">https://doi.org/10.1080/10691898.2017.1322474</w:t>
        </w:r>
      </w:hyperlink>
    </w:p>
    <w:bookmarkEnd w:id="92"/>
    <w:bookmarkStart w:id="94"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3">
        <w:r>
          <w:rPr>
            <w:rStyle w:val="Hyperlink"/>
          </w:rPr>
          <w:t xml:space="preserve">https://doi.org/10.1080/09332480.2018.1467642</w:t>
        </w:r>
      </w:hyperlink>
    </w:p>
    <w:bookmarkEnd w:id="94"/>
    <w:bookmarkStart w:id="95"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95"/>
    <w:bookmarkEnd w:id="96"/>
    <w:sectPr w:rsidR="0076364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74" Target="http://www.amstat.org/education/gaise" TargetMode="External" /><Relationship Type="http://schemas.openxmlformats.org/officeDocument/2006/relationships/hyperlink" Id="rId83" Target="https://doi.org/10.1080/00031305.2015.1032435" TargetMode="External" /><Relationship Type="http://schemas.openxmlformats.org/officeDocument/2006/relationships/hyperlink" Id="rId79" Target="https://doi.org/10.1080/00031305.2015.1077729" TargetMode="External" /><Relationship Type="http://schemas.openxmlformats.org/officeDocument/2006/relationships/hyperlink" Id="rId67" Target="https://doi.org/10.1080/00031305.2017.1397549" TargetMode="External" /><Relationship Type="http://schemas.openxmlformats.org/officeDocument/2006/relationships/hyperlink" Id="rId87" Target="https://doi.org/10.1080/00031305.2018.1482784" TargetMode="External" /><Relationship Type="http://schemas.openxmlformats.org/officeDocument/2006/relationships/hyperlink" Id="rId85" Target="https://doi.org/10.1080/09332480.2015.1042739" TargetMode="External" /><Relationship Type="http://schemas.openxmlformats.org/officeDocument/2006/relationships/hyperlink" Id="rId93" Target="https://doi.org/10.1080/09332480.2018.1467642" TargetMode="External" /><Relationship Type="http://schemas.openxmlformats.org/officeDocument/2006/relationships/hyperlink" Id="rId91" Target="https://doi.org/10.1080/10691898.2017.1322474" TargetMode="External" /><Relationship Type="http://schemas.openxmlformats.org/officeDocument/2006/relationships/hyperlink" Id="rId76" Target="https://doi.org/10.1111/j.1751-5823.2010.00117.x" TargetMode="External" /><Relationship Type="http://schemas.openxmlformats.org/officeDocument/2006/relationships/hyperlink" Id="rId69" Target="https://escholarship.org/uc/item/00d4q8cp" TargetMode="External" /><Relationship Type="http://schemas.openxmlformats.org/officeDocument/2006/relationships/hyperlink" Id="rId81" Target="https://escholarship.org/uc/item/1fn7k2x3" TargetMode="External" /><Relationship Type="http://schemas.openxmlformats.org/officeDocument/2006/relationships/hyperlink" Id="rId71" Target="https://escholarship.org/uc/item/7gv0q9dc" TargetMode="External" /><Relationship Type="http://schemas.openxmlformats.org/officeDocument/2006/relationships/hyperlink" Id="rId64" Target="https://escholarship.org/uc/item/8sd2t4rr" TargetMode="External" /><Relationship Type="http://schemas.openxmlformats.org/officeDocument/2006/relationships/hyperlink" Id="rId8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www.amstat.org/education/gaise" TargetMode="External" /><Relationship Type="http://schemas.openxmlformats.org/officeDocument/2006/relationships/hyperlink" Id="rId83" Target="https://doi.org/10.1080/00031305.2015.1032435" TargetMode="External" /><Relationship Type="http://schemas.openxmlformats.org/officeDocument/2006/relationships/hyperlink" Id="rId79" Target="https://doi.org/10.1080/00031305.2015.1077729" TargetMode="External" /><Relationship Type="http://schemas.openxmlformats.org/officeDocument/2006/relationships/hyperlink" Id="rId67" Target="https://doi.org/10.1080/00031305.2017.1397549" TargetMode="External" /><Relationship Type="http://schemas.openxmlformats.org/officeDocument/2006/relationships/hyperlink" Id="rId87" Target="https://doi.org/10.1080/00031305.2018.1482784" TargetMode="External" /><Relationship Type="http://schemas.openxmlformats.org/officeDocument/2006/relationships/hyperlink" Id="rId85" Target="https://doi.org/10.1080/09332480.2015.1042739" TargetMode="External" /><Relationship Type="http://schemas.openxmlformats.org/officeDocument/2006/relationships/hyperlink" Id="rId93" Target="https://doi.org/10.1080/09332480.2018.1467642" TargetMode="External" /><Relationship Type="http://schemas.openxmlformats.org/officeDocument/2006/relationships/hyperlink" Id="rId91" Target="https://doi.org/10.1080/10691898.2017.1322474" TargetMode="External" /><Relationship Type="http://schemas.openxmlformats.org/officeDocument/2006/relationships/hyperlink" Id="rId76" Target="https://doi.org/10.1111/j.1751-5823.2010.00117.x" TargetMode="External" /><Relationship Type="http://schemas.openxmlformats.org/officeDocument/2006/relationships/hyperlink" Id="rId69" Target="https://escholarship.org/uc/item/00d4q8cp" TargetMode="External" /><Relationship Type="http://schemas.openxmlformats.org/officeDocument/2006/relationships/hyperlink" Id="rId81" Target="https://escholarship.org/uc/item/1fn7k2x3" TargetMode="External" /><Relationship Type="http://schemas.openxmlformats.org/officeDocument/2006/relationships/hyperlink" Id="rId71" Target="https://escholarship.org/uc/item/7gv0q9dc" TargetMode="External" /><Relationship Type="http://schemas.openxmlformats.org/officeDocument/2006/relationships/hyperlink" Id="rId64" Target="https://escholarship.org/uc/item/8sd2t4rr" TargetMode="External" /><Relationship Type="http://schemas.openxmlformats.org/officeDocument/2006/relationships/hyperlink" Id="rId8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2020-01-10T20:53:22Z</dcterms:created>
  <dcterms:modified xsi:type="dcterms:W3CDTF">2020-01-10T20:53:22Z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