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w:t>
      </w:r>
      <w:r>
        <w:t xml:space="preserve"> </w:t>
      </w:r>
      <w:r>
        <w:t xml:space="preserve">(Finzer, 2013)</w:t>
      </w:r>
      <w:r>
        <w:t xml:space="preserve">. These developments gave way to the emergence of data science as a field. As a result, the practice of statistics has dramatically changed and has distanced away from statistics education</w:t>
      </w:r>
      <w:r>
        <w:t xml:space="preserve"> </w:t>
      </w:r>
      <w:r>
        <w:t xml:space="preserve">(Wood, Mocko, Everson, Horton, &amp; Velleman, 2018; Zeiffler, Garfield, &amp; Fry, 2018)</w:t>
      </w:r>
      <w:r>
        <w:t xml:space="preserve">. In this regard,</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data management skills and its integration in introductory and second courses in statistics. Nonetheless, some measures are already in place to lessen the gap between statistical practice and statistics education. In 2005,</w:t>
      </w:r>
      <w:r>
        <w:t xml:space="preserve"> </w:t>
      </w:r>
      <w:r>
        <w:t xml:space="preserve">Franklin et al. (2007)</w:t>
      </w:r>
      <w:r>
        <w:t xml:space="preserve"> </w:t>
      </w:r>
      <w:r>
        <w:t xml:space="preserve">put forth some recommendations as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who adopted it</w:t>
      </w:r>
      <w:r>
        <w:t xml:space="preserve"> </w:t>
      </w:r>
      <w:r>
        <w:t xml:space="preserve">(Zeiffler et al., 2018)</w:t>
      </w:r>
      <w:r>
        <w:t xml:space="preserve">.</w:t>
      </w:r>
    </w:p>
    <w:p>
      <w:pPr>
        <w:pStyle w:val="BodyText"/>
      </w:pPr>
      <w:r>
        <w:t xml:space="preserve">One of the recommendations in the Guidelines for Assessment and Instruction in Statistics Education (GAISE) College Report 2016 is the use of technology to explore concepts and analyze data</w:t>
      </w:r>
      <w:r>
        <w:t xml:space="preserve"> </w:t>
      </w:r>
      <w:r>
        <w:t xml:space="preserve">(GAISE College Report ASA Revision Committee, 2016)</w:t>
      </w:r>
      <w:r>
        <w:t xml:space="preserve">. Studies show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there is no single statistical computing tool that fits all statistical tasks</w:t>
      </w:r>
      <w:r>
        <w:t xml:space="preserve"> </w:t>
      </w:r>
      <w:r>
        <w:t xml:space="preserve">(McNamara, 2018)</w:t>
      </w:r>
      <w:r>
        <w:t xml:space="preserve">. Nonetheless, introductory statistics students should be taught a common statistical package such as SPSS, SAS, or R</w:t>
      </w:r>
      <w:r>
        <w:t xml:space="preserve"> </w:t>
      </w:r>
      <w:r>
        <w:t xml:space="preserve">(R Core Team, 2018)</w:t>
      </w:r>
      <w:r>
        <w:t xml:space="preserve">, enthusing them to continuously learn statistics technology because statistical tools are diverse and eventually evolve through time</w:t>
      </w:r>
      <w:r>
        <w:t xml:space="preserve"> </w:t>
      </w:r>
      <w:r>
        <w:t xml:space="preserve">(Gould et al., 2018)</w:t>
      </w:r>
      <w:r>
        <w:t xml:space="preserve">.</w:t>
      </w:r>
    </w:p>
    <w:p>
      <w:pPr>
        <w:pStyle w:val="BodyText"/>
      </w:pPr>
      <w:r>
        <w:t xml:space="preserve">Reproducible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pStyle w:val="Heading2"/>
      </w:pPr>
      <w:bookmarkStart w:id="23" w:name="statement-of-the-hypothesis"/>
      <w:r>
        <w:t xml:space="preserve">Statement of the Hypothesis</w:t>
      </w:r>
      <w:bookmarkEnd w:id="23"/>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ference"/>
      <w:r>
        <w:t xml:space="preserve">Reference</w:t>
      </w:r>
      <w:bookmarkEnd w:id="36"/>
    </w:p>
    <w:bookmarkStart w:id="70" w:name="refs"/>
    <w:bookmarkStart w:id="38"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37">
        <w:r>
          <w:rPr>
            <w:rStyle w:val="Hyperlink"/>
          </w:rPr>
          <w:t xml:space="preserve">https://escholarship.org/uc/item/8sd2t4rr</w:t>
        </w:r>
      </w:hyperlink>
    </w:p>
    <w:bookmarkEnd w:id="38"/>
    <w:bookmarkStart w:id="39"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39"/>
    <w:bookmarkStart w:id="41"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40">
        <w:r>
          <w:rPr>
            <w:rStyle w:val="Hyperlink"/>
          </w:rPr>
          <w:t xml:space="preserve">https://doi.org/10.1080/00031305.2017.1397549</w:t>
        </w:r>
      </w:hyperlink>
    </w:p>
    <w:bookmarkEnd w:id="41"/>
    <w:bookmarkStart w:id="43"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42">
        <w:r>
          <w:rPr>
            <w:rStyle w:val="Hyperlink"/>
          </w:rPr>
          <w:t xml:space="preserve">https://escholarship.org/uc/item/00d4q8cp</w:t>
        </w:r>
      </w:hyperlink>
    </w:p>
    <w:bookmarkEnd w:id="43"/>
    <w:bookmarkStart w:id="45"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44">
        <w:r>
          <w:rPr>
            <w:rStyle w:val="Hyperlink"/>
          </w:rPr>
          <w:t xml:space="preserve">https://escholarship.org/uc/item/7gv0q9dc</w:t>
        </w:r>
      </w:hyperlink>
    </w:p>
    <w:bookmarkEnd w:id="45"/>
    <w:bookmarkStart w:id="46"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46"/>
    <w:bookmarkStart w:id="48" w:name="ref-GCR16"/>
    <w:p>
      <w:pPr>
        <w:pStyle w:val="Bibliography"/>
      </w:pPr>
      <w:r>
        <w:t xml:space="preserve">GAISE College Report ASA Revision Committee. (2016). Guidelines for Assessment and Instruction in Statistics Education College Report 2016. Retrieved from</w:t>
      </w:r>
      <w:r>
        <w:t xml:space="preserve"> </w:t>
      </w:r>
      <w:hyperlink r:id="rId47">
        <w:r>
          <w:rPr>
            <w:rStyle w:val="Hyperlink"/>
          </w:rPr>
          <w:t xml:space="preserve">http://www.amstat.org/education/gaise</w:t>
        </w:r>
      </w:hyperlink>
    </w:p>
    <w:bookmarkEnd w:id="48"/>
    <w:bookmarkStart w:id="50"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49">
        <w:r>
          <w:rPr>
            <w:rStyle w:val="Hyperlink"/>
          </w:rPr>
          <w:t xml:space="preserve">https://doi.org/10.1111/j.1751-5823.2010.00117.x</w:t>
        </w:r>
      </w:hyperlink>
    </w:p>
    <w:bookmarkEnd w:id="50"/>
    <w:bookmarkStart w:id="51"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51"/>
    <w:bookmarkStart w:id="52"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52"/>
    <w:bookmarkStart w:id="54"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53">
        <w:r>
          <w:rPr>
            <w:rStyle w:val="Hyperlink"/>
          </w:rPr>
          <w:t xml:space="preserve">https://doi.org/10.1080/00031305.2015.1077729</w:t>
        </w:r>
      </w:hyperlink>
    </w:p>
    <w:bookmarkEnd w:id="54"/>
    <w:bookmarkStart w:id="56"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55">
        <w:r>
          <w:rPr>
            <w:rStyle w:val="Hyperlink"/>
          </w:rPr>
          <w:t xml:space="preserve">https://escholarship.org/uc/item/1fn7k2x3</w:t>
        </w:r>
      </w:hyperlink>
    </w:p>
    <w:bookmarkEnd w:id="56"/>
    <w:bookmarkStart w:id="58"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57">
        <w:r>
          <w:rPr>
            <w:rStyle w:val="Hyperlink"/>
          </w:rPr>
          <w:t xml:space="preserve">https://doi.org/10.1080/00031305.2015.1032435</w:t>
        </w:r>
      </w:hyperlink>
    </w:p>
    <w:bookmarkEnd w:id="58"/>
    <w:bookmarkStart w:id="60"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59">
        <w:r>
          <w:rPr>
            <w:rStyle w:val="Hyperlink"/>
          </w:rPr>
          <w:t xml:space="preserve">https://doi.org/10.1080/09332480.2015.1042739</w:t>
        </w:r>
      </w:hyperlink>
    </w:p>
    <w:bookmarkEnd w:id="60"/>
    <w:bookmarkStart w:id="62"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61">
        <w:r>
          <w:rPr>
            <w:rStyle w:val="Hyperlink"/>
          </w:rPr>
          <w:t xml:space="preserve">https://doi.org/10.1080/00031305.2018.1482784</w:t>
        </w:r>
      </w:hyperlink>
    </w:p>
    <w:bookmarkEnd w:id="62"/>
    <w:bookmarkStart w:id="64"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3">
        <w:r>
          <w:rPr>
            <w:rStyle w:val="Hyperlink"/>
          </w:rPr>
          <w:t xml:space="preserve">https://www.R-project.org/</w:t>
        </w:r>
      </w:hyperlink>
    </w:p>
    <w:bookmarkEnd w:id="64"/>
    <w:bookmarkStart w:id="66"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65">
        <w:r>
          <w:rPr>
            <w:rStyle w:val="Hyperlink"/>
          </w:rPr>
          <w:t xml:space="preserve">https://doi.org/10.1080/10691898.2017.1322474</w:t>
        </w:r>
      </w:hyperlink>
    </w:p>
    <w:bookmarkEnd w:id="66"/>
    <w:bookmarkStart w:id="68"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67">
        <w:r>
          <w:rPr>
            <w:rStyle w:val="Hyperlink"/>
          </w:rPr>
          <w:t xml:space="preserve">https://doi.org/10.1080/09332480.2018.1467642</w:t>
        </w:r>
      </w:hyperlink>
    </w:p>
    <w:bookmarkEnd w:id="68"/>
    <w:bookmarkStart w:id="69"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69"/>
    <w:bookmarkEnd w:id="70"/>
    <w:sectPr w:rsidR="00C00619" w:rsidRPr="00D1012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9E1F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56F1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D8E8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947C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0EA8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845E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8CDD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7A50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5811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80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10125"/>
    <w:pPr>
      <w:keepNext/>
      <w:keepLines/>
      <w:numPr>
        <w:numId w:val="14"/>
      </w:numPr>
      <w:spacing w:before="480" w:after="0" w:line="480" w:lineRule="auto"/>
      <w:jc w:val="both"/>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4519F"/>
    <w:pPr>
      <w:keepNext/>
      <w:keepLines/>
      <w:spacing w:before="200" w:after="0" w:line="480" w:lineRule="auto"/>
      <w:jc w:val="both"/>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line="48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spacing w:line="480" w:lineRule="auto"/>
      <w:ind w:left="720" w:hanging="72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www.amstat.org/education/gaise" TargetMode="External" /><Relationship Type="http://schemas.openxmlformats.org/officeDocument/2006/relationships/hyperlink" Id="rId57" Target="https://doi.org/10.1080/00031305.2015.1032435" TargetMode="External" /><Relationship Type="http://schemas.openxmlformats.org/officeDocument/2006/relationships/hyperlink" Id="rId53" Target="https://doi.org/10.1080/00031305.2015.1077729" TargetMode="External" /><Relationship Type="http://schemas.openxmlformats.org/officeDocument/2006/relationships/hyperlink" Id="rId40" Target="https://doi.org/10.1080/00031305.2017.1397549" TargetMode="External" /><Relationship Type="http://schemas.openxmlformats.org/officeDocument/2006/relationships/hyperlink" Id="rId61" Target="https://doi.org/10.1080/00031305.2018.1482784" TargetMode="External" /><Relationship Type="http://schemas.openxmlformats.org/officeDocument/2006/relationships/hyperlink" Id="rId59" Target="https://doi.org/10.1080/09332480.2015.1042739" TargetMode="External" /><Relationship Type="http://schemas.openxmlformats.org/officeDocument/2006/relationships/hyperlink" Id="rId67" Target="https://doi.org/10.1080/09332480.2018.1467642" TargetMode="External" /><Relationship Type="http://schemas.openxmlformats.org/officeDocument/2006/relationships/hyperlink" Id="rId65" Target="https://doi.org/10.1080/10691898.2017.1322474" TargetMode="External" /><Relationship Type="http://schemas.openxmlformats.org/officeDocument/2006/relationships/hyperlink" Id="rId49" Target="https://doi.org/10.1111/j.1751-5823.2010.00117.x" TargetMode="External" /><Relationship Type="http://schemas.openxmlformats.org/officeDocument/2006/relationships/hyperlink" Id="rId42" Target="https://escholarship.org/uc/item/00d4q8cp" TargetMode="External" /><Relationship Type="http://schemas.openxmlformats.org/officeDocument/2006/relationships/hyperlink" Id="rId55" Target="https://escholarship.org/uc/item/1fn7k2x3" TargetMode="External" /><Relationship Type="http://schemas.openxmlformats.org/officeDocument/2006/relationships/hyperlink" Id="rId44" Target="https://escholarship.org/uc/item/7gv0q9dc" TargetMode="External" /><Relationship Type="http://schemas.openxmlformats.org/officeDocument/2006/relationships/hyperlink" Id="rId37" Target="https://escholarship.org/uc/item/8sd2t4rr"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www.amstat.org/education/gaise" TargetMode="External" /><Relationship Type="http://schemas.openxmlformats.org/officeDocument/2006/relationships/hyperlink" Id="rId57" Target="https://doi.org/10.1080/00031305.2015.1032435" TargetMode="External" /><Relationship Type="http://schemas.openxmlformats.org/officeDocument/2006/relationships/hyperlink" Id="rId53" Target="https://doi.org/10.1080/00031305.2015.1077729" TargetMode="External" /><Relationship Type="http://schemas.openxmlformats.org/officeDocument/2006/relationships/hyperlink" Id="rId40" Target="https://doi.org/10.1080/00031305.2017.1397549" TargetMode="External" /><Relationship Type="http://schemas.openxmlformats.org/officeDocument/2006/relationships/hyperlink" Id="rId61" Target="https://doi.org/10.1080/00031305.2018.1482784" TargetMode="External" /><Relationship Type="http://schemas.openxmlformats.org/officeDocument/2006/relationships/hyperlink" Id="rId59" Target="https://doi.org/10.1080/09332480.2015.1042739" TargetMode="External" /><Relationship Type="http://schemas.openxmlformats.org/officeDocument/2006/relationships/hyperlink" Id="rId67" Target="https://doi.org/10.1080/09332480.2018.1467642" TargetMode="External" /><Relationship Type="http://schemas.openxmlformats.org/officeDocument/2006/relationships/hyperlink" Id="rId65" Target="https://doi.org/10.1080/10691898.2017.1322474" TargetMode="External" /><Relationship Type="http://schemas.openxmlformats.org/officeDocument/2006/relationships/hyperlink" Id="rId49" Target="https://doi.org/10.1111/j.1751-5823.2010.00117.x" TargetMode="External" /><Relationship Type="http://schemas.openxmlformats.org/officeDocument/2006/relationships/hyperlink" Id="rId42" Target="https://escholarship.org/uc/item/00d4q8cp" TargetMode="External" /><Relationship Type="http://schemas.openxmlformats.org/officeDocument/2006/relationships/hyperlink" Id="rId55" Target="https://escholarship.org/uc/item/1fn7k2x3" TargetMode="External" /><Relationship Type="http://schemas.openxmlformats.org/officeDocument/2006/relationships/hyperlink" Id="rId44" Target="https://escholarship.org/uc/item/7gv0q9dc" TargetMode="External" /><Relationship Type="http://schemas.openxmlformats.org/officeDocument/2006/relationships/hyperlink" Id="rId37" Target="https://escholarship.org/uc/item/8sd2t4rr"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2018-11-21T07:41:38Z</dcterms:created>
  <dcterms:modified xsi:type="dcterms:W3CDTF">2018-11-21T07:41:38Z</dcterms:modified>
</cp:coreProperties>
</file>

<file path=docProps/custom.xml><?xml version="1.0" encoding="utf-8"?>
<Properties xmlns="http://schemas.openxmlformats.org/officeDocument/2006/custom-properties" xmlns:vt="http://schemas.openxmlformats.org/officeDocument/2006/docPropsVTypes"/>
</file>