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Intersection of Gender, Livelihood, and Disaster Risk Reduction Management</w:t>
      </w:r>
    </w:p>
    <w:p>
      <w:pPr>
        <w:pStyle w:val="Subtitle"/>
      </w:pPr>
      <w:r>
        <w:t xml:space="preserve">Barangay Vista Alegre, Bayombong, Nueva Vizcaya</w:t>
      </w:r>
    </w:p>
    <w:p>
      <w:pPr>
        <w:pStyle w:val="Author"/>
      </w:pPr>
      <w:r>
        <w:t xml:space="preserve">Summary of Evaluation</w:t>
      </w:r>
    </w:p>
    <w:p>
      <w:pPr>
        <w:pStyle w:val="Date"/>
      </w:pPr>
      <w:r>
        <w:t xml:space="preserve">February 19, 2025</w:t>
      </w:r>
    </w:p>
    <w:bookmarkStart w:id="24" w:name="ratings"/>
    <w:p>
      <w:pPr>
        <w:pStyle w:val="Heading1"/>
      </w:pPr>
      <w:r>
        <w:t xml:space="preserve">Ratings</w:t>
      </w:r>
    </w:p>
    <w:p>
      <w:pPr>
        <w:pStyle w:val="FirstParagraph"/>
      </w:pPr>
      <w:r>
        <w:t xml:space="preserve">The training was evaluated by 31 participants. Most of the ratings for relevance, timeliness, and overall rating are excellent. The percentage of ratings for each item is shown in</w:t>
      </w:r>
      <w:r>
        <w:t xml:space="preserve"> </w:t>
      </w:r>
      <w:hyperlink w:anchor="fig-items">
        <w:r>
          <w:rPr>
            <w:rStyle w:val="Hyperlink"/>
          </w:rPr>
          <w:t xml:space="preserve">Figure 1</w:t>
        </w:r>
      </w:hyperlink>
      <w:r>
        <w:t xml:space="preserve">. Relevance, timeliness, and overall rating has a rating of excellent with means 4.74, 4.77, and 4.81 respectively.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items"/>
          <w:p>
            <w:pPr>
              <w:pStyle w:val="Compact"/>
              <w:jc w:val="center"/>
            </w:pPr>
            <w:r>
              <w:drawing>
                <wp:inline>
                  <wp:extent cx="5727700" cy="3524738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vista-alegre_files/figure-docx/fig-items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5247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Percentage of Ratings</w:t>
            </w:r>
          </w:p>
          <w:bookmarkEnd w:id="23"/>
        </w:tc>
      </w:tr>
    </w:tbl>
    <w:bookmarkEnd w:id="24"/>
    <w:bookmarkStart w:id="25" w:name="X68558a6ba5c26673a2b399fa1f39410b73d3c0f"/>
    <w:p>
      <w:pPr>
        <w:pStyle w:val="Heading1"/>
      </w:pPr>
      <w:r>
        <w:t xml:space="preserve">Other training/activity/technical service needed</w:t>
      </w:r>
    </w:p>
    <w:p>
      <w:pPr>
        <w:pStyle w:val="FirstParagraph"/>
      </w:pPr>
      <w:r>
        <w:t xml:space="preserve">During the event, participants expressed interest in a range of additional training, activities, and technical services to enhance their skills and livelihood opportunities. The identified needs include: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Livelihood and Skills Training:</w:t>
      </w:r>
      <w:r>
        <w:t xml:space="preserve"> </w:t>
      </w:r>
      <w:r>
        <w:t xml:space="preserve">Handicraft making, urban gardening, mushroom production, vermi composting, dressmaking, sewing, bookkeeping, carpentry, and masonry.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Food-related Trainings:</w:t>
      </w:r>
      <w:r>
        <w:t xml:space="preserve"> </w:t>
      </w:r>
      <w:r>
        <w:t xml:space="preserve">Food processing (frequently mentioned), bread and pastry making, cake and pastry making, and additional trainings on food preservation and processing.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Technical and Vocational Skills:</w:t>
      </w:r>
      <w:r>
        <w:t xml:space="preserve"> </w:t>
      </w:r>
      <w:r>
        <w:t xml:space="preserve">Glass cutting, driving, and fish pond management (including handling techniques).</w:t>
      </w:r>
    </w:p>
    <w:p>
      <w:pPr>
        <w:pStyle w:val="FirstParagraph"/>
      </w:pPr>
      <w:r>
        <w:t xml:space="preserve">The repeated mention of food processing and dressmaking highlights a strong interest in these areas.</w:t>
      </w:r>
    </w:p>
    <w:bookmarkEnd w:id="25"/>
    <w:bookmarkStart w:id="26" w:name="X9859d2a0c5074e62bb9cef169763400fdb777f2"/>
    <w:p>
      <w:pPr>
        <w:pStyle w:val="Heading1"/>
      </w:pPr>
      <w:r>
        <w:t xml:space="preserve">Comment/suggestions on how to improve our services</w:t>
      </w:r>
    </w:p>
    <w:p>
      <w:pPr>
        <w:pStyle w:val="FirstParagraph"/>
      </w:pPr>
      <w:r>
        <w:t xml:space="preserve">Participants expressed appreciation for the program, frequently offering thanks and congratulatory remarks. Key feedback includes: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Positive Acknowledgments:</w:t>
      </w:r>
      <w:r>
        <w:t xml:space="preserve"> </w:t>
      </w:r>
      <w:r>
        <w:t xml:space="preserve">Multiple participants conveyed gratitude (e.g.,</w:t>
      </w:r>
      <w:r>
        <w:t xml:space="preserve"> </w:t>
      </w:r>
      <w:r>
        <w:t xml:space="preserve">“Thank you,”</w:t>
      </w:r>
      <w:r>
        <w:t xml:space="preserve"> </w:t>
      </w:r>
      <w:r>
        <w:t xml:space="preserve">“More power,”</w:t>
      </w:r>
      <w:r>
        <w:t xml:space="preserve"> </w:t>
      </w:r>
      <w:r>
        <w:t xml:space="preserve">“Ang galing!”</w:t>
      </w:r>
      <w:r>
        <w:t xml:space="preserve">) and commended the organizers for a well-delivered and informative session (</w:t>
      </w:r>
      <w:r>
        <w:t xml:space="preserve">“Perfect explanation,”</w:t>
      </w:r>
      <w:r>
        <w:t xml:space="preserve"> </w:t>
      </w:r>
      <w:r>
        <w:t xml:space="preserve">“Congratulations!”</w:t>
      </w:r>
      <w:r>
        <w:t xml:space="preserve">).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Suggestions for Improvement: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Scheduling Concerns:</w:t>
      </w:r>
      <w:r>
        <w:t xml:space="preserve"> </w:t>
      </w:r>
      <w:r>
        <w:t xml:space="preserve">A participant suggested starting earlier to accommodate everyone’s availability and ensure full participation.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Training Needs:</w:t>
      </w:r>
      <w:r>
        <w:t xml:space="preserve"> </w:t>
      </w:r>
      <w:r>
        <w:t xml:space="preserve">Several requested more training sessions, especially in their barangay, highlighting a desire for continued capacity-building efforts.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Sustained Engagement:</w:t>
      </w:r>
      <w:r>
        <w:t xml:space="preserve"> </w:t>
      </w:r>
      <w:r>
        <w:t xml:space="preserve">Follow-ups were recommended to ensure continuity and to deepen learning outcomes from the initial session.</w:t>
      </w:r>
    </w:p>
    <w:p>
      <w:pPr>
        <w:pStyle w:val="FirstParagraph"/>
      </w:pPr>
      <w:r>
        <w:t xml:space="preserve">Overall, the feedback reflects strong participant engagement, satisfaction with the current program, and eagerness for more targeted training opportunities.</w:t>
      </w:r>
    </w:p>
    <w:bookmarkEnd w:id="26"/>
    <w:sectPr w:rsidR="002E2A33" w:rsidSect="00433A4C">
      <w:pgSz w:code="9" w:h="16838" w:w="11906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61E2A796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0A26A1A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34653062" w:numId="1">
    <w:abstractNumId w:val="0"/>
  </w:num>
  <w:num w16cid:durableId="630332208" w:numId="2">
    <w:abstractNumId w:val="0"/>
  </w:num>
  <w:num w16cid:durableId="95836331" w:numId="3">
    <w:abstractNumId w:val="0"/>
  </w:num>
  <w:num w16cid:durableId="1946500241" w:numId="4">
    <w:abstractNumId w:val="1"/>
  </w:num>
  <w:num w16cid:durableId="1957712110" w:numId="5">
    <w:abstractNumId w:val="1"/>
  </w:num>
  <w:num w16cid:durableId="1751392403" w:numId="6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1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7D"/>
    <w:rsid w:val="002E2A33"/>
    <w:rsid w:val="00433A4C"/>
    <w:rsid w:val="004D4E7D"/>
    <w:rsid w:val="009E02B6"/>
    <w:rsid w:val="00A12480"/>
    <w:rsid w:val="00B12819"/>
    <w:rsid w:val="00E55D54"/>
    <w:rsid w:val="00EA2BC9"/>
    <w:rsid w:val="00EE62D4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E62D4"/>
    <w:pPr>
      <w:jc w:val="both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A12480"/>
    <w:pPr>
      <w:keepNext/>
      <w:keepLines/>
      <w:spacing w:after="80" w:before="360"/>
      <w:outlineLvl w:val="0"/>
    </w:pPr>
    <w:rPr>
      <w:rFonts w:ascii="Arial" w:cs="Arial" w:eastAsiaTheme="majorEastAsia" w:hAnsi="Arial"/>
      <w:b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A12480"/>
    <w:pPr>
      <w:ind w:firstLine="720"/>
    </w:pPr>
    <w:rPr>
      <w:rFonts w:ascii="Arial" w:cs="Arial" w:hAnsi="Arial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2480"/>
    <w:pPr>
      <w:spacing w:after="80"/>
      <w:contextualSpacing/>
      <w:jc w:val="center"/>
    </w:pPr>
    <w:rPr>
      <w:rFonts w:ascii="Arial" w:cs="Arial" w:eastAsiaTheme="majorEastAsia" w:hAnsi="Arial"/>
      <w:b/>
      <w:spacing w:val="-10"/>
      <w:kern w:val="28"/>
    </w:rPr>
  </w:style>
  <w:style w:customStyle="1" w:styleId="TitleChar" w:type="character">
    <w:name w:val="Title Char"/>
    <w:basedOn w:val="DefaultParagraphFont"/>
    <w:link w:val="Title"/>
    <w:uiPriority w:val="10"/>
    <w:rsid w:val="00A12480"/>
    <w:rPr>
      <w:rFonts w:ascii="Arial" w:cs="Arial" w:eastAsiaTheme="majorEastAsia" w:hAnsi="Arial"/>
      <w:b/>
      <w:spacing w:val="-10"/>
      <w:kern w:val="28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2480"/>
    <w:pPr>
      <w:numPr>
        <w:ilvl w:val="1"/>
      </w:numPr>
    </w:pPr>
    <w:rPr>
      <w:b w:val="0"/>
      <w:bCs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A12480"/>
    <w:rPr>
      <w:rFonts w:ascii="Arial" w:cs="Arial" w:eastAsiaTheme="majorEastAsia" w:hAnsi="Arial"/>
      <w:bCs/>
      <w:spacing w:val="15"/>
      <w:kern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2480"/>
    <w:rPr>
      <w:rFonts w:ascii="Arial" w:cs="Arial" w:eastAsiaTheme="majorEastAsia" w:hAnsi="Arial"/>
      <w:b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A12480"/>
    <w:pPr>
      <w:spacing w:before="200"/>
    </w:pPr>
    <w:rPr>
      <w:rFonts w:ascii="Arial" w:cs="Arial" w:hAnsi="Arial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Intersection of Gender, Livelihood, and Disaster Risk Reduction Management</dc:title>
  <dc:creator>Summary of Evaluation</dc:creator>
  <cp:keywords/>
  <dcterms:created xsi:type="dcterms:W3CDTF">2025-06-19T06:30:40Z</dcterms:created>
  <dcterms:modified xsi:type="dcterms:W3CDTF">2025-06-19T06:30:40Z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February 19, 2025</vt:lpwstr>
  </property>
  <property fmtid="{D5CDD505-2E9C-101B-9397-08002B2CF9AE}" pid="6" name="date-format">
    <vt:lpwstr>long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Barangay Vista Alegre, Bayombong, Nueva Vizcaya</vt:lpwstr>
  </property>
  <property fmtid="{D5CDD505-2E9C-101B-9397-08002B2CF9AE}" pid="14" name="toc-title">
    <vt:lpwstr>Table of contents</vt:lpwstr>
  </property>
</Properties>
</file>