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3.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Two</w:t>
      </w:r>
      <w:r>
        <w:t xml:space="preserve"> </w:t>
      </w:r>
      <w:r>
        <w:t xml:space="preserve">Variables:</w:t>
      </w:r>
      <w:r>
        <w:t xml:space="preserve"> </w:t>
      </w:r>
      <w:r>
        <w:t xml:space="preserve">Qualitative</w:t>
      </w:r>
    </w:p>
    <w:p>
      <w:pPr>
        <w:pStyle w:val="Author"/>
      </w:pPr>
      <w:r>
        <w:t xml:space="preserve">Orville</w:t>
      </w:r>
      <w:r>
        <w:t xml:space="preserve"> </w:t>
      </w:r>
      <w:r>
        <w:t xml:space="preserve">D.</w:t>
      </w:r>
      <w:r>
        <w:t xml:space="preserve"> </w:t>
      </w:r>
      <w:r>
        <w:t xml:space="preserve">Hombrebueno</w:t>
      </w:r>
    </w:p>
    <w:p>
      <w:pPr>
        <w:pStyle w:val="Date"/>
      </w:pPr>
      <w:r>
        <w:t xml:space="preserve">2024-12-04</w:t>
      </w:r>
    </w:p>
    <w:sdt>
      <w:sdtPr>
        <w:docPartObj>
          <w:docPartGallery w:val="Table of Contents"/>
          <w:docPartUnique/>
        </w:docPartObj>
      </w:sdtPr>
      <w:sdtContent>
        <w:p>
          <w:pPr>
            <w:pStyle w:val="TOCHeading"/>
          </w:pPr>
          <w:r>
            <w:t xml:space="preserve">Table</w:t>
          </w:r>
          <w:r>
            <w:t xml:space="preserve"> </w:t>
          </w:r>
          <w:r>
            <w:t xml:space="preserve">of</w:t>
          </w:r>
          <w:r>
            <w:t xml:space="preserve"> </w:t>
          </w:r>
          <w:r>
            <w:t xml:space="preserve">contents</w:t>
          </w:r>
        </w:p>
        <w:p>
          <w:r>
            <w:fldChar w:fldCharType="begin" w:dirty="true"/>
            <w:instrText xml:space="preserve">TOC \o "1-3" \h \z \u</w:instrText>
            <w:fldChar w:fldCharType="separate"/>
            <w:fldChar w:fldCharType="end"/>
          </w:r>
        </w:p>
      </w:sdtContent>
    </w:sdt>
    <w:bookmarkStart w:id="28" w:name="the-data"/>
    <w:p>
      <w:pPr>
        <w:pStyle w:val="Heading1"/>
      </w:pPr>
      <w:r>
        <w:t xml:space="preserve">The Data</w:t>
      </w:r>
    </w:p>
    <w:bookmarkStart w:id="21" w:name="the-titanic-data-set"/>
    <w:p>
      <w:pPr>
        <w:pStyle w:val="Heading2"/>
      </w:pPr>
      <w:r>
        <w:t xml:space="preserve">The Titanic Data Set</w:t>
      </w:r>
    </w:p>
    <w:p>
      <w:pPr>
        <w:pStyle w:val="FirstParagraph"/>
      </w:pPr>
      <w:r>
        <w:t xml:space="preserve">The titanic data set is a data frame with 2201 rows and 5 variables.</w:t>
      </w:r>
    </w:p>
    <w:p>
      <w:pPr>
        <w:numPr>
          <w:ilvl w:val="0"/>
          <w:numId w:val="1001"/>
        </w:numPr>
      </w:pPr>
      <w:r>
        <w:rPr>
          <w:rStyle w:val="VerbatimChar"/>
        </w:rPr>
        <w:t xml:space="preserve">id</w:t>
      </w:r>
      <w:r>
        <w:t xml:space="preserve"> </w:t>
      </w:r>
      <w:r>
        <w:t xml:space="preserve">Dummy identity number for each person.</w:t>
      </w:r>
    </w:p>
    <w:p>
      <w:pPr>
        <w:numPr>
          <w:ilvl w:val="0"/>
          <w:numId w:val="1001"/>
        </w:numPr>
      </w:pPr>
      <w:r>
        <w:rPr>
          <w:rStyle w:val="VerbatimChar"/>
        </w:rPr>
        <w:t xml:space="preserve">Class</w:t>
      </w:r>
      <w:r>
        <w:t xml:space="preserve"> </w:t>
      </w:r>
      <w:r>
        <w:t xml:space="preserve">1st, 2nd, 3rd, Crew.</w:t>
      </w:r>
    </w:p>
    <w:p>
      <w:pPr>
        <w:numPr>
          <w:ilvl w:val="0"/>
          <w:numId w:val="1001"/>
        </w:numPr>
      </w:pPr>
      <w:r>
        <w:rPr>
          <w:rStyle w:val="VerbatimChar"/>
        </w:rPr>
        <w:t xml:space="preserve">Sex</w:t>
      </w:r>
      <w:r>
        <w:t xml:space="preserve"> </w:t>
      </w:r>
      <w:r>
        <w:t xml:space="preserve">Male, Female.</w:t>
      </w:r>
    </w:p>
    <w:p>
      <w:pPr>
        <w:numPr>
          <w:ilvl w:val="0"/>
          <w:numId w:val="1001"/>
        </w:numPr>
      </w:pPr>
      <w:r>
        <w:rPr>
          <w:rStyle w:val="VerbatimChar"/>
        </w:rPr>
        <w:t xml:space="preserve">Age</w:t>
      </w:r>
      <w:r>
        <w:t xml:space="preserve"> </w:t>
      </w:r>
      <w:r>
        <w:t xml:space="preserve">Child, Adult.</w:t>
      </w:r>
    </w:p>
    <w:p>
      <w:pPr>
        <w:numPr>
          <w:ilvl w:val="0"/>
          <w:numId w:val="1001"/>
        </w:numPr>
      </w:pPr>
      <w:r>
        <w:rPr>
          <w:rStyle w:val="VerbatimChar"/>
        </w:rPr>
        <w:t xml:space="preserve">Survived</w:t>
      </w:r>
      <w:r>
        <w:t xml:space="preserve"> </w:t>
      </w:r>
      <w:r>
        <w:t xml:space="preserve">No, Yes.</w:t>
      </w:r>
    </w:p>
    <w:p>
      <w:pPr>
        <w:pStyle w:val="FirstParagraph"/>
      </w:pPr>
      <w:r>
        <w:t xml:space="preserve">This data set provides information on the fate of passengers on the fatal maiden voyage of the ocean liner Titanic, summarized according to economic status (class), sex, age and survival.</w:t>
      </w:r>
    </w:p>
    <w:p>
      <w:pPr>
        <w:pStyle w:val="BodyText"/>
      </w:pPr>
      <w:r>
        <w:t xml:space="preserve">The first 6 rows of the titanic data set are shown in</w:t>
      </w:r>
      <w:r>
        <w:t xml:space="preserve"> </w:t>
      </w:r>
      <w:hyperlink w:anchor="tbl-titanic">
        <w:r>
          <w:rPr>
            <w:rStyle w:val="Hyperlink"/>
          </w:rPr>
          <w:t xml:space="preserve">Table 1</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20" w:name="tbl-titanic"/>
          <w:p>
            <w:pPr>
              <w:jc w:val="center"/>
            </w:pPr>
            <w:pPr>
              <w:jc w:val="start"/>
              <w:spacing w:before="200"/>
              <w:pStyle w:val="ImageCaption"/>
            </w:pPr>
            <w:r>
              <w:t xml:space="preserve">Table 1: The first 6 observations of the data set.</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jc w:val="right"/>
                    <w:jc w:val="center"/>
                  </w:pPr>
                  <w:r>
                    <w:t xml:space="preserve">id</w:t>
                  </w:r>
                </w:p>
              </w:tc>
              <w:tc>
                <w:tcPr/>
                <w:p>
                  <w:pPr>
                    <w:pStyle w:val="Compact"/>
                    <w:jc w:val="left"/>
                    <w:jc w:val="center"/>
                  </w:pPr>
                  <w:r>
                    <w:t xml:space="preserve">Class</w:t>
                  </w:r>
                </w:p>
              </w:tc>
              <w:tc>
                <w:tcPr/>
                <w:p>
                  <w:pPr>
                    <w:pStyle w:val="Compact"/>
                    <w:jc w:val="left"/>
                    <w:jc w:val="center"/>
                  </w:pPr>
                  <w:r>
                    <w:t xml:space="preserve">Sex</w:t>
                  </w:r>
                </w:p>
              </w:tc>
              <w:tc>
                <w:tcPr/>
                <w:p>
                  <w:pPr>
                    <w:pStyle w:val="Compact"/>
                    <w:jc w:val="left"/>
                    <w:jc w:val="center"/>
                  </w:pPr>
                  <w:r>
                    <w:t xml:space="preserve">Age</w:t>
                  </w:r>
                </w:p>
              </w:tc>
              <w:tc>
                <w:tcPr/>
                <w:p>
                  <w:pPr>
                    <w:pStyle w:val="Compact"/>
                    <w:jc w:val="left"/>
                    <w:jc w:val="center"/>
                  </w:pPr>
                  <w:r>
                    <w:t xml:space="preserve">Survived</w:t>
                  </w:r>
                </w:p>
              </w:tc>
            </w:tr>
            <w:tr>
              <w:tc>
                <w:tcPr/>
                <w:p>
                  <w:pPr>
                    <w:pStyle w:val="Compact"/>
                    <w:jc w:val="right"/>
                    <w:jc w:val="center"/>
                  </w:pPr>
                  <w:r>
                    <w:t xml:space="preserve">1</w:t>
                  </w:r>
                </w:p>
              </w:tc>
              <w:tc>
                <w:tcPr/>
                <w:p>
                  <w:pPr>
                    <w:pStyle w:val="Compact"/>
                    <w:jc w:val="left"/>
                    <w:jc w:val="center"/>
                  </w:pPr>
                  <w:r>
                    <w:t xml:space="preserve">3rd</w:t>
                  </w:r>
                </w:p>
              </w:tc>
              <w:tc>
                <w:tcPr/>
                <w:p>
                  <w:pPr>
                    <w:pStyle w:val="Compact"/>
                    <w:jc w:val="left"/>
                    <w:jc w:val="center"/>
                  </w:pPr>
                  <w:r>
                    <w:t xml:space="preserve">Male</w:t>
                  </w:r>
                </w:p>
              </w:tc>
              <w:tc>
                <w:tcPr/>
                <w:p>
                  <w:pPr>
                    <w:pStyle w:val="Compact"/>
                    <w:jc w:val="left"/>
                    <w:jc w:val="center"/>
                  </w:pPr>
                  <w:r>
                    <w:t xml:space="preserve">Child</w:t>
                  </w:r>
                </w:p>
              </w:tc>
              <w:tc>
                <w:tcPr/>
                <w:p>
                  <w:pPr>
                    <w:pStyle w:val="Compact"/>
                    <w:jc w:val="left"/>
                    <w:jc w:val="center"/>
                  </w:pPr>
                  <w:r>
                    <w:t xml:space="preserve">No</w:t>
                  </w:r>
                </w:p>
              </w:tc>
            </w:tr>
            <w:tr>
              <w:tc>
                <w:tcPr/>
                <w:p>
                  <w:pPr>
                    <w:pStyle w:val="Compact"/>
                    <w:jc w:val="right"/>
                    <w:jc w:val="center"/>
                  </w:pPr>
                  <w:r>
                    <w:t xml:space="preserve">2</w:t>
                  </w:r>
                </w:p>
              </w:tc>
              <w:tc>
                <w:tcPr/>
                <w:p>
                  <w:pPr>
                    <w:pStyle w:val="Compact"/>
                    <w:jc w:val="left"/>
                    <w:jc w:val="center"/>
                  </w:pPr>
                  <w:r>
                    <w:t xml:space="preserve">3rd</w:t>
                  </w:r>
                </w:p>
              </w:tc>
              <w:tc>
                <w:tcPr/>
                <w:p>
                  <w:pPr>
                    <w:pStyle w:val="Compact"/>
                    <w:jc w:val="left"/>
                    <w:jc w:val="center"/>
                  </w:pPr>
                  <w:r>
                    <w:t xml:space="preserve">Male</w:t>
                  </w:r>
                </w:p>
              </w:tc>
              <w:tc>
                <w:tcPr/>
                <w:p>
                  <w:pPr>
                    <w:pStyle w:val="Compact"/>
                    <w:jc w:val="left"/>
                    <w:jc w:val="center"/>
                  </w:pPr>
                  <w:r>
                    <w:t xml:space="preserve">Child</w:t>
                  </w:r>
                </w:p>
              </w:tc>
              <w:tc>
                <w:tcPr/>
                <w:p>
                  <w:pPr>
                    <w:pStyle w:val="Compact"/>
                    <w:jc w:val="left"/>
                    <w:jc w:val="center"/>
                  </w:pPr>
                  <w:r>
                    <w:t xml:space="preserve">No</w:t>
                  </w:r>
                </w:p>
              </w:tc>
            </w:tr>
            <w:tr>
              <w:tc>
                <w:tcPr/>
                <w:p>
                  <w:pPr>
                    <w:pStyle w:val="Compact"/>
                    <w:jc w:val="right"/>
                    <w:jc w:val="center"/>
                  </w:pPr>
                  <w:r>
                    <w:t xml:space="preserve">3</w:t>
                  </w:r>
                </w:p>
              </w:tc>
              <w:tc>
                <w:tcPr/>
                <w:p>
                  <w:pPr>
                    <w:pStyle w:val="Compact"/>
                    <w:jc w:val="left"/>
                    <w:jc w:val="center"/>
                  </w:pPr>
                  <w:r>
                    <w:t xml:space="preserve">3rd</w:t>
                  </w:r>
                </w:p>
              </w:tc>
              <w:tc>
                <w:tcPr/>
                <w:p>
                  <w:pPr>
                    <w:pStyle w:val="Compact"/>
                    <w:jc w:val="left"/>
                    <w:jc w:val="center"/>
                  </w:pPr>
                  <w:r>
                    <w:t xml:space="preserve">Male</w:t>
                  </w:r>
                </w:p>
              </w:tc>
              <w:tc>
                <w:tcPr/>
                <w:p>
                  <w:pPr>
                    <w:pStyle w:val="Compact"/>
                    <w:jc w:val="left"/>
                    <w:jc w:val="center"/>
                  </w:pPr>
                  <w:r>
                    <w:t xml:space="preserve">Child</w:t>
                  </w:r>
                </w:p>
              </w:tc>
              <w:tc>
                <w:tcPr/>
                <w:p>
                  <w:pPr>
                    <w:pStyle w:val="Compact"/>
                    <w:jc w:val="left"/>
                    <w:jc w:val="center"/>
                  </w:pPr>
                  <w:r>
                    <w:t xml:space="preserve">No</w:t>
                  </w:r>
                </w:p>
              </w:tc>
            </w:tr>
            <w:tr>
              <w:tc>
                <w:tcPr/>
                <w:p>
                  <w:pPr>
                    <w:pStyle w:val="Compact"/>
                    <w:jc w:val="right"/>
                    <w:jc w:val="center"/>
                  </w:pPr>
                  <w:r>
                    <w:t xml:space="preserve">4</w:t>
                  </w:r>
                </w:p>
              </w:tc>
              <w:tc>
                <w:tcPr/>
                <w:p>
                  <w:pPr>
                    <w:pStyle w:val="Compact"/>
                    <w:jc w:val="left"/>
                    <w:jc w:val="center"/>
                  </w:pPr>
                  <w:r>
                    <w:t xml:space="preserve">3rd</w:t>
                  </w:r>
                </w:p>
              </w:tc>
              <w:tc>
                <w:tcPr/>
                <w:p>
                  <w:pPr>
                    <w:pStyle w:val="Compact"/>
                    <w:jc w:val="left"/>
                    <w:jc w:val="center"/>
                  </w:pPr>
                  <w:r>
                    <w:t xml:space="preserve">Male</w:t>
                  </w:r>
                </w:p>
              </w:tc>
              <w:tc>
                <w:tcPr/>
                <w:p>
                  <w:pPr>
                    <w:pStyle w:val="Compact"/>
                    <w:jc w:val="left"/>
                    <w:jc w:val="center"/>
                  </w:pPr>
                  <w:r>
                    <w:t xml:space="preserve">Child</w:t>
                  </w:r>
                </w:p>
              </w:tc>
              <w:tc>
                <w:tcPr/>
                <w:p>
                  <w:pPr>
                    <w:pStyle w:val="Compact"/>
                    <w:jc w:val="left"/>
                    <w:jc w:val="center"/>
                  </w:pPr>
                  <w:r>
                    <w:t xml:space="preserve">No</w:t>
                  </w:r>
                </w:p>
              </w:tc>
            </w:tr>
            <w:tr>
              <w:tc>
                <w:tcPr/>
                <w:p>
                  <w:pPr>
                    <w:pStyle w:val="Compact"/>
                    <w:jc w:val="right"/>
                    <w:jc w:val="center"/>
                  </w:pPr>
                  <w:r>
                    <w:t xml:space="preserve">5</w:t>
                  </w:r>
                </w:p>
              </w:tc>
              <w:tc>
                <w:tcPr/>
                <w:p>
                  <w:pPr>
                    <w:pStyle w:val="Compact"/>
                    <w:jc w:val="left"/>
                    <w:jc w:val="center"/>
                  </w:pPr>
                  <w:r>
                    <w:t xml:space="preserve">3rd</w:t>
                  </w:r>
                </w:p>
              </w:tc>
              <w:tc>
                <w:tcPr/>
                <w:p>
                  <w:pPr>
                    <w:pStyle w:val="Compact"/>
                    <w:jc w:val="left"/>
                    <w:jc w:val="center"/>
                  </w:pPr>
                  <w:r>
                    <w:t xml:space="preserve">Male</w:t>
                  </w:r>
                </w:p>
              </w:tc>
              <w:tc>
                <w:tcPr/>
                <w:p>
                  <w:pPr>
                    <w:pStyle w:val="Compact"/>
                    <w:jc w:val="left"/>
                    <w:jc w:val="center"/>
                  </w:pPr>
                  <w:r>
                    <w:t xml:space="preserve">Child</w:t>
                  </w:r>
                </w:p>
              </w:tc>
              <w:tc>
                <w:tcPr/>
                <w:p>
                  <w:pPr>
                    <w:pStyle w:val="Compact"/>
                    <w:jc w:val="left"/>
                    <w:jc w:val="center"/>
                  </w:pPr>
                  <w:r>
                    <w:t xml:space="preserve">No</w:t>
                  </w:r>
                </w:p>
              </w:tc>
            </w:tr>
            <w:tr>
              <w:tc>
                <w:tcPr/>
                <w:p>
                  <w:pPr>
                    <w:pStyle w:val="Compact"/>
                    <w:jc w:val="right"/>
                    <w:jc w:val="center"/>
                  </w:pPr>
                  <w:r>
                    <w:t xml:space="preserve">6</w:t>
                  </w:r>
                </w:p>
              </w:tc>
              <w:tc>
                <w:tcPr/>
                <w:p>
                  <w:pPr>
                    <w:pStyle w:val="Compact"/>
                    <w:jc w:val="left"/>
                    <w:jc w:val="center"/>
                  </w:pPr>
                  <w:r>
                    <w:t xml:space="preserve">3rd</w:t>
                  </w:r>
                </w:p>
              </w:tc>
              <w:tc>
                <w:tcPr/>
                <w:p>
                  <w:pPr>
                    <w:pStyle w:val="Compact"/>
                    <w:jc w:val="left"/>
                    <w:jc w:val="center"/>
                  </w:pPr>
                  <w:r>
                    <w:t xml:space="preserve">Male</w:t>
                  </w:r>
                </w:p>
              </w:tc>
              <w:tc>
                <w:tcPr/>
                <w:p>
                  <w:pPr>
                    <w:pStyle w:val="Compact"/>
                    <w:jc w:val="left"/>
                    <w:jc w:val="center"/>
                  </w:pPr>
                  <w:r>
                    <w:t xml:space="preserve">Child</w:t>
                  </w:r>
                </w:p>
              </w:tc>
              <w:tc>
                <w:tcPr/>
                <w:p>
                  <w:pPr>
                    <w:pStyle w:val="Compact"/>
                    <w:jc w:val="left"/>
                    <w:jc w:val="center"/>
                  </w:pPr>
                  <w:r>
                    <w:t xml:space="preserve">No</w:t>
                  </w:r>
                </w:p>
              </w:tc>
            </w:tr>
          </w:tbl>
          <w:bookmarkEnd w:id="20"/>
          <w:p/>
        </w:tc>
      </w:tr>
    </w:tbl>
    <w:bookmarkEnd w:id="21"/>
    <w:bookmarkStart w:id="27" w:name="descriptive-statistics"/>
    <w:p>
      <w:pPr>
        <w:pStyle w:val="Heading2"/>
      </w:pPr>
      <w:r>
        <w:t xml:space="preserve">Descriptive Statistics</w:t>
      </w:r>
    </w:p>
    <w:p>
      <w:pPr>
        <w:pStyle w:val="FirstParagraph"/>
      </w:pPr>
      <w:r>
        <w:t xml:space="preserve">The frequency distribution of</w:t>
      </w:r>
      <w:r>
        <w:t xml:space="preserve"> </w:t>
      </w:r>
      <w:r>
        <w:rPr>
          <w:rStyle w:val="VerbatimChar"/>
        </w:rPr>
        <w:t xml:space="preserve">Survived</w:t>
      </w:r>
      <w:r>
        <w:t xml:space="preserve"> </w:t>
      </w:r>
      <w:r>
        <w:t xml:space="preserve">when grouped according to</w:t>
      </w:r>
      <w:r>
        <w:t xml:space="preserve"> </w:t>
      </w:r>
      <w:r>
        <w:rPr>
          <w:rStyle w:val="VerbatimChar"/>
        </w:rPr>
        <w:t xml:space="preserve">Sex</w:t>
      </w:r>
      <w:r>
        <w:t xml:space="preserve"> </w:t>
      </w:r>
      <w:r>
        <w:t xml:space="preserve">is shown in</w:t>
      </w:r>
      <w:r>
        <w:t xml:space="preserve"> </w:t>
      </w:r>
      <w:hyperlink w:anchor="tbl-summary">
        <w:r>
          <w:rPr>
            <w:rStyle w:val="Hyperlink"/>
          </w:rPr>
          <w:t xml:space="preserve">Table 2</w:t>
        </w:r>
      </w:hyperlink>
      <w:r>
        <w:t xml:space="preserve">. Most of the passengers are male. The majority of female passengers survived, whereas the majority of male passengers did not. The number of survived passengers for both female and male are close, that is 344 and 367 respectively.</w:t>
      </w:r>
    </w:p>
    <w:tbl>
      <w:tblPr>
        <w:tblStyle w:val="Table"/>
        <w:tblW w:type="pct" w:w="5000"/>
        <w:tblLayout w:type="fixed"/>
        <w:tblLook w:firstRow="0" w:lastRow="0" w:firstColumn="0" w:lastColumn="0" w:noHBand="0" w:noVBand="0" w:val="0000"/>
      </w:tblPr>
      <w:tblGrid>
        <w:gridCol w:w="7920"/>
      </w:tblGrid>
      <w:tr>
        <w:tc>
          <w:tcPr/>
          <w:bookmarkStart w:id="22" w:name="tbl-summary"/>
          <w:p>
            <w:pPr>
              <w:jc w:val="center"/>
            </w:pPr>
            <w:pPr>
              <w:jc w:val="start"/>
              <w:spacing w:before="200"/>
              <w:pStyle w:val="ImageCaption"/>
            </w:pPr>
            <w:r>
              <w:t xml:space="preserve">Table 2: Summary statistics of</w:t>
            </w:r>
            <w:r>
              <w:t xml:space="preserve"> </w:t>
            </w:r>
            <w:r>
              <w:rPr>
                <w:rStyle w:val="VerbatimChar"/>
              </w:rPr>
              <w:t xml:space="preserve">Survived</w:t>
            </w:r>
            <w:r>
              <w:t xml:space="preserve"> </w:t>
            </w:r>
            <w:r>
              <w:t xml:space="preserve">when grouped according to</w:t>
            </w:r>
            <w:r>
              <w:t xml:space="preserve"> </w:t>
            </w:r>
            <w:r>
              <w:rPr>
                <w:rStyle w:val="VerbatimChar"/>
              </w:rPr>
              <w:t xml:space="preserve">Sex</w:t>
            </w:r>
            <w:r>
              <w:t xml:space="preserve">.</w:t>
            </w:r>
          </w:p>
          <w:tbl xmlns:w="http://schemas.openxmlformats.org/wordprocessingml/2006/main" xmlns:wp="http://schemas.openxmlformats.org/drawingml/2006/wordprocessingDrawing" xmlns:r="http://schemas.openxmlformats.org/officeDocument/2006/relationships" xmlns:w14="http://schemas.microsoft.com/office/word/2010/wordml">
            <w:tblPr>
              <w:tblCellMar>
                <w:top w:w="0" w:type="dxa"/>
                <w:bottom w:w="0" w:type="dxa"/>
                <w:start w:w="60" w:type="dxa"/>
                <w:end w:w="60" w:type="dxa"/>
              </w:tblCellMar>
              <w:tblW w:type="auto" w:w="0"/>
              <w:tblLook w:firstRow="0" w:lastRow="0" w:firstColumn="0" w:lastColumn="0" w:noHBand="0" w:noVBand="0"/>
              <w:jc w:val="center"/>
            </w:tblPr>
            <w:tr>
              <w:trPr>
                <w:cantSplit/>
                <w:tblHeader/>
              </w:trPr>
              <w:tc>
                <w:tcPr>
                  <w:tcBorders>
                    <w:top w:val="single" w:sz="16" w:space="0" w:color="D3D3D3"/>
                    <w:bottom w:val="single" w:sz="16" w:space="0" w:color="D3D3D3"/>
                    <w:start w:val="single" w:space="0" w:color="D3D3D3"/>
                  </w:tcBorders>
                </w:tcPr>
                <w:p>
                  <w:pPr>
                    <w:spacing w:before="0" w:after="60"/>
                    <w:keepNext/>
                    <w:jc w:val="start"/>
                  </w:pPr>
                  <w:r>
                    <w:rPr>
                      <w:b w:val="true"/>
                      <w:rFonts w:ascii="Calibri" w:hAnsi="Calibri"/>
                      <w:sz w:val="20"/>
                    </w:rPr>
                    <w:t xml:space="preserve">Characteristic</w:t>
                  </w:r>
                </w:p>
              </w:tc>
              <w:tc>
                <w:tcPr>
                  <w:tcBorders>
                    <w:top w:val="single" w:sz="16" w:space="0" w:color="D3D3D3"/>
                    <w:bottom w:val="single" w:sz="16" w:space="0" w:color="D3D3D3"/>
                  </w:tcBorders>
                </w:tcPr>
                <w:p>
                  <w:pPr>
                    <w:spacing w:before="0" w:after="60"/>
                    <w:keepNext/>
                    <w:jc w:val="center"/>
                  </w:pPr>
                  <w:r>
                    <w:rPr>
                      <w:b w:val="true"/>
                      <w:rFonts w:ascii="Calibri" w:hAnsi="Calibri"/>
                      <w:sz w:val="20"/>
                    </w:rPr>
                    <w:t xml:space="preserve">Female</w:t>
                  </w:r>
                  <w:r>
                    <w:rPr>
                      <w:rFonts w:ascii="Calibri" w:hAnsi="Calibri"/>
                      <w:sz w:val="20"/>
                    </w:rPr>
                    <w:t xml:space="preserve"/>
                  </w:r>
                  <w:r xmlns:w="http://schemas.openxmlformats.org/wordprocessingml/2006/main">
                    <w:rPr>
                      <w:rFonts w:ascii="Calibri" w:hAnsi="Calibri"/>
                      <w:sz w:val="20"/>
                    </w:rPr>
                    <w:t xml:space="preserve"> </w:t>
                  </w:r>
                  <w:r>
                    <w:rPr>
                      <w:rFonts w:ascii="Calibri" w:hAnsi="Calibri"/>
                      <w:sz w:val="20"/>
                    </w:rPr>
                    <w:t xml:space="preserve">N = 470</w:t>
                  </w:r>
                  <w:r>
                    <w:rPr>
                      <w:vertAlign w:val="superscript"/>
                      <w:i/>
                      <w:rFonts w:ascii="Calibri" w:hAnsi="Calibri"/>
                      <w:sz w:val="20"/>
                    </w:rPr>
                    <w:t xml:space="default">1</w:t>
                  </w:r>
                </w:p>
              </w:tc>
              <w:tc>
                <w:tcPr>
                  <w:tcBorders>
                    <w:top w:val="single" w:sz="16" w:space="0" w:color="D3D3D3"/>
                    <w:bottom w:val="single" w:sz="16" w:space="0" w:color="D3D3D3"/>
                    <w:end w:val="single" w:space="0" w:color="D3D3D3"/>
                  </w:tcBorders>
                </w:tcPr>
                <w:p>
                  <w:pPr>
                    <w:spacing w:before="0" w:after="60"/>
                    <w:keepNext/>
                    <w:jc w:val="center"/>
                  </w:pPr>
                  <w:r>
                    <w:rPr>
                      <w:b w:val="true"/>
                      <w:rFonts w:ascii="Calibri" w:hAnsi="Calibri"/>
                      <w:sz w:val="20"/>
                    </w:rPr>
                    <w:t xml:space="preserve">Male</w:t>
                  </w:r>
                  <w:r>
                    <w:rPr>
                      <w:rFonts w:ascii="Calibri" w:hAnsi="Calibri"/>
                      <w:sz w:val="20"/>
                    </w:rPr>
                    <w:t xml:space="preserve"/>
                  </w:r>
                  <w:r xmlns:w="http://schemas.openxmlformats.org/wordprocessingml/2006/main">
                    <w:rPr>
                      <w:rFonts w:ascii="Calibri" w:hAnsi="Calibri"/>
                      <w:sz w:val="20"/>
                    </w:rPr>
                    <w:t xml:space="preserve"> </w:t>
                  </w:r>
                  <w:r>
                    <w:rPr>
                      <w:rFonts w:ascii="Calibri" w:hAnsi="Calibri"/>
                      <w:sz w:val="20"/>
                    </w:rPr>
                    <w:t xml:space="preserve">N = 1,731</w:t>
                  </w:r>
                  <w:r>
                    <w:rPr>
                      <w:vertAlign w:val="superscript"/>
                      <w:i/>
                      <w:rFonts w:ascii="Calibri" w:hAnsi="Calibri"/>
                      <w:sz w:val="20"/>
                    </w:rPr>
                    <w:t xml:space="default">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Survived</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344 (73%)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367 (21%)</w:t>
                  </w:r>
                </w:p>
              </w:tc>
            </w:tr>
            <w:tr>
              <w:trPr>
                <w:cantSplit/>
              </w:trPr>
              <w:tc>
                <w:tcPr>
                  <w:gridSpan w:val="3"/>
                </w:tcPr>
                <w:p>
                  <w:pPr>
                    <w:spacing w:before="0" w:after="60"/>
                    <w:keepNext/>
                  </w:pPr>
                  <w:r>
                    <w:rPr>
                      <w:vertAlign w:val="superscript"/>
                      <w:i/>
                      <w:rFonts w:ascii="Calibri" w:hAnsi="Calibri"/>
                      <w:sz w:val="20"/>
                    </w:rPr>
                    <w:t xml:space="default">1</w:t>
                  </w:r>
                  <w:r>
                    <w:rPr>
                      <w:rFonts w:ascii="Calibri" w:hAnsi="Calibri"/>
                      <w:sz w:val="20"/>
                    </w:rPr>
                    <w:t xml:space="default">n (%)</w:t>
                  </w:r>
                </w:p>
              </w:tc>
            </w:tr>
          </w:tbl>
          <w:bookmarkEnd w:id="22"/>
        </w:tc>
      </w:tr>
    </w:tbl>
    <w:p>
      <w:pPr>
        <w:pStyle w:val="BodyText"/>
      </w:pPr>
      <w:r>
        <w:t xml:space="preserve">A stacked bar graph of Survived and Sex is shown in</w:t>
      </w:r>
      <w:r>
        <w:t xml:space="preserve"> </w:t>
      </w:r>
      <w:hyperlink w:anchor="fig-viz">
        <w:r>
          <w:rPr>
            <w:rStyle w:val="Hyperlink"/>
          </w:rPr>
          <w:t xml:space="preserve">Figure 1</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26" w:name="fig-viz"/>
          <w:p>
            <w:pPr>
              <w:pStyle w:val="Compact"/>
              <w:jc w:val="center"/>
            </w:pPr>
            <w:r>
              <w:drawing>
                <wp:inline>
                  <wp:extent cx="4620126" cy="2772075"/>
                  <wp:effectExtent b="0" l="0" r="0" t="0"/>
                  <wp:docPr descr="" title="" id="24" name="Picture"/>
                  <a:graphic>
                    <a:graphicData uri="http://schemas.openxmlformats.org/drawingml/2006/picture">
                      <pic:pic>
                        <pic:nvPicPr>
                          <pic:cNvPr descr="excel-two-variables-categorical_files/figure-docx/fig-viz-1.png" id="25" name="Picture"/>
                          <pic:cNvPicPr>
                            <a:picLocks noChangeArrowheads="1" noChangeAspect="1"/>
                          </pic:cNvPicPr>
                        </pic:nvPicPr>
                        <pic:blipFill>
                          <a:blip r:embed="rId23"/>
                          <a:stretch>
                            <a:fillRect/>
                          </a:stretch>
                        </pic:blipFill>
                        <pic:spPr bwMode="auto">
                          <a:xfrm>
                            <a:off x="0" y="0"/>
                            <a:ext cx="4620126" cy="2772075"/>
                          </a:xfrm>
                          <a:prstGeom prst="rect">
                            <a:avLst/>
                          </a:prstGeom>
                          <a:noFill/>
                          <a:ln w="9525">
                            <a:noFill/>
                            <a:headEnd/>
                            <a:tailEnd/>
                          </a:ln>
                        </pic:spPr>
                      </pic:pic>
                    </a:graphicData>
                  </a:graphic>
                </wp:inline>
              </w:drawing>
            </w:r>
          </w:p>
          <w:p>
            <w:pPr>
              <w:jc w:val="center"/>
            </w:pPr>
            <w:pPr>
              <w:jc w:val="start"/>
              <w:spacing w:before="200"/>
              <w:pStyle w:val="ImageCaption"/>
            </w:pPr>
            <w:r>
              <w:t xml:space="preserve">Figure 1: Survival by Sex</w:t>
            </w:r>
          </w:p>
          <w:bookmarkEnd w:id="26"/>
        </w:tc>
      </w:tr>
    </w:tbl>
    <w:bookmarkEnd w:id="27"/>
    <w:bookmarkEnd w:id="28"/>
    <w:bookmarkStart w:id="34" w:name="hypothesis-testing"/>
    <w:p>
      <w:pPr>
        <w:pStyle w:val="Heading1"/>
      </w:pPr>
      <w:r>
        <w:t xml:space="preserve">Hypothesis Testing</w:t>
      </w:r>
    </w:p>
    <w:bookmarkStart w:id="29" w:name="research-question"/>
    <w:p>
      <w:pPr>
        <w:pStyle w:val="Heading2"/>
      </w:pPr>
      <w:r>
        <w:t xml:space="preserve">Research Question</w:t>
      </w:r>
    </w:p>
    <w:p>
      <w:pPr>
        <w:pStyle w:val="FirstParagraph"/>
      </w:pPr>
      <w:r>
        <w:t xml:space="preserve">Does a passenger’s sex affect their survival status?</w:t>
      </w:r>
    </w:p>
    <w:bookmarkEnd w:id="29"/>
    <w:bookmarkStart w:id="31" w:name="hypothesis-and-test-statistics"/>
    <w:p>
      <w:pPr>
        <w:pStyle w:val="Heading2"/>
      </w:pPr>
      <w:r>
        <w:t xml:space="preserve">Hypothesis and Test Statistics</w:t>
      </w:r>
    </w:p>
    <w:p>
      <w:pPr>
        <w:numPr>
          <w:ilvl w:val="0"/>
          <w:numId w:val="1002"/>
        </w:numPr>
      </w:pPr>
      <m:oMath>
        <m:sSub>
          <m:e>
            <m:r>
              <m:t>H</m:t>
            </m:r>
          </m:e>
          <m:sub>
            <m:r>
              <m:t>0</m:t>
            </m:r>
          </m:sub>
        </m:sSub>
        <m:r>
          <m:rPr>
            <m:sty m:val="p"/>
          </m:rPr>
          <m:t>:</m:t>
        </m:r>
        <m:sSub>
          <m:e>
            <m:r>
              <m:t>p</m:t>
            </m:r>
          </m:e>
          <m:sub>
            <m:r>
              <m:t>S</m:t>
            </m:r>
            <m:r>
              <m:t>u</m:t>
            </m:r>
            <m:r>
              <m:t>r</m:t>
            </m:r>
            <m:r>
              <m:t>v</m:t>
            </m:r>
            <m:r>
              <m:t>i</m:t>
            </m:r>
            <m:r>
              <m:t>v</m:t>
            </m:r>
            <m:r>
              <m:t>e</m:t>
            </m:r>
            <m:r>
              <m:t>d</m:t>
            </m:r>
          </m:sub>
        </m:sSub>
        <m:r>
          <m:rPr>
            <m:sty m:val="p"/>
          </m:rPr>
          <m:t>−</m:t>
        </m:r>
        <m:sSub>
          <m:e>
            <m:r>
              <m:t>p</m:t>
            </m:r>
          </m:e>
          <m:sub>
            <m:r>
              <m:t>S</m:t>
            </m:r>
            <m:r>
              <m:t>e</m:t>
            </m:r>
            <m:r>
              <m:t>x</m:t>
            </m:r>
          </m:sub>
        </m:sSub>
        <m:r>
          <m:rPr>
            <m:sty m:val="p"/>
          </m:rPr>
          <m:t>=</m:t>
        </m:r>
        <m:r>
          <m:t>0</m:t>
        </m:r>
      </m:oMath>
      <w:r>
        <w:t xml:space="preserve">; passenger’s sex does not affect their survival status.</w:t>
      </w:r>
    </w:p>
    <w:p>
      <w:pPr>
        <w:numPr>
          <w:ilvl w:val="0"/>
          <w:numId w:val="1002"/>
        </w:numPr>
      </w:pPr>
      <m:oMath>
        <m:sSub>
          <m:e>
            <m:r>
              <m:t>H</m:t>
            </m:r>
          </m:e>
          <m:sub>
            <m:r>
              <m:t>a</m:t>
            </m:r>
          </m:sub>
        </m:sSub>
        <m:r>
          <m:rPr>
            <m:sty m:val="p"/>
          </m:rPr>
          <m:t>:</m:t>
        </m:r>
        <m:sSub>
          <m:e>
            <m:r>
              <m:t>p</m:t>
            </m:r>
          </m:e>
          <m:sub>
            <m:r>
              <m:t>S</m:t>
            </m:r>
            <m:r>
              <m:t>u</m:t>
            </m:r>
            <m:r>
              <m:t>r</m:t>
            </m:r>
            <m:r>
              <m:t>v</m:t>
            </m:r>
            <m:r>
              <m:t>i</m:t>
            </m:r>
            <m:r>
              <m:t>v</m:t>
            </m:r>
            <m:r>
              <m:t>e</m:t>
            </m:r>
            <m:r>
              <m:t>d</m:t>
            </m:r>
          </m:sub>
        </m:sSub>
        <m:r>
          <m:rPr>
            <m:sty m:val="p"/>
          </m:rPr>
          <m:t>−</m:t>
        </m:r>
        <m:sSub>
          <m:e>
            <m:r>
              <m:t>p</m:t>
            </m:r>
          </m:e>
          <m:sub>
            <m:r>
              <m:t>S</m:t>
            </m:r>
            <m:r>
              <m:t>e</m:t>
            </m:r>
            <m:r>
              <m:t>x</m:t>
            </m:r>
          </m:sub>
        </m:sSub>
        <m:r>
          <m:rPr>
            <m:sty m:val="p"/>
          </m:rPr>
          <m:t>≠</m:t>
        </m:r>
        <m:r>
          <m:t>0</m:t>
        </m:r>
      </m:oMath>
      <w:r>
        <w:t xml:space="preserve">; passenger’s sex affects their survival status.</w:t>
      </w:r>
    </w:p>
    <w:p>
      <w:pPr>
        <w:numPr>
          <w:ilvl w:val="0"/>
          <w:numId w:val="1002"/>
        </w:numPr>
      </w:pPr>
      <w:r>
        <w:t xml:space="preserve">Significance level,</w:t>
      </w:r>
      <w:r>
        <w:t xml:space="preserve"> </w:t>
      </w:r>
      <m:oMath>
        <m:r>
          <m:t>α</m:t>
        </m:r>
        <m:r>
          <m:rPr>
            <m:sty m:val="p"/>
          </m:rPr>
          <m:t>=</m:t>
        </m:r>
        <m:r>
          <m:t>5</m:t>
        </m:r>
        <m:r>
          <m:rPr>
            <m:sty m:val="p"/>
          </m:rPr>
          <m:t>%</m:t>
        </m:r>
      </m:oMath>
      <w:r>
        <w:t xml:space="preserve">.</w:t>
      </w:r>
    </w:p>
    <w:p>
      <w:pPr>
        <w:numPr>
          <w:ilvl w:val="0"/>
          <w:numId w:val="1002"/>
        </w:numPr>
      </w:pPr>
      <w:r>
        <w:rPr>
          <w:b/>
          <w:bCs/>
        </w:rPr>
        <w:t xml:space="preserve">Pearson’s</w:t>
      </w:r>
      <w:r>
        <w:rPr>
          <w:b/>
          <w:bCs/>
        </w:rPr>
        <w:t xml:space="preserve"> </w:t>
      </w:r>
      <m:oMath>
        <m:sSup>
          <m:e>
            <m:r>
              <m:t>χ</m:t>
            </m:r>
          </m:e>
          <m:sup>
            <m:r>
              <m:t>2</m:t>
            </m:r>
          </m:sup>
        </m:sSup>
      </m:oMath>
      <w:r>
        <w:rPr>
          <w:b/>
          <w:bCs/>
        </w:rPr>
        <w:t xml:space="preserve">-test of independence</w:t>
      </w:r>
    </w:p>
    <w:p>
      <w:pPr>
        <w:numPr>
          <w:ilvl w:val="0"/>
          <w:numId w:val="1002"/>
        </w:numPr>
      </w:pPr>
      <w:r>
        <w:t xml:space="preserve">Independence.</w:t>
      </w:r>
    </w:p>
    <w:p>
      <w:pPr>
        <w:numPr>
          <w:ilvl w:val="0"/>
          <w:numId w:val="1002"/>
        </w:numPr>
      </w:pPr>
      <w:r>
        <w:t xml:space="preserve">Expected counts: all expected counts are</w:t>
      </w:r>
      <w:r>
        <w:t xml:space="preserve"> </w:t>
      </w:r>
      <m:oMath>
        <m:r>
          <m:rPr>
            <m:sty m:val="p"/>
          </m:rPr>
          <m:t>≥</m:t>
        </m:r>
        <m:r>
          <m:t>5</m:t>
        </m:r>
      </m:oMath>
      <w:r>
        <w:t xml:space="preserve"> </w:t>
      </w:r>
      <w:r>
        <w:t xml:space="preserve">(see</w:t>
      </w:r>
      <w:r>
        <w:t xml:space="preserve"> </w:t>
      </w:r>
      <w:hyperlink w:anchor="tbl-expected">
        <w:r>
          <w:rPr>
            <w:rStyle w:val="Hyperlink"/>
          </w:rPr>
          <w:t xml:space="preserve">Table 3</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30" w:name="tbl-expected"/>
          <w:p>
            <w:pPr>
              <w:jc w:val="center"/>
            </w:pPr>
            <w:pPr>
              <w:jc w:val="start"/>
              <w:spacing w:before="200"/>
              <w:pStyle w:val="ImageCaption"/>
            </w:pPr>
            <w:r>
              <w:t xml:space="preserve">Table 3: Expected counts.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jc w:val="right"/>
                    <w:jc w:val="center"/>
                  </w:pPr>
                  <w:r>
                    <w:t xml:space="preserve">Female</w:t>
                  </w:r>
                </w:p>
              </w:tc>
              <w:tc>
                <w:tcPr/>
                <w:p>
                  <w:pPr>
                    <w:pStyle w:val="Compact"/>
                    <w:jc w:val="right"/>
                    <w:jc w:val="center"/>
                  </w:pPr>
                  <w:r>
                    <w:t xml:space="preserve">Male</w:t>
                  </w:r>
                </w:p>
              </w:tc>
            </w:tr>
            <w:tr>
              <w:tc>
                <w:tcPr/>
                <w:p>
                  <w:pPr>
                    <w:pStyle w:val="Compact"/>
                    <w:jc w:val="left"/>
                    <w:jc w:val="center"/>
                  </w:pPr>
                  <w:r>
                    <w:t xml:space="preserve">No</w:t>
                  </w:r>
                </w:p>
              </w:tc>
              <w:tc>
                <w:tcPr/>
                <w:p>
                  <w:pPr>
                    <w:pStyle w:val="Compact"/>
                    <w:jc w:val="right"/>
                    <w:jc w:val="center"/>
                  </w:pPr>
                  <w:r>
                    <w:t xml:space="preserve">318.17</w:t>
                  </w:r>
                </w:p>
              </w:tc>
              <w:tc>
                <w:tcPr/>
                <w:p>
                  <w:pPr>
                    <w:pStyle w:val="Compact"/>
                    <w:jc w:val="right"/>
                    <w:jc w:val="center"/>
                  </w:pPr>
                  <w:r>
                    <w:t xml:space="preserve">1171.83</w:t>
                  </w:r>
                </w:p>
              </w:tc>
            </w:tr>
            <w:tr>
              <w:tc>
                <w:tcPr/>
                <w:p>
                  <w:pPr>
                    <w:pStyle w:val="Compact"/>
                    <w:jc w:val="left"/>
                    <w:jc w:val="center"/>
                  </w:pPr>
                  <w:r>
                    <w:t xml:space="preserve">Yes</w:t>
                  </w:r>
                </w:p>
              </w:tc>
              <w:tc>
                <w:tcPr/>
                <w:p>
                  <w:pPr>
                    <w:pStyle w:val="Compact"/>
                    <w:jc w:val="right"/>
                    <w:jc w:val="center"/>
                  </w:pPr>
                  <w:r>
                    <w:t xml:space="preserve">151.83</w:t>
                  </w:r>
                </w:p>
              </w:tc>
              <w:tc>
                <w:tcPr/>
                <w:p>
                  <w:pPr>
                    <w:pStyle w:val="Compact"/>
                    <w:jc w:val="right"/>
                    <w:jc w:val="center"/>
                  </w:pPr>
                  <w:r>
                    <w:t xml:space="preserve">559.17</w:t>
                  </w:r>
                </w:p>
              </w:tc>
            </w:tr>
          </w:tbl>
          <w:bookmarkEnd w:id="30"/>
          <w:p/>
        </w:tc>
      </w:tr>
    </w:tbl>
    <w:bookmarkEnd w:id="31"/>
    <w:bookmarkStart w:id="33" w:name="results-and-interpretation"/>
    <w:p>
      <w:pPr>
        <w:pStyle w:val="Heading2"/>
      </w:pPr>
      <w:r>
        <w:t xml:space="preserve">Results and Interpretation</w:t>
      </w:r>
    </w:p>
    <w:p>
      <w:pPr>
        <w:pStyle w:val="FirstParagraph"/>
      </w:pPr>
      <w:r>
        <w:t xml:space="preserve">The test statistics is shown on</w:t>
      </w:r>
      <w:r>
        <w:t xml:space="preserve"> </w:t>
      </w:r>
      <w:hyperlink w:anchor="tbl-stats">
        <w:r>
          <w:rPr>
            <w:rStyle w:val="Hyperlink"/>
          </w:rPr>
          <w:t xml:space="preserve">Table 4</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32" w:name="tbl-stats"/>
          <w:p>
            <w:pPr>
              <w:jc w:val="center"/>
            </w:pPr>
            <w:pPr>
              <w:jc w:val="start"/>
              <w:spacing w:before="200"/>
              <w:pStyle w:val="ImageCaption"/>
            </w:pPr>
            <w:r>
              <w:t xml:space="preserve">Table 4: Test statistics.</w:t>
            </w:r>
          </w:p>
          <w:tbl>
            <w:tblPr>
              <w:tblStyle w:val="Table"/>
              <w:tblW w:type="pct" w:w="5000"/>
              <w:tblLayout w:type="fixed"/>
              <w:tblLook w:firstRow="1" w:lastRow="0" w:firstColumn="0" w:lastColumn="0" w:noHBand="0" w:noVBand="0" w:val="0020"/>
            </w:tblPr>
            <w:tblGrid>
              <w:gridCol w:w="965"/>
              <w:gridCol w:w="772"/>
              <w:gridCol w:w="289"/>
              <w:gridCol w:w="5891"/>
            </w:tblGrid>
            <w:tr>
              <w:trPr>
                <w:tblHeader w:val="on"/>
              </w:trPr>
              <w:tc>
                <w:tcPr/>
                <w:p>
                  <w:pPr>
                    <w:pStyle w:val="Compact"/>
                    <w:jc w:val="right"/>
                    <w:jc w:val="center"/>
                  </w:pPr>
                  <w:r>
                    <w:t xml:space="preserve">statistic</w:t>
                  </w:r>
                </w:p>
              </w:tc>
              <w:tc>
                <w:tcPr/>
                <w:p>
                  <w:pPr>
                    <w:pStyle w:val="Compact"/>
                    <w:jc w:val="right"/>
                    <w:jc w:val="center"/>
                  </w:pPr>
                  <w:r>
                    <w:t xml:space="preserve">p.value</w:t>
                  </w:r>
                </w:p>
              </w:tc>
              <w:tc>
                <w:tcPr/>
                <w:p>
                  <w:pPr>
                    <w:pStyle w:val="Compact"/>
                    <w:jc w:val="right"/>
                    <w:jc w:val="center"/>
                  </w:pPr>
                  <w:r>
                    <w:t xml:space="preserve">df</w:t>
                  </w:r>
                </w:p>
              </w:tc>
              <w:tc>
                <w:tcPr/>
                <w:p>
                  <w:pPr>
                    <w:pStyle w:val="Compact"/>
                    <w:jc w:val="left"/>
                    <w:jc w:val="center"/>
                  </w:pPr>
                  <w:r>
                    <w:t xml:space="preserve">method</w:t>
                  </w:r>
                </w:p>
              </w:tc>
            </w:tr>
            <w:tr>
              <w:tc>
                <w:tcPr/>
                <w:p>
                  <w:pPr>
                    <w:pStyle w:val="Compact"/>
                    <w:jc w:val="right"/>
                    <w:jc w:val="center"/>
                  </w:pPr>
                  <w:r>
                    <w:t xml:space="preserve">454.5</w:t>
                  </w:r>
                </w:p>
              </w:tc>
              <w:tc>
                <w:tcPr/>
                <w:p>
                  <w:pPr>
                    <w:pStyle w:val="Compact"/>
                    <w:jc w:val="right"/>
                    <w:jc w:val="center"/>
                  </w:pPr>
                  <w:r>
                    <w:t xml:space="preserve">0</w:t>
                  </w:r>
                </w:p>
              </w:tc>
              <w:tc>
                <w:tcPr/>
                <w:p>
                  <w:pPr>
                    <w:pStyle w:val="Compact"/>
                    <w:jc w:val="right"/>
                    <w:jc w:val="center"/>
                  </w:pPr>
                  <w:r>
                    <w:t xml:space="preserve">1</w:t>
                  </w:r>
                </w:p>
              </w:tc>
              <w:tc>
                <w:tcPr/>
                <w:p>
                  <w:pPr>
                    <w:pStyle w:val="Compact"/>
                    <w:jc w:val="left"/>
                    <w:jc w:val="center"/>
                  </w:pPr>
                  <w:r>
                    <w:t xml:space="preserve">Pearson’s Chi-squared test with Yates’ continuity correction</w:t>
                  </w:r>
                </w:p>
              </w:tc>
            </w:tr>
          </w:tbl>
          <w:bookmarkEnd w:id="32"/>
          <w:p/>
        </w:tc>
      </w:tr>
    </w:tbl>
    <w:p>
      <w:pPr>
        <w:pStyle w:val="BodyText"/>
      </w:pPr>
      <w:r>
        <w:t xml:space="preserve">Based on the</w:t>
      </w:r>
      <w:r>
        <w:t xml:space="preserve"> </w:t>
      </w:r>
      <w:r>
        <w:rPr>
          <w:i/>
          <w:iCs/>
        </w:rPr>
        <w:t xml:space="preserve">p</w:t>
      </w:r>
      <w:r>
        <w:t xml:space="preserve">-value being lesser than 5% (</w:t>
      </w:r>
      <w:r>
        <w:rPr>
          <w:i/>
          <w:iCs/>
        </w:rPr>
        <w:t xml:space="preserve">p</w:t>
      </w:r>
      <w:r>
        <w:t xml:space="preserve">-value = .001), we reject the null hypothesis. There is a strong evidence that passenger’s sex affects their survival status.</w:t>
      </w:r>
    </w:p>
    <w:bookmarkEnd w:id="33"/>
    <w:bookmarkEnd w:id="34"/>
    <w:sectPr w:rsidR="00AC5A0E">
      <w:pgSz w:h="15840" w:w="12240"/>
      <w:pgMar w:bottom="1440" w:footer="720" w:gutter="0" w:header="720" w:left="1440" w:right="1440" w:top="1440"/>
      <w:cols w:space="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du wp14">
  <w:abstractNum w15:restartNumberingAfterBreak="0" w:abstractNumId="0">
    <w:nsid w:val="0000A990"/>
    <w:multiLevelType w:val="multilevel"/>
    <w:tmpl w:val="499EBE52"/>
    <w:lvl w:ilvl="0">
      <w:numFmt w:val="bullet"/>
      <w:lvlText w:val=" "/>
      <w:lvlJc w:val="left"/>
      <w:pPr>
        <w:ind w:hanging="360" w:left="720"/>
      </w:pPr>
    </w:lvl>
    <w:lvl w:ilvl="1">
      <w:numFmt w:val="bullet"/>
      <w:lvlText w:val=" "/>
      <w:lvlJc w:val="left"/>
      <w:pPr>
        <w:ind w:hanging="360" w:left="1440"/>
      </w:pPr>
    </w:lvl>
    <w:lvl w:ilvl="2">
      <w:numFmt w:val="bullet"/>
      <w:lvlText w:val=" "/>
      <w:lvlJc w:val="left"/>
      <w:pPr>
        <w:ind w:hanging="360" w:left="2160"/>
      </w:pPr>
    </w:lvl>
    <w:lvl w:ilvl="3">
      <w:numFmt w:val="bullet"/>
      <w:lvlText w:val=" "/>
      <w:lvlJc w:val="left"/>
      <w:pPr>
        <w:ind w:hanging="360" w:left="2880"/>
      </w:pPr>
    </w:lvl>
    <w:lvl w:ilvl="4">
      <w:numFmt w:val="bullet"/>
      <w:lvlText w:val=" "/>
      <w:lvlJc w:val="left"/>
      <w:pPr>
        <w:ind w:hanging="360" w:left="3600"/>
      </w:pPr>
    </w:lvl>
    <w:lvl w:ilvl="5">
      <w:numFmt w:val="bullet"/>
      <w:lvlText w:val=" "/>
      <w:lvlJc w:val="left"/>
      <w:pPr>
        <w:ind w:hanging="360" w:left="4320"/>
      </w:pPr>
    </w:lvl>
    <w:lvl w:ilvl="6">
      <w:numFmt w:val="bullet"/>
      <w:lvlText w:val=" "/>
      <w:lvlJc w:val="left"/>
      <w:pPr>
        <w:ind w:hanging="360" w:left="5040"/>
      </w:pPr>
    </w:lvl>
    <w:lvl w:ilvl="7">
      <w:numFmt w:val="bullet"/>
      <w:lvlText w:val=" "/>
      <w:lvlJc w:val="left"/>
      <w:pPr>
        <w:ind w:hanging="360" w:left="5760"/>
      </w:pPr>
    </w:lvl>
    <w:lvl w:ilvl="8">
      <w:numFmt w:val="bullet"/>
      <w:lvlText w:val=" "/>
      <w:lvlJc w:val="left"/>
      <w:pPr>
        <w:ind w:hanging="360" w:left="6480"/>
      </w:pPr>
    </w:lvl>
  </w:abstractNum>
  <w:abstractNum w15:restartNumberingAfterBreak="0" w:abstractNumId="1">
    <w:nsid w:val="0000A991"/>
    <w:multiLevelType w:val="multilevel"/>
    <w:tmpl w:val="43E2B224"/>
    <w:lvl w:ilvl="0">
      <w:numFmt w:val="bullet"/>
      <w:lvlText w:val=""/>
      <w:lvlJc w:val="left"/>
      <w:pPr>
        <w:ind w:hanging="360" w:left="720"/>
      </w:pPr>
      <w:rPr>
        <w:rFonts w:ascii="Symbol" w:cs="Symbol" w:hAnsi="Symbol" w:hint="default"/>
      </w:rPr>
    </w:lvl>
    <w:lvl w:ilvl="1">
      <w:numFmt w:val="bullet"/>
      <w:lvlText w:val="o"/>
      <w:lvlJc w:val="left"/>
      <w:pPr>
        <w:ind w:hanging="360" w:left="1440"/>
      </w:pPr>
      <w:rPr>
        <w:rFonts w:ascii="Courier New" w:cs="Courier New" w:hAnsi="Courier New" w:hint="default"/>
      </w:rPr>
    </w:lvl>
    <w:lvl w:ilvl="2">
      <w:numFmt w:val="bullet"/>
      <w:lvlText w:val=""/>
      <w:lvlJc w:val="left"/>
      <w:pPr>
        <w:ind w:hanging="360" w:left="2160"/>
      </w:pPr>
      <w:rPr>
        <w:rFonts w:ascii="Wingdings" w:cs="Wingdings" w:hAnsi="Wingdings" w:hint="default"/>
      </w:rPr>
    </w:lvl>
    <w:lvl w:ilvl="3">
      <w:numFmt w:val="bullet"/>
      <w:lvlText w:val=""/>
      <w:lvlJc w:val="left"/>
      <w:pPr>
        <w:ind w:hanging="360" w:left="2880"/>
      </w:pPr>
      <w:rPr>
        <w:rFonts w:ascii="Symbol" w:cs="Symbol" w:hAnsi="Symbol" w:hint="default"/>
      </w:rPr>
    </w:lvl>
    <w:lvl w:ilvl="4">
      <w:numFmt w:val="bullet"/>
      <w:lvlText w:val="o"/>
      <w:lvlJc w:val="left"/>
      <w:pPr>
        <w:ind w:hanging="360" w:left="3600"/>
      </w:pPr>
      <w:rPr>
        <w:rFonts w:ascii="Courier New" w:cs="Courier New" w:hAnsi="Courier New" w:hint="default"/>
      </w:rPr>
    </w:lvl>
    <w:lvl w:ilvl="5">
      <w:numFmt w:val="bullet"/>
      <w:lvlText w:val=""/>
      <w:lvlJc w:val="left"/>
      <w:pPr>
        <w:ind w:hanging="360" w:left="4320"/>
      </w:pPr>
      <w:rPr>
        <w:rFonts w:ascii="Wingdings" w:cs="Wingdings" w:hAnsi="Wingdings" w:hint="default"/>
      </w:rPr>
    </w:lvl>
    <w:lvl w:ilvl="6">
      <w:numFmt w:val="bullet"/>
      <w:lvlText w:val=""/>
      <w:lvlJc w:val="left"/>
      <w:pPr>
        <w:ind w:hanging="360" w:left="5040"/>
      </w:pPr>
      <w:rPr>
        <w:rFonts w:ascii="Symbol" w:cs="Symbol" w:hAnsi="Symbol" w:hint="default"/>
      </w:rPr>
    </w:lvl>
    <w:lvl w:ilvl="7">
      <w:numFmt w:val="bullet"/>
      <w:lvlText w:val="o"/>
      <w:lvlJc w:val="left"/>
      <w:pPr>
        <w:ind w:hanging="360" w:left="5760"/>
      </w:pPr>
      <w:rPr>
        <w:rFonts w:ascii="Courier New" w:cs="Courier New" w:hAnsi="Courier New" w:hint="default"/>
      </w:rPr>
    </w:lvl>
    <w:lvl w:ilvl="8">
      <w:numFmt w:val="bullet"/>
      <w:lvlText w:val=""/>
      <w:lvlJc w:val="left"/>
      <w:pPr>
        <w:ind w:hanging="360" w:left="6480"/>
      </w:pPr>
      <w:rPr>
        <w:rFonts w:ascii="Wingdings" w:cs="Wingdings" w:hAnsi="Wingdings"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1140608718" w:numId="1">
    <w:abstractNumId w:val="0"/>
  </w:num>
  <w:num w16cid:durableId="1918515188" w:numId="2">
    <w:abstractNumId w:val="1"/>
  </w:num>
  <w:num w16cid:durableId="1620574564" w:numId="3">
    <w:abstractNumId w:val="1"/>
  </w:num>
  <w:num w16cid:durableId="1481191538" w:numId="4">
    <w:abstractNumId w:val="0"/>
  </w:num>
  <w:num w16cid:durableId="1032878528" w:numId="5">
    <w:abstractNumId w:val="1"/>
  </w:num>
  <w:num w16cid:durableId="2076050468" w:numId="6">
    <w:abstractNumId w:val="1"/>
  </w:num>
  <w:num w16cid:durableId="1834757608" w:numId="7">
    <w:abstractNumId w:val="0"/>
  </w:num>
  <w:num w16cid:durableId="1228876094" w:numId="8">
    <w:abstractNumId w:val="1"/>
  </w:num>
  <w:num w16cid:durableId="2001421163" w:numId="9">
    <w:abstractNumId w:val="1"/>
  </w: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74511"/>
    <w:rsid w:val="00074511"/>
    <w:rsid w:val="00177ED0"/>
    <w:rsid w:val="002D5571"/>
    <w:rsid w:val="00460DA7"/>
    <w:rsid w:val="004B47B0"/>
    <w:rsid w:val="005A072B"/>
    <w:rsid w:val="005E7474"/>
    <w:rsid w:val="00612027"/>
    <w:rsid w:val="0071123D"/>
    <w:rsid w:val="00721460"/>
    <w:rsid w:val="007866B4"/>
    <w:rsid w:val="007C2B81"/>
    <w:rsid w:val="00AC5A0E"/>
    <w:rsid w:val="00AE67C3"/>
    <w:rsid w:val="00B40752"/>
    <w:rsid w:val="00B87F01"/>
    <w:rsid w:val="00D10278"/>
    <w:rsid w:val="00D638CD"/>
  </w:rsids>
  <w:themeFontLang w:val="en-US"/>
  <w:clrSchemeMapping w:accent1="accent1" w:accent2="accent2" w:accent3="accent3" w:accent4="accent4" w:accent5="accent5" w:accent6="accent6" w:bg1="light1" w:bg2="light2" w:followedHyperlink="followedHyperlink" w:hyperlink="hyperlink" w:t1="dark1" w:t2="dark2"/>
  <w:shapeDefaults>
    <o:shapedefaults spidmax="1026"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376" w:defLockedState="0" w:defQFormat="0" w:defSemiHidden="0" w:defUIPriority="0" w:defUnhideWhenUsed="0">
    <w:lsdException w:name="toc 1" w:uiPriority="39"/>
    <w:lsdException w:name="toc 2" w:uiPriority="39"/>
    <w:lsdException w:name="toc 3" w:uiPriority="39"/>
    <w:lsdException w:name="Hyperlink"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style>
  <w:style w:styleId="Heading1" w:type="paragraph">
    <w:name w:val="heading 1"/>
    <w:basedOn w:val="Normal"/>
    <w:next w:val="BodyText"/>
    <w:link w:val="Heading1Char"/>
    <w:uiPriority w:val="9"/>
    <w:qFormat/>
    <w:rsid w:val="00177ED0"/>
    <w:pPr>
      <w:keepNext/>
      <w:keepLines/>
      <w:pageBreakBefore/>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qFormat/>
    <w:rsid w:val="007866B4"/>
    <w:pPr>
      <w:spacing w:after="180" w:before="180"/>
      <w:jc w:val="both"/>
    </w:pPr>
  </w:style>
  <w:style w:customStyle="1" w:styleId="FirstParagraph" w:type="paragraph">
    <w:name w:val="First Paragraph"/>
    <w:basedOn w:val="BodyText"/>
    <w:next w:val="BodyText"/>
    <w:qFormat/>
    <w:rsid w:val="00B87F01"/>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Normal"/>
    <w:next w:val="BodyText"/>
    <w:link w:val="SubtitleChar"/>
    <w:uiPriority w:val="11"/>
    <w:qFormat/>
    <w:rsid w:val="00A10FD9"/>
    <w:pPr>
      <w:numPr>
        <w:ilvl w:val="1"/>
      </w:numPr>
    </w:pPr>
    <w:rPr>
      <w:rFonts w:cstheme="majorBidi" w:eastAsiaTheme="majorEastAsia"/>
      <w:color w:themeColor="text1" w:themeTint="A6" w:val="595959"/>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qFormat/>
  </w:style>
  <w:style w:customStyle="1" w:styleId="Heading1Char" w:type="character">
    <w:name w:val="Heading 1 Char"/>
    <w:basedOn w:val="DefaultParagraphFont"/>
    <w:link w:val="Heading1"/>
    <w:uiPriority w:val="9"/>
    <w:rsid w:val="00177ED0"/>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left="480" w:right="480"/>
    </w:pPr>
  </w:style>
  <w:style w:styleId="FootnoteText" w:type="paragraph">
    <w:name w:val="footnote text"/>
    <w:basedOn w:val="Normal"/>
    <w:uiPriority w:val="9"/>
    <w:unhideWhenUsed/>
    <w:qFormat/>
  </w:style>
  <w:style w:customStyle="1" w:styleId="FootnoteBlockText" w:type="paragraph">
    <w:name w:val="Footnote Block Text"/>
    <w:basedOn w:val="FootnoteText"/>
    <w:next w:val="FootnoteText"/>
    <w:uiPriority w:val="9"/>
    <w:unhideWhenUsed/>
    <w:qFormat/>
    <w:pPr>
      <w:spacing w:after="100" w:before="100"/>
      <w:ind w:left="480" w:right="480"/>
    </w:pPr>
  </w:style>
  <w:style w:customStyle="1" w:styleId="Table" w:type="table">
    <w:name w:val="Table"/>
    <w:semiHidden/>
    <w:unhideWhenUsed/>
    <w:qFormat/>
    <w:tblPr>
      <w:tblInd w:type="dxa" w:w="0"/>
      <w:tblCellMar>
        <w:top w:type="dxa" w:w="0"/>
        <w:left w:type="dxa" w:w="108"/>
        <w:bottom w:type="dxa" w:w="0"/>
        <w:right w:type="dxa" w:w="108"/>
      </w:tblCellMar>
    </w:tblPr>
    <w:tblStylePr w:type="firstRow">
      <w:tblPr>
        <w:jc w:val="left"/>
      </w:tblPr>
      <w:trPr>
        <w:jc w:val="left"/>
      </w:trPr>
      <w:tcPr>
        <w:tcBorders>
          <w:bottom w:color="auto" w:space="0" w:sz="0"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CaptionChar"/>
    <w:pPr>
      <w:spacing w:after="12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CaptionChar" w:type="character">
    <w:name w:val="Caption Char"/>
    <w:basedOn w:val="DefaultParagraphFont"/>
    <w:link w:val="Caption"/>
  </w:style>
  <w:style w:customStyle="1" w:styleId="VerbatimChar" w:type="character">
    <w:name w:val="Verbatim Char"/>
    <w:basedOn w:val="CaptionChar"/>
    <w:link w:val="SourceCode"/>
    <w:rPr>
      <w:rFonts w:ascii="Consolas" w:hAnsi="Consolas"/>
      <w:sz w:val="22"/>
    </w:rPr>
  </w:style>
  <w:style w:customStyle="1" w:styleId="SectionNumber" w:type="character">
    <w:name w:val="Section Number"/>
    <w:basedOn w:val="CaptionChar"/>
  </w:style>
  <w:style w:styleId="FootnoteReference" w:type="character">
    <w:name w:val="footnote reference"/>
    <w:basedOn w:val="CaptionChar"/>
    <w:rPr>
      <w:vertAlign w:val="superscript"/>
    </w:rPr>
  </w:style>
  <w:style w:styleId="Hyperlink" w:type="character">
    <w:name w:val="Hyperlink"/>
    <w:basedOn w:val="CaptionChar"/>
    <w:uiPriority w:val="99"/>
    <w:rPr>
      <w:color w:themeColor="accent1" w:val="156082"/>
    </w:rPr>
  </w:style>
  <w:style w:styleId="TOCHeading" w:type="paragraph">
    <w:name w:val="TOC Heading"/>
    <w:basedOn w:val="Heading1"/>
    <w:next w:val="BodyText"/>
    <w:uiPriority w:val="39"/>
    <w:unhideWhenUsed/>
    <w:qFormat/>
    <w:pPr>
      <w:spacing w:before="240" w:line="259" w:lineRule="auto"/>
      <w:outlineLvl w:val="9"/>
    </w:pPr>
  </w:style>
  <w:style w:customStyle="1" w:styleId="SourceCode" w:type="paragraph">
    <w:name w:val="Source Code"/>
    <w:basedOn w:val="Normal"/>
    <w:link w:val="VerbatimChar"/>
    <w:pPr>
      <w:shd w:color="auto" w:fill="F1F3F5" w:val="clear"/>
      <w:wordWrap w:val="0"/>
    </w:pPr>
  </w:style>
  <w:style w:customStyle="1" w:styleId="KeywordTok" w:type="character">
    <w:name w:val="KeywordTok"/>
    <w:basedOn w:val="VerbatimChar"/>
    <w:rPr>
      <w:rFonts w:ascii="Consolas" w:hAnsi="Consolas"/>
      <w:b/>
      <w:color w:val="003B4F"/>
      <w:sz w:val="22"/>
      <w:shd w:color="auto" w:fill="F1F3F5" w:val="clear"/>
    </w:rPr>
  </w:style>
  <w:style w:customStyle="1" w:styleId="DataTypeTok" w:type="character">
    <w:name w:val="DataTypeTok"/>
    <w:basedOn w:val="VerbatimChar"/>
    <w:rPr>
      <w:rFonts w:ascii="Consolas" w:hAnsi="Consolas"/>
      <w:color w:val="AD0000"/>
      <w:sz w:val="22"/>
      <w:shd w:color="auto" w:fill="F1F3F5" w:val="clear"/>
    </w:rPr>
  </w:style>
  <w:style w:customStyle="1" w:styleId="DecValTok" w:type="character">
    <w:name w:val="DecValTok"/>
    <w:basedOn w:val="VerbatimChar"/>
    <w:rPr>
      <w:rFonts w:ascii="Consolas" w:hAnsi="Consolas"/>
      <w:color w:val="AD0000"/>
      <w:sz w:val="22"/>
      <w:shd w:color="auto" w:fill="F1F3F5" w:val="clear"/>
    </w:rPr>
  </w:style>
  <w:style w:customStyle="1" w:styleId="BaseNTok" w:type="character">
    <w:name w:val="BaseNTok"/>
    <w:basedOn w:val="VerbatimChar"/>
    <w:rPr>
      <w:rFonts w:ascii="Consolas" w:hAnsi="Consolas"/>
      <w:color w:val="AD0000"/>
      <w:sz w:val="22"/>
      <w:shd w:color="auto" w:fill="F1F3F5" w:val="clear"/>
    </w:rPr>
  </w:style>
  <w:style w:customStyle="1" w:styleId="FloatTok" w:type="character">
    <w:name w:val="FloatTok"/>
    <w:basedOn w:val="VerbatimChar"/>
    <w:rPr>
      <w:rFonts w:ascii="Consolas" w:hAnsi="Consolas"/>
      <w:color w:val="AD0000"/>
      <w:sz w:val="22"/>
      <w:shd w:color="auto" w:fill="F1F3F5" w:val="clear"/>
    </w:rPr>
  </w:style>
  <w:style w:customStyle="1" w:styleId="ConstantTok" w:type="character">
    <w:name w:val="ConstantTok"/>
    <w:basedOn w:val="VerbatimChar"/>
    <w:rPr>
      <w:rFonts w:ascii="Consolas" w:hAnsi="Consolas"/>
      <w:color w:val="8F5902"/>
      <w:sz w:val="22"/>
      <w:shd w:color="auto" w:fill="F1F3F5" w:val="clear"/>
    </w:rPr>
  </w:style>
  <w:style w:customStyle="1" w:styleId="CharTok" w:type="character">
    <w:name w:val="CharTok"/>
    <w:basedOn w:val="VerbatimChar"/>
    <w:rPr>
      <w:rFonts w:ascii="Consolas" w:hAnsi="Consolas"/>
      <w:color w:val="20794D"/>
      <w:sz w:val="22"/>
      <w:shd w:color="auto" w:fill="F1F3F5" w:val="clear"/>
    </w:rPr>
  </w:style>
  <w:style w:customStyle="1" w:styleId="SpecialCharTok" w:type="character">
    <w:name w:val="SpecialCharTok"/>
    <w:basedOn w:val="VerbatimChar"/>
    <w:rPr>
      <w:rFonts w:ascii="Consolas" w:hAnsi="Consolas"/>
      <w:color w:val="5E5E5E"/>
      <w:sz w:val="22"/>
      <w:shd w:color="auto" w:fill="F1F3F5" w:val="clear"/>
    </w:rPr>
  </w:style>
  <w:style w:customStyle="1" w:styleId="StringTok" w:type="character">
    <w:name w:val="StringTok"/>
    <w:basedOn w:val="VerbatimChar"/>
    <w:rPr>
      <w:rFonts w:ascii="Consolas" w:hAnsi="Consolas"/>
      <w:color w:val="20794D"/>
      <w:sz w:val="22"/>
      <w:shd w:color="auto" w:fill="F1F3F5" w:val="clear"/>
    </w:rPr>
  </w:style>
  <w:style w:customStyle="1" w:styleId="VerbatimStringTok" w:type="character">
    <w:name w:val="VerbatimStringTok"/>
    <w:basedOn w:val="VerbatimChar"/>
    <w:rPr>
      <w:rFonts w:ascii="Consolas" w:hAnsi="Consolas"/>
      <w:color w:val="20794D"/>
      <w:sz w:val="22"/>
      <w:shd w:color="auto" w:fill="F1F3F5" w:val="clear"/>
    </w:rPr>
  </w:style>
  <w:style w:customStyle="1" w:styleId="SpecialStringTok" w:type="character">
    <w:name w:val="SpecialStringTok"/>
    <w:basedOn w:val="VerbatimChar"/>
    <w:rPr>
      <w:rFonts w:ascii="Consolas" w:hAnsi="Consolas"/>
      <w:color w:val="20794D"/>
      <w:sz w:val="22"/>
      <w:shd w:color="auto" w:fill="F1F3F5" w:val="clear"/>
    </w:rPr>
  </w:style>
  <w:style w:customStyle="1" w:styleId="ImportTok" w:type="character">
    <w:name w:val="ImportTok"/>
    <w:basedOn w:val="VerbatimChar"/>
    <w:rPr>
      <w:rFonts w:ascii="Consolas" w:hAnsi="Consolas"/>
      <w:color w:val="00769E"/>
      <w:sz w:val="22"/>
      <w:shd w:color="auto" w:fill="F1F3F5" w:val="clear"/>
    </w:rPr>
  </w:style>
  <w:style w:customStyle="1" w:styleId="CommentTok" w:type="character">
    <w:name w:val="CommentTok"/>
    <w:basedOn w:val="VerbatimChar"/>
    <w:rPr>
      <w:rFonts w:ascii="Consolas" w:hAnsi="Consolas"/>
      <w:color w:val="5E5E5E"/>
      <w:sz w:val="22"/>
      <w:shd w:color="auto" w:fill="F1F3F5" w:val="clear"/>
    </w:rPr>
  </w:style>
  <w:style w:customStyle="1" w:styleId="DocumentationTok" w:type="character">
    <w:name w:val="DocumentationTok"/>
    <w:basedOn w:val="VerbatimChar"/>
    <w:rPr>
      <w:rFonts w:ascii="Consolas" w:hAnsi="Consolas"/>
      <w:i/>
      <w:color w:val="5E5E5E"/>
      <w:sz w:val="22"/>
      <w:shd w:color="auto" w:fill="F1F3F5" w:val="clear"/>
    </w:rPr>
  </w:style>
  <w:style w:customStyle="1" w:styleId="AnnotationTok" w:type="character">
    <w:name w:val="AnnotationTok"/>
    <w:basedOn w:val="VerbatimChar"/>
    <w:rPr>
      <w:rFonts w:ascii="Consolas" w:hAnsi="Consolas"/>
      <w:color w:val="5E5E5E"/>
      <w:sz w:val="22"/>
      <w:shd w:color="auto" w:fill="F1F3F5" w:val="clear"/>
    </w:rPr>
  </w:style>
  <w:style w:customStyle="1" w:styleId="CommentVarTok" w:type="character">
    <w:name w:val="CommentVarTok"/>
    <w:basedOn w:val="VerbatimChar"/>
    <w:rPr>
      <w:rFonts w:ascii="Consolas" w:hAnsi="Consolas"/>
      <w:i/>
      <w:color w:val="5E5E5E"/>
      <w:sz w:val="22"/>
      <w:shd w:color="auto" w:fill="F1F3F5" w:val="clear"/>
    </w:rPr>
  </w:style>
  <w:style w:customStyle="1" w:styleId="OtherTok" w:type="character">
    <w:name w:val="OtherTok"/>
    <w:basedOn w:val="VerbatimChar"/>
    <w:rPr>
      <w:rFonts w:ascii="Consolas" w:hAnsi="Consolas"/>
      <w:color w:val="003B4F"/>
      <w:sz w:val="22"/>
      <w:shd w:color="auto" w:fill="F1F3F5" w:val="clear"/>
    </w:rPr>
  </w:style>
  <w:style w:customStyle="1" w:styleId="FunctionTok" w:type="character">
    <w:name w:val="FunctionTok"/>
    <w:basedOn w:val="VerbatimChar"/>
    <w:rPr>
      <w:rFonts w:ascii="Consolas" w:hAnsi="Consolas"/>
      <w:color w:val="4758AB"/>
      <w:sz w:val="22"/>
      <w:shd w:color="auto" w:fill="F1F3F5" w:val="clear"/>
    </w:rPr>
  </w:style>
  <w:style w:customStyle="1" w:styleId="VariableTok" w:type="character">
    <w:name w:val="VariableTok"/>
    <w:basedOn w:val="VerbatimChar"/>
    <w:rPr>
      <w:rFonts w:ascii="Consolas" w:hAnsi="Consolas"/>
      <w:color w:val="111111"/>
      <w:sz w:val="22"/>
      <w:shd w:color="auto" w:fill="F1F3F5" w:val="clear"/>
    </w:rPr>
  </w:style>
  <w:style w:customStyle="1" w:styleId="ControlFlowTok" w:type="character">
    <w:name w:val="ControlFlowTok"/>
    <w:basedOn w:val="VerbatimChar"/>
    <w:rPr>
      <w:rFonts w:ascii="Consolas" w:hAnsi="Consolas"/>
      <w:b/>
      <w:color w:val="003B4F"/>
      <w:sz w:val="22"/>
      <w:shd w:color="auto" w:fill="F1F3F5" w:val="clear"/>
    </w:rPr>
  </w:style>
  <w:style w:customStyle="1" w:styleId="OperatorTok" w:type="character">
    <w:name w:val="OperatorTok"/>
    <w:basedOn w:val="VerbatimChar"/>
    <w:rPr>
      <w:rFonts w:ascii="Consolas" w:hAnsi="Consolas"/>
      <w:color w:val="5E5E5E"/>
      <w:sz w:val="22"/>
      <w:shd w:color="auto" w:fill="F1F3F5" w:val="clear"/>
    </w:rPr>
  </w:style>
  <w:style w:customStyle="1" w:styleId="BuiltInTok" w:type="character">
    <w:name w:val="BuiltInTok"/>
    <w:basedOn w:val="VerbatimChar"/>
    <w:rPr>
      <w:rFonts w:ascii="Consolas" w:hAnsi="Consolas"/>
      <w:color w:val="003B4F"/>
      <w:sz w:val="22"/>
      <w:shd w:color="auto" w:fill="F1F3F5" w:val="clear"/>
    </w:rPr>
  </w:style>
  <w:style w:customStyle="1" w:styleId="ExtensionTok" w:type="character">
    <w:name w:val="ExtensionTok"/>
    <w:basedOn w:val="VerbatimChar"/>
    <w:rPr>
      <w:rFonts w:ascii="Consolas" w:hAnsi="Consolas"/>
      <w:color w:val="003B4F"/>
      <w:sz w:val="22"/>
      <w:shd w:color="auto" w:fill="F1F3F5" w:val="clear"/>
    </w:rPr>
  </w:style>
  <w:style w:customStyle="1" w:styleId="PreprocessorTok" w:type="character">
    <w:name w:val="PreprocessorTok"/>
    <w:basedOn w:val="VerbatimChar"/>
    <w:rPr>
      <w:rFonts w:ascii="Consolas" w:hAnsi="Consolas"/>
      <w:color w:val="AD0000"/>
      <w:sz w:val="22"/>
      <w:shd w:color="auto" w:fill="F1F3F5" w:val="clear"/>
    </w:rPr>
  </w:style>
  <w:style w:customStyle="1" w:styleId="AttributeTok" w:type="character">
    <w:name w:val="AttributeTok"/>
    <w:basedOn w:val="VerbatimChar"/>
    <w:rPr>
      <w:rFonts w:ascii="Consolas" w:hAnsi="Consolas"/>
      <w:color w:val="657422"/>
      <w:sz w:val="22"/>
      <w:shd w:color="auto" w:fill="F1F3F5" w:val="clear"/>
    </w:rPr>
  </w:style>
  <w:style w:customStyle="1" w:styleId="RegionMarkerTok" w:type="character">
    <w:name w:val="RegionMarkerTok"/>
    <w:basedOn w:val="VerbatimChar"/>
    <w:rPr>
      <w:rFonts w:ascii="Consolas" w:hAnsi="Consolas"/>
      <w:color w:val="003B4F"/>
      <w:sz w:val="22"/>
      <w:shd w:color="auto" w:fill="F1F3F5" w:val="clear"/>
    </w:rPr>
  </w:style>
  <w:style w:customStyle="1" w:styleId="InformationTok" w:type="character">
    <w:name w:val="InformationTok"/>
    <w:basedOn w:val="VerbatimChar"/>
    <w:rPr>
      <w:rFonts w:ascii="Consolas" w:hAnsi="Consolas"/>
      <w:color w:val="5E5E5E"/>
      <w:sz w:val="22"/>
      <w:shd w:color="auto" w:fill="F1F3F5" w:val="clear"/>
    </w:rPr>
  </w:style>
  <w:style w:customStyle="1" w:styleId="WarningTok" w:type="character">
    <w:name w:val="WarningTok"/>
    <w:basedOn w:val="VerbatimChar"/>
    <w:rPr>
      <w:rFonts w:ascii="Consolas" w:hAnsi="Consolas"/>
      <w:i/>
      <w:color w:val="5E5E5E"/>
      <w:sz w:val="22"/>
      <w:shd w:color="auto" w:fill="F1F3F5" w:val="clear"/>
    </w:rPr>
  </w:style>
  <w:style w:customStyle="1" w:styleId="AlertTok" w:type="character">
    <w:name w:val="AlertTok"/>
    <w:basedOn w:val="VerbatimChar"/>
    <w:rPr>
      <w:rFonts w:ascii="Consolas" w:hAnsi="Consolas"/>
      <w:color w:val="AD0000"/>
      <w:sz w:val="22"/>
      <w:shd w:color="auto" w:fill="F1F3F5" w:val="clear"/>
    </w:rPr>
  </w:style>
  <w:style w:customStyle="1" w:styleId="ErrorTok" w:type="character">
    <w:name w:val="ErrorTok"/>
    <w:basedOn w:val="VerbatimChar"/>
    <w:rPr>
      <w:rFonts w:ascii="Consolas" w:hAnsi="Consolas"/>
      <w:color w:val="AD0000"/>
      <w:sz w:val="22"/>
      <w:shd w:color="auto" w:fill="F1F3F5" w:val="clear"/>
    </w:rPr>
  </w:style>
  <w:style w:customStyle="1" w:styleId="NormalTok" w:type="character">
    <w:name w:val="NormalTok"/>
    <w:basedOn w:val="VerbatimChar"/>
    <w:rPr>
      <w:rFonts w:ascii="Consolas" w:hAnsi="Consolas"/>
      <w:color w:val="003B4F"/>
      <w:sz w:val="22"/>
      <w:shd w:color="auto" w:fill="F1F3F5" w:val="clear"/>
    </w:rPr>
  </w:style>
  <w:style w:styleId="TOC1" w:type="paragraph">
    <w:name w:val="toc 1"/>
    <w:basedOn w:val="Normal"/>
    <w:next w:val="Normal"/>
    <w:autoRedefine/>
    <w:uiPriority w:val="39"/>
    <w:rsid w:val="00177ED0"/>
    <w:pPr>
      <w:spacing w:after="100"/>
    </w:pPr>
  </w:style>
  <w:style w:styleId="TOC2" w:type="paragraph">
    <w:name w:val="toc 2"/>
    <w:basedOn w:val="Normal"/>
    <w:next w:val="Normal"/>
    <w:autoRedefine/>
    <w:uiPriority w:val="39"/>
    <w:rsid w:val="00177ED0"/>
    <w:pPr>
      <w:spacing w:after="100"/>
      <w:ind w:left="240"/>
    </w:pPr>
  </w:style>
  <w:style w:styleId="TOC3" w:type="paragraph">
    <w:name w:val="toc 3"/>
    <w:basedOn w:val="Normal"/>
    <w:next w:val="Normal"/>
    <w:autoRedefine/>
    <w:uiPriority w:val="39"/>
    <w:rsid w:val="00177ED0"/>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3" Target="media/rId23.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5</Pages>
  <Words>596</Words>
  <Characters>3399</Characters>
  <Application>Microsoft Office Word</Application>
  <DocSecurity>0</DocSecurity>
  <Lines>28</Lines>
  <Paragraphs>7</Paragraphs>
  <ScaleCrop>false</ScaleCrop>
  <HeadingPairs>
    <vt:vector size="2" baseType="variant">
      <vt:variant>
        <vt:lpstr>Title</vt:lpstr>
      </vt:variant>
      <vt:variant>
        <vt:i4>1</vt:i4>
      </vt:variant>
    </vt:vector>
  </HeadingPairs>
  <TitlesOfParts>
    <vt:vector size="1" baseType="lpstr">
      <vt:lpstr>One Variable: Quantitative</vt:lpstr>
    </vt:vector>
  </TitlesOfParts>
  <Company/>
  <LinksUpToDate>false</LinksUpToDate>
  <CharactersWithSpaces>3988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Two Variables: Qualitative</dc:title>
  <dc:creator>Orville D. Hombrebueno</dc:creator>
  <cp:keywords/>
  <dcterms:created xsi:type="dcterms:W3CDTF">2024-12-04T02:03:18Z</dcterms:created>
  <dcterms:modified xsi:type="dcterms:W3CDTF">2024-12-04T02:03:18Z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y-author">
    <vt:lpwstr/>
  </property>
  <property fmtid="{D5CDD505-2E9C-101B-9397-08002B2CF9AE}" pid="5" name="date">
    <vt:lpwstr>2024-12-04</vt:lpwstr>
  </property>
  <property fmtid="{D5CDD505-2E9C-101B-9397-08002B2CF9AE}" pid="6" name="editor">
    <vt:lpwstr>visual</vt:lpwstr>
  </property>
  <property fmtid="{D5CDD505-2E9C-101B-9397-08002B2CF9AE}" pid="7" name="execute">
    <vt:lpwstr/>
  </property>
  <property fmtid="{D5CDD505-2E9C-101B-9397-08002B2CF9AE}" pid="8" name="header-includes">
    <vt:lpwstr/>
  </property>
  <property fmtid="{D5CDD505-2E9C-101B-9397-08002B2CF9AE}" pid="9" name="include-after">
    <vt:lpwstr/>
  </property>
  <property fmtid="{D5CDD505-2E9C-101B-9397-08002B2CF9AE}" pid="10" name="include-before">
    <vt:lpwstr/>
  </property>
  <property fmtid="{D5CDD505-2E9C-101B-9397-08002B2CF9AE}" pid="11" name="labels">
    <vt:lpwstr/>
  </property>
  <property fmtid="{D5CDD505-2E9C-101B-9397-08002B2CF9AE}" pid="12" name="toc-title">
    <vt:lpwstr>Table of contents</vt:lpwstr>
  </property>
</Properties>
</file>