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Guion de exposición Banco Híbrido Inteligente</w:t>
      </w:r>
    </w:p>
    <w:p>
      <w:pPr>
        <w:pStyle w:val="Subtitle"/>
      </w:pPr>
      <w:r>
        <w:t>Presentación académica de Bancolombia · 4 integrantes · duración estimada de 7 a 8 minutos</w:t>
      </w:r>
    </w:p>
    <w:p>
      <w:r>
        <w:t>Este guion sigue las 15 diapositivas de la presentación. Cada integrante puede practicar su parte con el orden indicado; las metas y propuestas se presentan como una simulación académica.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pPr>
              <w:spacing w:after="20" w:before="20"/>
            </w:pPr>
            <w:r>
              <w:rPr>
                <w:b/>
              </w:rPr>
              <w:t>Diapositivas</w:t>
            </w:r>
          </w:p>
        </w:tc>
        <w:tc>
          <w:tcPr>
            <w:tcW w:type="dxa" w:w="3264"/>
            <w:vAlign w:val="center"/>
          </w:tcPr>
          <w:p>
            <w:pPr>
              <w:spacing w:after="20" w:before="20"/>
            </w:pPr>
            <w:r>
              <w:rPr>
                <w:b/>
              </w:rPr>
              <w:t>Integrante</w:t>
            </w:r>
          </w:p>
        </w:tc>
        <w:tc>
          <w:tcPr>
            <w:tcW w:type="dxa" w:w="3264"/>
            <w:vAlign w:val="center"/>
          </w:tcPr>
          <w:p>
            <w:pPr>
              <w:spacing w:after="20" w:before="20"/>
            </w:pPr>
            <w:r>
              <w:rPr>
                <w:b/>
              </w:rPr>
              <w:t>Tiempo aprox.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 w:before="20"/>
            </w:pPr>
            <w:r>
              <w:t>1 a 3</w:t>
            </w:r>
          </w:p>
        </w:tc>
        <w:tc>
          <w:tcPr>
            <w:tcW w:type="dxa" w:w="3264"/>
            <w:vAlign w:val="center"/>
          </w:tcPr>
          <w:p>
            <w:pPr>
              <w:spacing w:after="20" w:before="20"/>
            </w:pPr>
            <w:r>
              <w:t>Jesús</w:t>
            </w:r>
          </w:p>
        </w:tc>
        <w:tc>
          <w:tcPr>
            <w:tcW w:type="dxa" w:w="3264"/>
            <w:vAlign w:val="center"/>
          </w:tcPr>
          <w:p>
            <w:pPr>
              <w:spacing w:after="20" w:before="20"/>
            </w:pPr>
            <w:r>
              <w:t>1:20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 w:before="20"/>
            </w:pPr>
            <w:r>
              <w:t>4 a 6</w:t>
            </w:r>
          </w:p>
        </w:tc>
        <w:tc>
          <w:tcPr>
            <w:tcW w:type="dxa" w:w="3264"/>
            <w:vAlign w:val="center"/>
          </w:tcPr>
          <w:p>
            <w:pPr>
              <w:spacing w:after="20" w:before="20"/>
            </w:pPr>
            <w:r>
              <w:t>Emily</w:t>
            </w:r>
          </w:p>
        </w:tc>
        <w:tc>
          <w:tcPr>
            <w:tcW w:type="dxa" w:w="3264"/>
            <w:vAlign w:val="center"/>
          </w:tcPr>
          <w:p>
            <w:pPr>
              <w:spacing w:after="20" w:before="20"/>
            </w:pPr>
            <w:r>
              <w:t>1:25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 w:before="20"/>
            </w:pPr>
            <w:r>
              <w:t>7 a 9</w:t>
            </w:r>
          </w:p>
        </w:tc>
        <w:tc>
          <w:tcPr>
            <w:tcW w:type="dxa" w:w="3264"/>
            <w:vAlign w:val="center"/>
          </w:tcPr>
          <w:p>
            <w:pPr>
              <w:spacing w:after="20" w:before="20"/>
            </w:pPr>
            <w:r>
              <w:t>Felipe</w:t>
            </w:r>
          </w:p>
        </w:tc>
        <w:tc>
          <w:tcPr>
            <w:tcW w:type="dxa" w:w="3264"/>
            <w:vAlign w:val="center"/>
          </w:tcPr>
          <w:p>
            <w:pPr>
              <w:spacing w:after="20" w:before="20"/>
            </w:pPr>
            <w:r>
              <w:t>1:40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 w:before="20"/>
            </w:pPr>
            <w:r>
              <w:t>10 a 12</w:t>
            </w:r>
          </w:p>
        </w:tc>
        <w:tc>
          <w:tcPr>
            <w:tcW w:type="dxa" w:w="3264"/>
            <w:vAlign w:val="center"/>
          </w:tcPr>
          <w:p>
            <w:pPr>
              <w:spacing w:after="20" w:before="20"/>
            </w:pPr>
            <w:r>
              <w:t>Moisés</w:t>
            </w:r>
          </w:p>
        </w:tc>
        <w:tc>
          <w:tcPr>
            <w:tcW w:type="dxa" w:w="3264"/>
            <w:vAlign w:val="center"/>
          </w:tcPr>
          <w:p>
            <w:pPr>
              <w:spacing w:after="20" w:before="20"/>
            </w:pPr>
            <w:r>
              <w:t>1:35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 w:before="20"/>
            </w:pPr>
            <w:r>
              <w:t>13 a 15</w:t>
            </w:r>
          </w:p>
        </w:tc>
        <w:tc>
          <w:tcPr>
            <w:tcW w:type="dxa" w:w="3264"/>
            <w:vAlign w:val="center"/>
          </w:tcPr>
          <w:p>
            <w:pPr>
              <w:spacing w:after="20" w:before="20"/>
            </w:pPr>
            <w:r>
              <w:t>Jesús</w:t>
            </w:r>
          </w:p>
        </w:tc>
        <w:tc>
          <w:tcPr>
            <w:tcW w:type="dxa" w:w="3264"/>
            <w:vAlign w:val="center"/>
          </w:tcPr>
          <w:p>
            <w:pPr>
              <w:spacing w:after="20" w:before="20"/>
            </w:pPr>
            <w:r>
              <w:t>1:25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 w:before="20"/>
            </w:pPr>
            <w:r>
              <w:t>Total</w:t>
            </w:r>
          </w:p>
        </w:tc>
        <w:tc>
          <w:tcPr>
            <w:tcW w:type="dxa" w:w="3264"/>
            <w:vAlign w:val="center"/>
          </w:tcPr>
          <w:p>
            <w:pPr>
              <w:spacing w:after="20" w:before="20"/>
            </w:pPr>
            <w:r/>
          </w:p>
        </w:tc>
        <w:tc>
          <w:tcPr>
            <w:tcW w:type="dxa" w:w="3264"/>
            <w:vAlign w:val="center"/>
          </w:tcPr>
          <w:p>
            <w:pPr>
              <w:spacing w:after="20" w:before="20"/>
            </w:pPr>
            <w:r>
              <w:t>7:25</w:t>
            </w:r>
          </w:p>
        </w:tc>
      </w:tr>
    </w:tbl>
    <w:p>
      <w:pPr>
        <w:pStyle w:val="Heading1"/>
      </w:pPr>
      <w:r>
        <w:t>Jesús  |  Diapositivas 1 a 3</w:t>
      </w:r>
    </w:p>
    <w:p>
      <w:pPr>
        <w:pStyle w:val="Heading2"/>
      </w:pPr>
      <w:r>
        <w:t>1. Bancolombia, híbrido e inteligente</w:t>
      </w:r>
    </w:p>
    <w:p>
      <w:pPr>
        <w:keepLines/>
      </w:pPr>
      <w:r>
        <w:t>“Buenos días. Somos Jesús, Emily, Felipe y Moisés. Hoy asumiremos el papel de un nuevo equipo directivo de Bancolombia. Nuestra propuesta se llama Banco Híbrido Inteligente: queremos mejorar la experiencia digital, conservar la atención presencial donde hace falta y recuperar la confianza de los clientes.”</w:t>
      </w:r>
    </w:p>
    <w:p>
      <w:pPr>
        <w:pStyle w:val="Heading2"/>
      </w:pPr>
      <w:r>
        <w:t>2. Un año, tres decisiones</w:t>
      </w:r>
    </w:p>
    <w:p>
      <w:pPr>
        <w:keepLines/>
      </w:pPr>
      <w:r>
        <w:t>“Tenemos un primer año para actuar. Nuestro método es sencillo: primero diagnosticamos los problemas, después probamos soluciones en pequeño y, finalmente, ampliamos las que funcionen. Así evitamos invertir grandes recursos en ideas que todavía no han demostrado resultados.”</w:t>
      </w:r>
    </w:p>
    <w:p>
      <w:pPr>
        <w:pStyle w:val="Heading2"/>
      </w:pPr>
      <w:r>
        <w:t>3. Radiografía operativa</w:t>
      </w:r>
    </w:p>
    <w:p>
      <w:pPr>
        <w:keepLines/>
      </w:pPr>
      <w:r>
        <w:t>“Bancolombia forma parte de una organización con millones de clientes, una red física amplia y miles de empleados. Esa escala es una fortaleza, pero también significa que un trámite confuso o una falla de atención afecta a muchísimas personas. Las cifras de esta presentación son referencias aproximadas; nuestra propuesta y sus metas son una simulación académica.”</w:t>
      </w:r>
    </w:p>
    <w:p>
      <w:pPr>
        <w:pStyle w:val="Heading1"/>
      </w:pPr>
      <w:r>
        <w:t>Emily  |  Diapositivas 4 a 6</w:t>
      </w:r>
    </w:p>
    <w:p>
      <w:pPr>
        <w:pStyle w:val="Heading2"/>
      </w:pPr>
      <w:r>
        <w:t>4. ¿Qué encontramos?</w:t>
      </w:r>
    </w:p>
    <w:p>
      <w:pPr>
        <w:keepLines/>
      </w:pPr>
      <w:r>
        <w:t>“Encontramos una marca conocida, recursos y personas capaces de impulsar cambios. También vimos oportunidades de mejora: algunos trámites se repiten, los canales no siempre se sienten conectados y el lenguaje bancario puede ser difícil. Los clientes tampoco son iguales: algunos prefieren resolver todo desde el celular y otros necesitan hablar con una persona.”</w:t>
      </w:r>
    </w:p>
    <w:p>
      <w:pPr>
        <w:pStyle w:val="Heading2"/>
      </w:pPr>
      <w:r>
        <w:t>5. Tres problemas primero</w:t>
      </w:r>
    </w:p>
    <w:p>
      <w:pPr>
        <w:keepLines/>
      </w:pPr>
      <w:r>
        <w:t>“Por eso priorizamos tres problemas. El primero es que un cliente tenga que volver a explicar su caso al pasar de la aplicación a una oficina. El segundo es tratar todas las sucursales como si cumplieran la misma función. El tercero es la desconfianza que producen las alertas poco claras y las respuestas lentas ante posibles fraudes.”</w:t>
      </w:r>
    </w:p>
    <w:p>
      <w:pPr>
        <w:pStyle w:val="Heading2"/>
      </w:pPr>
      <w:r>
        <w:t>6. Nuestra estrategia</w:t>
      </w:r>
    </w:p>
    <w:p>
      <w:pPr>
        <w:keepLines/>
      </w:pPr>
      <w:r>
        <w:t>“La respuesta es un banco híbrido. Queremos que lo digital facilite las tareas cotidianas, que las oficinas estén donde aporten asesoría o cobertura, y que siempre exista apoyo humano cuando una situación sea difícil. Queremos adaptar la agilidad de un neobanco a los clientes y a la presencia física de Bancolombia.”</w:t>
      </w:r>
    </w:p>
    <w:p>
      <w:pPr>
        <w:pStyle w:val="Heading1"/>
      </w:pPr>
      <w:r>
        <w:t>Felipe  |  Diapositivas 7 a 9</w:t>
      </w:r>
    </w:p>
    <w:p>
      <w:pPr>
        <w:pStyle w:val="Heading2"/>
      </w:pPr>
      <w:r>
        <w:t>7. Red híbrida</w:t>
      </w:r>
    </w:p>
    <w:p>
      <w:pPr>
        <w:keepLines/>
      </w:pPr>
      <w:r>
        <w:t>“Primero revisaríamos cada oficina según su uso, costo y utilidad para la comunidad. Algunas seguirían como centros de asesoría; otras serían puntos ágiles con acompañamiento para usar servicios digitales. En zonas donde sea conveniente, podríamos probar atención móvil o mediante aliados. La decisión sobre cada lugar se tomaría después de medir su situación, especialmente si atiende a personas mayores o a comunidades con pocas alternativas.”</w:t>
      </w:r>
    </w:p>
    <w:p>
      <w:pPr>
        <w:pStyle w:val="Heading2"/>
      </w:pPr>
      <w:r>
        <w:t>8. Experiencia digital</w:t>
      </w:r>
    </w:p>
    <w:p>
      <w:pPr>
        <w:keepLines/>
      </w:pPr>
      <w:r>
        <w:t>“Segundo, simplificaríamos la aplicación y la página web. El cliente debería entender qué hacer, completar un trámite en menos pasos y ver en qué estado está su solicitud. También debería poder continuar con un asesor sin comenzar desde cero. Nuestra meta académica es reducir un 30 % los pasos de cinco trámites importantes; primero tendríamos que identificar cuáles son y medirlos.”</w:t>
      </w:r>
    </w:p>
    <w:p>
      <w:pPr>
        <w:pStyle w:val="Heading2"/>
      </w:pPr>
      <w:r>
        <w:t>9. Atención digital humana</w:t>
      </w:r>
    </w:p>
    <w:p>
      <w:pPr>
        <w:keepLines/>
      </w:pPr>
      <w:r>
        <w:t>“Tercero, proponemos capacitar a empleados que hoy realizan tareas presenciales repetitivas para atender por chat, video o llamada. La capacitación estaría ligada a un trabajo concreto, no sería solo un curso. La meta de este ejercicio es preparar a 500 personas durante el primer año. Así aprovechamos la experiencia de los empleados para resolver mejor las dudas de los clientes.”</w:t>
      </w:r>
    </w:p>
    <w:p>
      <w:pPr>
        <w:pStyle w:val="Heading1"/>
      </w:pPr>
      <w:r>
        <w:t>Moisés  |  Diapositivas 10 a 12</w:t>
      </w:r>
    </w:p>
    <w:p>
      <w:pPr>
        <w:pStyle w:val="Heading2"/>
      </w:pPr>
      <w:r>
        <w:t>10. Seguridad</w:t>
      </w:r>
    </w:p>
    <w:p>
      <w:pPr>
        <w:keepLines/>
      </w:pPr>
      <w:r>
        <w:t>“La confianza también depende de cómo responde el banco ante una operación sospechosa. Proponemos alertas fáciles de entender, una forma rápida de bloquear una cuenta y seguimiento visible del caso. Nuestra meta es que, ante una alerta crítica, el cliente reciba un primer contacto en menos de diez minutos. Ese contacto inicia la atención; no significa que todos los casos se resuelvan en ese tiempo.”</w:t>
      </w:r>
    </w:p>
    <w:p>
      <w:pPr>
        <w:pStyle w:val="Heading2"/>
      </w:pPr>
      <w:r>
        <w:t>11. Bancolombia Simple</w:t>
      </w:r>
    </w:p>
    <w:p>
      <w:pPr>
        <w:keepLines/>
      </w:pPr>
      <w:r>
        <w:t>“También proponemos un modo sencillo dentro de la aplicación. Tendría letras más grandes, tareas esenciales fáciles de encontrar, lectura en voz alta y acceso rápido a ayuda humana. Lo probaríamos con personas mayores para escuchar qué les sirve de verdad. La idea es darles una opción cómoda, sin obligarlas a abandonar la atención presencial.”</w:t>
      </w:r>
    </w:p>
    <w:p>
      <w:pPr>
        <w:pStyle w:val="Heading2"/>
      </w:pPr>
      <w:r>
        <w:t>12. Primeros cien días</w:t>
      </w:r>
    </w:p>
    <w:p>
      <w:pPr>
        <w:keepLines/>
      </w:pPr>
      <w:r>
        <w:t>“Durante los primeros treinta días escucharíamos a clientes y empleados y mediríamos los problemas actuales. Del día 31 al 60 diseñaríamos pruebas en tres oficinas, cinco trámites y un equipo de respuesta ante fraude. Del día 61 al 100 revisaríamos los resultados y decidiríamos qué ajustar. Solo después pensaríamos en ampliar las soluciones.”</w:t>
      </w:r>
    </w:p>
    <w:p>
      <w:pPr>
        <w:pStyle w:val="Heading1"/>
      </w:pPr>
      <w:r>
        <w:t>Jesús  |  Diapositivas 13 a 15</w:t>
      </w:r>
    </w:p>
    <w:p>
      <w:pPr>
        <w:pStyle w:val="Heading2"/>
      </w:pPr>
      <w:r>
        <w:t>13. Cómo medimos el avance</w:t>
      </w:r>
    </w:p>
    <w:p>
      <w:pPr>
        <w:keepLines/>
      </w:pPr>
      <w:r>
        <w:t>“Como equipo directivo, necesitamos comprobar si las propuestas funcionan. Mediríamos los pasos necesarios para completar trámites, cuántos problemas se resuelven en el primer contacto, el uso de Bancolombia Simple y la respuesta ante alertas de fraude. Las metas que ven aquí son objetivos creados para esta simulación, no resultados actuales de Bancolombia.”</w:t>
      </w:r>
    </w:p>
    <w:p>
      <w:pPr>
        <w:pStyle w:val="Heading2"/>
      </w:pPr>
      <w:r>
        <w:t>14. Si aparece una crisis</w:t>
      </w:r>
    </w:p>
    <w:p>
      <w:pPr>
        <w:keepLines/>
      </w:pPr>
      <w:r>
        <w:t>“Si durante el plan ocurre un incidente de seguridad, nuestra prioridad sería proteger a los clientes. En las primeras dos horas buscaríamos contener el problema y conservar la información necesaria para investigarlo. Durante el primer día comunicaríamos lo confirmado por canales oficiales. Después trabajaríamos en las soluciones para los afectados y explicaríamos qué aprendimos. Si la profesora plantea otra crisis, aplicaríamos el mismo orden: proteger, informar y reparar.”</w:t>
      </w:r>
    </w:p>
    <w:p>
      <w:pPr>
        <w:pStyle w:val="Heading2"/>
      </w:pPr>
      <w:r>
        <w:t>15. Decisión final</w:t>
      </w:r>
    </w:p>
    <w:p>
      <w:pPr>
        <w:keepLines/>
      </w:pPr>
      <w:r>
        <w:t>“Nuestra decisión es transformar Bancolombia sin perder cercanía. La tecnología puede ahorrar pasos y tiempo; las personas pueden aportar orientación y confianza. Probaríamos cada cambio, mediríamos su efecto en clientes, costos y seguridad, y ampliaríamos únicamente lo que dé resultados. Muchas gracias.”</w:t>
      </w:r>
    </w:p>
    <w:p>
      <w:pPr>
        <w:pStyle w:val="Heading1"/>
      </w:pPr>
      <w:r>
        <w:t>Nota para el ensayo</w:t>
      </w:r>
    </w:p>
    <w:p>
      <w:r>
        <w:t>Hagan una pasada con cronómetro y dejen unos segundos para cambiar de diapositiva. En la diapositiva 3 conviene hablar de millones de clientes y una red física amplia: los documentos de apoyo presentan cifras con alcances distintos entre Bancolombia y Grupo Cibest.</w:t>
      </w:r>
    </w:p>
    <w:sectPr w:rsidR="00FC693F" w:rsidRPr="0006063C" w:rsidSect="00034616">
      <w:footerReference w:type="default" r:id="rId9"/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Guion de exposición · Banco Híbrido Inteligente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Liberation Sans" w:hAnsi="Liberation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120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