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9794" w14:textId="77777777" w:rsidR="00FE42C9" w:rsidRPr="00FE42C9" w:rsidRDefault="00FE42C9" w:rsidP="00FE42C9">
      <w:pPr>
        <w:rPr>
          <w:b/>
          <w:bCs/>
          <w:lang w:val="es-CL"/>
        </w:rPr>
      </w:pPr>
      <w:r w:rsidRPr="00FE42C9">
        <w:rPr>
          <w:b/>
          <w:bCs/>
          <w:lang w:val="es-CL"/>
        </w:rPr>
        <w:t>Análisis Crítico de Visualizaciones Reales</w:t>
      </w:r>
    </w:p>
    <w:p w14:paraId="7BD8BEB6" w14:textId="77777777" w:rsidR="00FE42C9" w:rsidRPr="00FE42C9" w:rsidRDefault="00FE42C9" w:rsidP="00FE42C9">
      <w:pPr>
        <w:rPr>
          <w:b/>
          <w:bCs/>
          <w:lang w:val="es-CL"/>
        </w:rPr>
      </w:pPr>
      <w:r w:rsidRPr="00FE42C9">
        <w:rPr>
          <w:b/>
          <w:bCs/>
          <w:lang w:val="es-CL"/>
        </w:rPr>
        <w:t>Caso 1: Gráfico de Aprobación/Desaprobación Presidencial en Televisión Abierta</w:t>
      </w:r>
    </w:p>
    <w:p w14:paraId="451943ED" w14:textId="77777777" w:rsidR="00FE42C9" w:rsidRPr="00FE42C9" w:rsidRDefault="00FE42C9" w:rsidP="00FE42C9">
      <w:pPr>
        <w:numPr>
          <w:ilvl w:val="0"/>
          <w:numId w:val="1"/>
        </w:numPr>
        <w:rPr>
          <w:lang w:val="es-CL"/>
        </w:rPr>
      </w:pPr>
      <w:r w:rsidRPr="00FE42C9">
        <w:rPr>
          <w:b/>
          <w:bCs/>
          <w:lang w:val="es-CL"/>
        </w:rPr>
        <w:t>Descripción</w:t>
      </w:r>
      <w:r w:rsidRPr="00FE42C9">
        <w:rPr>
          <w:lang w:val="es-CL"/>
        </w:rPr>
        <w:t>:</w:t>
      </w:r>
    </w:p>
    <w:p w14:paraId="754FC604" w14:textId="77777777" w:rsidR="00FE42C9" w:rsidRPr="00FE42C9" w:rsidRDefault="00FE42C9" w:rsidP="00FE42C9">
      <w:pPr>
        <w:numPr>
          <w:ilvl w:val="1"/>
          <w:numId w:val="1"/>
        </w:numPr>
        <w:rPr>
          <w:lang w:val="es-CL"/>
        </w:rPr>
      </w:pPr>
      <w:r w:rsidRPr="00FE42C9">
        <w:rPr>
          <w:b/>
          <w:bCs/>
          <w:lang w:val="es-CL"/>
        </w:rPr>
        <w:t>Fuente</w:t>
      </w:r>
      <w:r w:rsidRPr="00FE42C9">
        <w:rPr>
          <w:lang w:val="es-CL"/>
        </w:rPr>
        <w:t xml:space="preserve">: Noticiero </w:t>
      </w:r>
      <w:r w:rsidRPr="00FE42C9">
        <w:rPr>
          <w:i/>
          <w:iCs/>
          <w:lang w:val="es-CL"/>
        </w:rPr>
        <w:t>Chilevisión Noticias</w:t>
      </w:r>
      <w:r w:rsidRPr="00FE42C9">
        <w:rPr>
          <w:lang w:val="es-CL"/>
        </w:rPr>
        <w:t xml:space="preserve"> (Televisión Abierta) / Datos de la Encuesta Cadem.</w:t>
      </w:r>
    </w:p>
    <w:p w14:paraId="106C8F60" w14:textId="77777777" w:rsidR="00FE42C9" w:rsidRPr="00FE42C9" w:rsidRDefault="00FE42C9" w:rsidP="00FE42C9">
      <w:pPr>
        <w:numPr>
          <w:ilvl w:val="1"/>
          <w:numId w:val="1"/>
        </w:numPr>
        <w:rPr>
          <w:lang w:val="es-CL"/>
        </w:rPr>
      </w:pPr>
      <w:r w:rsidRPr="00FE42C9">
        <w:rPr>
          <w:b/>
          <w:bCs/>
          <w:lang w:val="es-CL"/>
        </w:rPr>
        <w:t>Contexto</w:t>
      </w:r>
      <w:r w:rsidRPr="00FE42C9">
        <w:rPr>
          <w:lang w:val="es-CL"/>
        </w:rPr>
        <w:t>: Presentación en vivo de los resultados semanales sobre la percepción pública de la gestión presidencial.</w:t>
      </w:r>
    </w:p>
    <w:p w14:paraId="2FC51C89" w14:textId="77777777" w:rsidR="00FE42C9" w:rsidRPr="00FE42C9" w:rsidRDefault="00FE42C9" w:rsidP="00FE42C9">
      <w:pPr>
        <w:numPr>
          <w:ilvl w:val="1"/>
          <w:numId w:val="1"/>
        </w:numPr>
        <w:rPr>
          <w:lang w:val="es-CL"/>
        </w:rPr>
      </w:pPr>
      <w:r w:rsidRPr="00FE42C9">
        <w:rPr>
          <w:b/>
          <w:bCs/>
          <w:lang w:val="es-CL"/>
        </w:rPr>
        <w:t>Audiencia objetivo</w:t>
      </w:r>
      <w:r w:rsidRPr="00FE42C9">
        <w:rPr>
          <w:lang w:val="es-CL"/>
        </w:rPr>
        <w:t xml:space="preserve">: Ciudadanía en general y audiencia no especializada de televisión abierta. </w:t>
      </w:r>
    </w:p>
    <w:p w14:paraId="37E47243" w14:textId="77777777" w:rsidR="00FE42C9" w:rsidRPr="00FE42C9" w:rsidRDefault="00FE42C9" w:rsidP="00FE42C9">
      <w:pPr>
        <w:numPr>
          <w:ilvl w:val="0"/>
          <w:numId w:val="1"/>
        </w:numPr>
        <w:rPr>
          <w:lang w:val="es-CL"/>
        </w:rPr>
      </w:pPr>
      <w:r w:rsidRPr="00FE42C9">
        <w:rPr>
          <w:b/>
          <w:bCs/>
          <w:lang w:val="es-CL"/>
        </w:rPr>
        <w:t>Evaluación Técnica</w:t>
      </w:r>
      <w:r w:rsidRPr="00FE42C9">
        <w:rPr>
          <w:lang w:val="es-CL"/>
        </w:rPr>
        <w:t>:</w:t>
      </w:r>
    </w:p>
    <w:p w14:paraId="52003A8C" w14:textId="77777777" w:rsidR="00FE42C9" w:rsidRPr="00FE42C9" w:rsidRDefault="00FE42C9" w:rsidP="00FE42C9">
      <w:pPr>
        <w:numPr>
          <w:ilvl w:val="1"/>
          <w:numId w:val="1"/>
        </w:numPr>
        <w:rPr>
          <w:lang w:val="es-CL"/>
        </w:rPr>
      </w:pPr>
      <w:r w:rsidRPr="00FE42C9">
        <w:rPr>
          <w:b/>
          <w:bCs/>
          <w:lang w:val="es-CL"/>
        </w:rPr>
        <w:t>Tipo de gráfico</w:t>
      </w:r>
      <w:r w:rsidRPr="00FE42C9">
        <w:rPr>
          <w:lang w:val="es-CL"/>
        </w:rPr>
        <w:t>: Gráfico de barras simples desproporcionadas / Ejes truncados visuales.</w:t>
      </w:r>
    </w:p>
    <w:p w14:paraId="6DD2EE44" w14:textId="77777777" w:rsidR="00FE42C9" w:rsidRPr="00FE42C9" w:rsidRDefault="00FE42C9" w:rsidP="00FE42C9">
      <w:pPr>
        <w:numPr>
          <w:ilvl w:val="1"/>
          <w:numId w:val="1"/>
        </w:numPr>
        <w:rPr>
          <w:lang w:val="es-CL"/>
        </w:rPr>
      </w:pPr>
      <w:r w:rsidRPr="00FE42C9">
        <w:rPr>
          <w:b/>
          <w:bCs/>
          <w:lang w:val="es-CL"/>
        </w:rPr>
        <w:t>Variables representadas</w:t>
      </w:r>
      <w:r w:rsidRPr="00FE42C9">
        <w:rPr>
          <w:lang w:val="es-CL"/>
        </w:rPr>
        <w:t xml:space="preserve">: Categoría cualitativa nominal (Aprobación vs. Desaprobación) y Variable cuantitativa discreta (Porcentaje de respuestas %). </w:t>
      </w:r>
    </w:p>
    <w:p w14:paraId="500B85A3" w14:textId="77777777" w:rsidR="00FE42C9" w:rsidRPr="00FE42C9" w:rsidRDefault="00FE42C9" w:rsidP="00FE42C9">
      <w:pPr>
        <w:numPr>
          <w:ilvl w:val="1"/>
          <w:numId w:val="1"/>
        </w:numPr>
        <w:rPr>
          <w:lang w:val="es-CL"/>
        </w:rPr>
      </w:pPr>
      <w:r w:rsidRPr="00FE42C9">
        <w:rPr>
          <w:b/>
          <w:bCs/>
          <w:lang w:val="es-CL"/>
        </w:rPr>
        <w:t>Calidad de representación y nivel de complejidad</w:t>
      </w:r>
      <w:r w:rsidRPr="00FE42C9">
        <w:rPr>
          <w:lang w:val="es-CL"/>
        </w:rPr>
        <w:t xml:space="preserve">: Nivel de complejidad bajo. Sin embargo, la calidad de representación es deficiente debido a la falta de escala proporcional entre la altura de las barras y las cifras porcentuales representadas. </w:t>
      </w:r>
    </w:p>
    <w:p w14:paraId="65129D72" w14:textId="77777777" w:rsidR="00FE42C9" w:rsidRPr="00FE42C9" w:rsidRDefault="00FE42C9" w:rsidP="00FE42C9">
      <w:pPr>
        <w:numPr>
          <w:ilvl w:val="0"/>
          <w:numId w:val="1"/>
        </w:numPr>
        <w:rPr>
          <w:lang w:val="es-CL"/>
        </w:rPr>
      </w:pPr>
      <w:r w:rsidRPr="00FE42C9">
        <w:rPr>
          <w:b/>
          <w:bCs/>
          <w:lang w:val="es-CL"/>
        </w:rPr>
        <w:t>Evaluación Crítica</w:t>
      </w:r>
      <w:r w:rsidRPr="00FE42C9">
        <w:rPr>
          <w:lang w:val="es-CL"/>
        </w:rPr>
        <w:t>:</w:t>
      </w:r>
    </w:p>
    <w:p w14:paraId="162F1973" w14:textId="77777777" w:rsidR="00FE42C9" w:rsidRPr="00FE42C9" w:rsidRDefault="00FE42C9" w:rsidP="00FE42C9">
      <w:pPr>
        <w:numPr>
          <w:ilvl w:val="1"/>
          <w:numId w:val="1"/>
        </w:numPr>
        <w:rPr>
          <w:lang w:val="es-CL"/>
        </w:rPr>
      </w:pPr>
      <w:r w:rsidRPr="00FE42C9">
        <w:rPr>
          <w:b/>
          <w:bCs/>
          <w:lang w:val="es-CL"/>
        </w:rPr>
        <w:t>Claridad visual y buenas prácticas</w:t>
      </w:r>
      <w:r w:rsidRPr="00FE42C9">
        <w:rPr>
          <w:lang w:val="es-CL"/>
        </w:rPr>
        <w:t xml:space="preserve">: Presenta un problema severo de distorsión visual al incumplir el principio de proporcionalidad de áreas y escalas. </w:t>
      </w:r>
    </w:p>
    <w:p w14:paraId="27F00DFF" w14:textId="77777777" w:rsidR="00FE42C9" w:rsidRPr="00FE42C9" w:rsidRDefault="00FE42C9" w:rsidP="00FE42C9">
      <w:pPr>
        <w:numPr>
          <w:ilvl w:val="1"/>
          <w:numId w:val="1"/>
        </w:numPr>
        <w:rPr>
          <w:lang w:val="es-CL"/>
        </w:rPr>
      </w:pPr>
      <w:r w:rsidRPr="00FE42C9">
        <w:rPr>
          <w:b/>
          <w:bCs/>
          <w:lang w:val="es-CL"/>
        </w:rPr>
        <w:t>Posibles problemas de interpretación / Sesgos</w:t>
      </w:r>
      <w:r w:rsidRPr="00FE42C9">
        <w:rPr>
          <w:lang w:val="es-CL"/>
        </w:rPr>
        <w:t xml:space="preserve">: Se exhibe una barra de desaprobación sensiblemente menor en altura respecto a un porcentaje superior (o viceversa). Esto induce un </w:t>
      </w:r>
      <w:r w:rsidRPr="00FE42C9">
        <w:rPr>
          <w:b/>
          <w:bCs/>
          <w:lang w:val="es-CL"/>
        </w:rPr>
        <w:t>sesgo de encuadre (</w:t>
      </w:r>
      <w:proofErr w:type="spellStart"/>
      <w:r w:rsidRPr="00FE42C9">
        <w:rPr>
          <w:b/>
          <w:bCs/>
          <w:lang w:val="es-CL"/>
        </w:rPr>
        <w:t>framing</w:t>
      </w:r>
      <w:proofErr w:type="spellEnd"/>
      <w:r w:rsidRPr="00FE42C9">
        <w:rPr>
          <w:b/>
          <w:bCs/>
          <w:lang w:val="es-CL"/>
        </w:rPr>
        <w:t xml:space="preserve"> </w:t>
      </w:r>
      <w:proofErr w:type="spellStart"/>
      <w:r w:rsidRPr="00FE42C9">
        <w:rPr>
          <w:b/>
          <w:bCs/>
          <w:lang w:val="es-CL"/>
        </w:rPr>
        <w:t>bias</w:t>
      </w:r>
      <w:proofErr w:type="spellEnd"/>
      <w:r w:rsidRPr="00FE42C9">
        <w:rPr>
          <w:b/>
          <w:bCs/>
          <w:lang w:val="es-CL"/>
        </w:rPr>
        <w:t>)</w:t>
      </w:r>
      <w:r w:rsidRPr="00FE42C9">
        <w:rPr>
          <w:lang w:val="es-CL"/>
        </w:rPr>
        <w:t xml:space="preserve"> que engaña al espectador, haciéndole percibir visualmente una aprobación mayor a la real. </w:t>
      </w:r>
    </w:p>
    <w:p w14:paraId="3F55B279" w14:textId="77777777" w:rsidR="00FE42C9" w:rsidRPr="00FE42C9" w:rsidRDefault="00FE42C9" w:rsidP="00FE42C9">
      <w:pPr>
        <w:numPr>
          <w:ilvl w:val="0"/>
          <w:numId w:val="1"/>
        </w:numPr>
        <w:rPr>
          <w:lang w:val="es-CL"/>
        </w:rPr>
      </w:pPr>
      <w:r w:rsidRPr="00FE42C9">
        <w:rPr>
          <w:b/>
          <w:bCs/>
          <w:lang w:val="es-CL"/>
        </w:rPr>
        <w:t>Propuesta de Mejora</w:t>
      </w:r>
      <w:r w:rsidRPr="00FE42C9">
        <w:rPr>
          <w:lang w:val="es-CL"/>
        </w:rPr>
        <w:t>:</w:t>
      </w:r>
    </w:p>
    <w:p w14:paraId="55ACA6B2" w14:textId="77777777" w:rsidR="00FE42C9" w:rsidRPr="00FE42C9" w:rsidRDefault="00FE42C9" w:rsidP="00FE42C9">
      <w:pPr>
        <w:numPr>
          <w:ilvl w:val="1"/>
          <w:numId w:val="1"/>
        </w:numPr>
        <w:rPr>
          <w:lang w:val="es-CL"/>
        </w:rPr>
      </w:pPr>
      <w:r w:rsidRPr="00FE42C9">
        <w:rPr>
          <w:b/>
          <w:bCs/>
          <w:lang w:val="es-CL"/>
        </w:rPr>
        <w:t>Modificaciones / Elementos a eliminar o agregar</w:t>
      </w:r>
      <w:r w:rsidRPr="00FE42C9">
        <w:rPr>
          <w:lang w:val="es-CL"/>
        </w:rPr>
        <w:t xml:space="preserve">: Generar las barras mediante renderizado automático derivado de los datos reales para </w:t>
      </w:r>
      <w:r w:rsidRPr="00FE42C9">
        <w:rPr>
          <w:lang w:val="es-CL"/>
        </w:rPr>
        <w:lastRenderedPageBreak/>
        <w:t xml:space="preserve">asegurar que la escala comience en 0% de forma proporcional. Incluir etiquetas porcentuales claras y directas dentro o encima de cada barra. </w:t>
      </w:r>
    </w:p>
    <w:p w14:paraId="5B83D33A" w14:textId="77777777" w:rsidR="00FE42C9" w:rsidRPr="00FE42C9" w:rsidRDefault="00FE42C9" w:rsidP="00FE42C9">
      <w:pPr>
        <w:numPr>
          <w:ilvl w:val="1"/>
          <w:numId w:val="1"/>
        </w:numPr>
        <w:rPr>
          <w:lang w:val="es-CL"/>
        </w:rPr>
      </w:pPr>
      <w:r w:rsidRPr="00FE42C9">
        <w:rPr>
          <w:b/>
          <w:bCs/>
          <w:lang w:val="es-CL"/>
        </w:rPr>
        <w:t>Visualización alternativa propuesta</w:t>
      </w:r>
      <w:r w:rsidRPr="00FE42C9">
        <w:rPr>
          <w:lang w:val="es-CL"/>
        </w:rPr>
        <w:t xml:space="preserve">: Gráfico de barras horizontales simple o gráfico de líneas (si se desea mostrar la evolución histórica en el tiempo), con eje Y estrictamente proporcional. </w:t>
      </w:r>
    </w:p>
    <w:p w14:paraId="6B4B4CBB" w14:textId="77777777" w:rsidR="00FE42C9" w:rsidRPr="00FE42C9" w:rsidRDefault="00FE42C9" w:rsidP="00FE42C9">
      <w:pPr>
        <w:rPr>
          <w:b/>
          <w:bCs/>
          <w:lang w:val="es-CL"/>
        </w:rPr>
      </w:pPr>
      <w:r w:rsidRPr="00FE42C9">
        <w:rPr>
          <w:b/>
          <w:bCs/>
          <w:lang w:val="es-CL"/>
        </w:rPr>
        <w:t>Caso 2: Reporte Histórico de Resultados Nacionales SIMCE</w:t>
      </w:r>
    </w:p>
    <w:p w14:paraId="42CB9B05" w14:textId="77777777" w:rsidR="00FE42C9" w:rsidRPr="00FE42C9" w:rsidRDefault="00FE42C9" w:rsidP="00FE42C9">
      <w:pPr>
        <w:numPr>
          <w:ilvl w:val="0"/>
          <w:numId w:val="2"/>
        </w:numPr>
        <w:rPr>
          <w:lang w:val="es-CL"/>
        </w:rPr>
      </w:pPr>
      <w:r w:rsidRPr="00FE42C9">
        <w:rPr>
          <w:b/>
          <w:bCs/>
          <w:lang w:val="es-CL"/>
        </w:rPr>
        <w:t>Descripción</w:t>
      </w:r>
      <w:r w:rsidRPr="00FE42C9">
        <w:rPr>
          <w:lang w:val="es-CL"/>
        </w:rPr>
        <w:t>:</w:t>
      </w:r>
    </w:p>
    <w:p w14:paraId="1806D6AD" w14:textId="77777777" w:rsidR="00FE42C9" w:rsidRPr="00FE42C9" w:rsidRDefault="00FE42C9" w:rsidP="00FE42C9">
      <w:pPr>
        <w:numPr>
          <w:ilvl w:val="1"/>
          <w:numId w:val="2"/>
        </w:numPr>
        <w:rPr>
          <w:lang w:val="es-CL"/>
        </w:rPr>
      </w:pPr>
      <w:r w:rsidRPr="00FE42C9">
        <w:rPr>
          <w:b/>
          <w:bCs/>
          <w:lang w:val="es-CL"/>
        </w:rPr>
        <w:t>Fuente</w:t>
      </w:r>
      <w:r w:rsidRPr="00FE42C9">
        <w:rPr>
          <w:lang w:val="es-CL"/>
        </w:rPr>
        <w:t>: Agencia de Calidad de la Educación / Ministerio de Educación.</w:t>
      </w:r>
    </w:p>
    <w:p w14:paraId="596665BD" w14:textId="77777777" w:rsidR="00FE42C9" w:rsidRPr="00FE42C9" w:rsidRDefault="00FE42C9" w:rsidP="00FE42C9">
      <w:pPr>
        <w:numPr>
          <w:ilvl w:val="1"/>
          <w:numId w:val="2"/>
        </w:numPr>
        <w:rPr>
          <w:lang w:val="es-CL"/>
        </w:rPr>
      </w:pPr>
      <w:r w:rsidRPr="00FE42C9">
        <w:rPr>
          <w:b/>
          <w:bCs/>
          <w:lang w:val="es-CL"/>
        </w:rPr>
        <w:t>Contexto</w:t>
      </w:r>
      <w:r w:rsidRPr="00FE42C9">
        <w:rPr>
          <w:lang w:val="es-CL"/>
        </w:rPr>
        <w:t>: Publicación de los puntajes nacionales históricos del SIMCE para analizar el impacto del periodo de pandemia en la educación.</w:t>
      </w:r>
    </w:p>
    <w:p w14:paraId="4859FB05" w14:textId="77777777" w:rsidR="00FE42C9" w:rsidRPr="00FE42C9" w:rsidRDefault="00FE42C9" w:rsidP="00FE42C9">
      <w:pPr>
        <w:numPr>
          <w:ilvl w:val="1"/>
          <w:numId w:val="2"/>
        </w:numPr>
        <w:rPr>
          <w:lang w:val="es-CL"/>
        </w:rPr>
      </w:pPr>
      <w:r w:rsidRPr="00FE42C9">
        <w:rPr>
          <w:b/>
          <w:bCs/>
          <w:lang w:val="es-CL"/>
        </w:rPr>
        <w:t>Audiencia objetivo</w:t>
      </w:r>
      <w:r w:rsidRPr="00FE42C9">
        <w:rPr>
          <w:lang w:val="es-CL"/>
        </w:rPr>
        <w:t xml:space="preserve">: Comunidad escolar, medios de comunicación, académicos y tomadores de decisiones en políticas públicas. </w:t>
      </w:r>
    </w:p>
    <w:p w14:paraId="3EFFD638" w14:textId="77777777" w:rsidR="00FE42C9" w:rsidRPr="00FE42C9" w:rsidRDefault="00FE42C9" w:rsidP="00FE42C9">
      <w:pPr>
        <w:numPr>
          <w:ilvl w:val="0"/>
          <w:numId w:val="2"/>
        </w:numPr>
        <w:rPr>
          <w:lang w:val="es-CL"/>
        </w:rPr>
      </w:pPr>
      <w:r w:rsidRPr="00FE42C9">
        <w:rPr>
          <w:b/>
          <w:bCs/>
          <w:lang w:val="es-CL"/>
        </w:rPr>
        <w:t>Evaluación Técnica</w:t>
      </w:r>
      <w:r w:rsidRPr="00FE42C9">
        <w:rPr>
          <w:lang w:val="es-CL"/>
        </w:rPr>
        <w:t>:</w:t>
      </w:r>
    </w:p>
    <w:p w14:paraId="77C9EF4B" w14:textId="77777777" w:rsidR="00FE42C9" w:rsidRPr="00FE42C9" w:rsidRDefault="00FE42C9" w:rsidP="00FE42C9">
      <w:pPr>
        <w:numPr>
          <w:ilvl w:val="1"/>
          <w:numId w:val="2"/>
        </w:numPr>
        <w:rPr>
          <w:lang w:val="es-CL"/>
        </w:rPr>
      </w:pPr>
      <w:r w:rsidRPr="00FE42C9">
        <w:rPr>
          <w:b/>
          <w:bCs/>
          <w:lang w:val="es-CL"/>
        </w:rPr>
        <w:t>Tipo de gráfico</w:t>
      </w:r>
      <w:r w:rsidRPr="00FE42C9">
        <w:rPr>
          <w:lang w:val="es-CL"/>
        </w:rPr>
        <w:t xml:space="preserve">: Gráfico de líneas (Serie de tiempo). </w:t>
      </w:r>
    </w:p>
    <w:p w14:paraId="18EDFEFE" w14:textId="77777777" w:rsidR="00FE42C9" w:rsidRPr="00FE42C9" w:rsidRDefault="00FE42C9" w:rsidP="00FE42C9">
      <w:pPr>
        <w:numPr>
          <w:ilvl w:val="1"/>
          <w:numId w:val="2"/>
        </w:numPr>
        <w:rPr>
          <w:lang w:val="es-CL"/>
        </w:rPr>
      </w:pPr>
      <w:r w:rsidRPr="00FE42C9">
        <w:rPr>
          <w:b/>
          <w:bCs/>
          <w:lang w:val="es-CL"/>
        </w:rPr>
        <w:t>Variables representadas</w:t>
      </w:r>
      <w:r w:rsidRPr="00FE42C9">
        <w:rPr>
          <w:lang w:val="es-CL"/>
        </w:rPr>
        <w:t>: Variable cuantitativa continua en eje X (Años: 2016, 2017, 2018, 2022) y Variable cuantitativa continua en eje Y (Puntaje promedio SIMCE).</w:t>
      </w:r>
    </w:p>
    <w:p w14:paraId="7D5C1BBB" w14:textId="77777777" w:rsidR="00FE42C9" w:rsidRPr="00FE42C9" w:rsidRDefault="00FE42C9" w:rsidP="00FE42C9">
      <w:pPr>
        <w:numPr>
          <w:ilvl w:val="1"/>
          <w:numId w:val="2"/>
        </w:numPr>
        <w:rPr>
          <w:lang w:val="es-CL"/>
        </w:rPr>
      </w:pPr>
      <w:r w:rsidRPr="00FE42C9">
        <w:rPr>
          <w:b/>
          <w:bCs/>
          <w:lang w:val="es-CL"/>
        </w:rPr>
        <w:t>Calidad de representación</w:t>
      </w:r>
      <w:r w:rsidRPr="00FE42C9">
        <w:rPr>
          <w:lang w:val="es-CL"/>
        </w:rPr>
        <w:t>: Calidad media-baja por alteración del eje temporal en la variable X.</w:t>
      </w:r>
    </w:p>
    <w:p w14:paraId="51A0BD62" w14:textId="77777777" w:rsidR="00FE42C9" w:rsidRPr="00FE42C9" w:rsidRDefault="00FE42C9" w:rsidP="00FE42C9">
      <w:pPr>
        <w:numPr>
          <w:ilvl w:val="0"/>
          <w:numId w:val="2"/>
        </w:numPr>
        <w:rPr>
          <w:lang w:val="es-CL"/>
        </w:rPr>
      </w:pPr>
      <w:r w:rsidRPr="00FE42C9">
        <w:rPr>
          <w:b/>
          <w:bCs/>
          <w:lang w:val="es-CL"/>
        </w:rPr>
        <w:t>Evaluación Crítica</w:t>
      </w:r>
      <w:r w:rsidRPr="00FE42C9">
        <w:rPr>
          <w:lang w:val="es-CL"/>
        </w:rPr>
        <w:t>:</w:t>
      </w:r>
    </w:p>
    <w:p w14:paraId="1E8E3A89" w14:textId="77777777" w:rsidR="00FE42C9" w:rsidRPr="00FE42C9" w:rsidRDefault="00FE42C9" w:rsidP="00FE42C9">
      <w:pPr>
        <w:numPr>
          <w:ilvl w:val="1"/>
          <w:numId w:val="2"/>
        </w:numPr>
        <w:rPr>
          <w:lang w:val="es-CL"/>
        </w:rPr>
      </w:pPr>
      <w:r w:rsidRPr="00FE42C9">
        <w:rPr>
          <w:b/>
          <w:bCs/>
          <w:lang w:val="es-CL"/>
        </w:rPr>
        <w:t>Claridad visual</w:t>
      </w:r>
      <w:r w:rsidRPr="00FE42C9">
        <w:rPr>
          <w:lang w:val="es-CL"/>
        </w:rPr>
        <w:t>: La línea muestra una caída abrupta y muy pronunciada entre los puntos contiguos.</w:t>
      </w:r>
    </w:p>
    <w:p w14:paraId="51685CC1" w14:textId="77777777" w:rsidR="00FE42C9" w:rsidRPr="00FE42C9" w:rsidRDefault="00FE42C9" w:rsidP="00FE42C9">
      <w:pPr>
        <w:numPr>
          <w:ilvl w:val="1"/>
          <w:numId w:val="2"/>
        </w:numPr>
        <w:rPr>
          <w:lang w:val="es-CL"/>
        </w:rPr>
      </w:pPr>
      <w:r w:rsidRPr="00FE42C9">
        <w:rPr>
          <w:b/>
          <w:bCs/>
          <w:lang w:val="es-CL"/>
        </w:rPr>
        <w:t>Posibles problemas de interpretación / Sesgos</w:t>
      </w:r>
      <w:r w:rsidRPr="00FE42C9">
        <w:rPr>
          <w:lang w:val="es-CL"/>
        </w:rPr>
        <w:t>: El gráfico omite en el eje X los años sin evaluación (2019, 2020 y 2021) debido a la suspensión por la pandemia, pero mantiene la distancia entre puntos como si fuera un intervalo de un solo año. Esto genera una pendiente artificialmente empinada que exagera visualmente la velocidad de caída de los puntajes.</w:t>
      </w:r>
    </w:p>
    <w:p w14:paraId="2BBB40CA" w14:textId="77777777" w:rsidR="00FE42C9" w:rsidRPr="00FE42C9" w:rsidRDefault="00FE42C9" w:rsidP="00FE42C9">
      <w:pPr>
        <w:numPr>
          <w:ilvl w:val="0"/>
          <w:numId w:val="2"/>
        </w:numPr>
        <w:rPr>
          <w:lang w:val="es-CL"/>
        </w:rPr>
      </w:pPr>
      <w:r w:rsidRPr="00FE42C9">
        <w:rPr>
          <w:b/>
          <w:bCs/>
          <w:lang w:val="es-CL"/>
        </w:rPr>
        <w:t>Propuesta de Mejora</w:t>
      </w:r>
      <w:r w:rsidRPr="00FE42C9">
        <w:rPr>
          <w:lang w:val="es-CL"/>
        </w:rPr>
        <w:t>:</w:t>
      </w:r>
    </w:p>
    <w:p w14:paraId="49B155B5" w14:textId="77777777" w:rsidR="00FE42C9" w:rsidRPr="00FE42C9" w:rsidRDefault="00FE42C9" w:rsidP="00FE42C9">
      <w:pPr>
        <w:numPr>
          <w:ilvl w:val="1"/>
          <w:numId w:val="2"/>
        </w:numPr>
        <w:rPr>
          <w:lang w:val="es-CL"/>
        </w:rPr>
      </w:pPr>
      <w:r w:rsidRPr="00FE42C9">
        <w:rPr>
          <w:b/>
          <w:bCs/>
          <w:lang w:val="es-CL"/>
        </w:rPr>
        <w:t>Modificaciones</w:t>
      </w:r>
      <w:r w:rsidRPr="00FE42C9">
        <w:rPr>
          <w:lang w:val="es-CL"/>
        </w:rPr>
        <w:t xml:space="preserve">: Mantener la escala temporal completa en el eje X (incluyendo los años 2019 a 2021 sin datos). Utilizar una </w:t>
      </w:r>
      <w:r w:rsidRPr="00FE42C9">
        <w:rPr>
          <w:b/>
          <w:bCs/>
          <w:lang w:val="es-CL"/>
        </w:rPr>
        <w:t xml:space="preserve">línea </w:t>
      </w:r>
      <w:r w:rsidRPr="00FE42C9">
        <w:rPr>
          <w:b/>
          <w:bCs/>
          <w:lang w:val="es-CL"/>
        </w:rPr>
        <w:lastRenderedPageBreak/>
        <w:t>punteada o un corte visual en la línea continuo</w:t>
      </w:r>
      <w:r w:rsidRPr="00FE42C9">
        <w:rPr>
          <w:lang w:val="es-CL"/>
        </w:rPr>
        <w:t xml:space="preserve"> para señalar explícitamente la interrupción en la toma de mediciones durante el periodo de pandemia.</w:t>
      </w:r>
    </w:p>
    <w:p w14:paraId="3331CFCE" w14:textId="77777777" w:rsidR="00FE42C9" w:rsidRPr="00FE42C9" w:rsidRDefault="00FE42C9" w:rsidP="00FE42C9">
      <w:pPr>
        <w:numPr>
          <w:ilvl w:val="1"/>
          <w:numId w:val="2"/>
        </w:numPr>
        <w:rPr>
          <w:lang w:val="es-CL"/>
        </w:rPr>
      </w:pPr>
      <w:r w:rsidRPr="00FE42C9">
        <w:rPr>
          <w:b/>
          <w:bCs/>
          <w:lang w:val="es-CL"/>
        </w:rPr>
        <w:t>Visualización alternativa propuesta</w:t>
      </w:r>
      <w:r w:rsidRPr="00FE42C9">
        <w:rPr>
          <w:lang w:val="es-CL"/>
        </w:rPr>
        <w:t xml:space="preserve">: Gráfico de líneas a escala temporal real con intervalo de confianza o sombreado en el tramo faltante para contextualizar la discontinuidad de la recolección. </w:t>
      </w:r>
    </w:p>
    <w:p w14:paraId="18FDDD84" w14:textId="77777777" w:rsidR="00FE42C9" w:rsidRPr="00FE42C9" w:rsidRDefault="00FE42C9" w:rsidP="00FE42C9">
      <w:pPr>
        <w:rPr>
          <w:b/>
          <w:bCs/>
          <w:lang w:val="es-CL"/>
        </w:rPr>
      </w:pPr>
      <w:r w:rsidRPr="00FE42C9">
        <w:rPr>
          <w:b/>
          <w:bCs/>
          <w:lang w:val="es-CL"/>
        </w:rPr>
        <w:t>Caso 3: Visualizador Público "Faro Energético"</w:t>
      </w:r>
    </w:p>
    <w:p w14:paraId="5E27D5F6" w14:textId="77777777" w:rsidR="00FE42C9" w:rsidRPr="00FE42C9" w:rsidRDefault="00FE42C9" w:rsidP="00FE42C9">
      <w:pPr>
        <w:numPr>
          <w:ilvl w:val="0"/>
          <w:numId w:val="3"/>
        </w:numPr>
        <w:rPr>
          <w:lang w:val="es-CL"/>
        </w:rPr>
      </w:pPr>
      <w:r w:rsidRPr="00FE42C9">
        <w:rPr>
          <w:b/>
          <w:bCs/>
          <w:lang w:val="es-CL"/>
        </w:rPr>
        <w:t>Descripción</w:t>
      </w:r>
      <w:r w:rsidRPr="00FE42C9">
        <w:rPr>
          <w:lang w:val="es-CL"/>
        </w:rPr>
        <w:t>:</w:t>
      </w:r>
    </w:p>
    <w:p w14:paraId="3948235F" w14:textId="77777777" w:rsidR="00FE42C9" w:rsidRPr="00FE42C9" w:rsidRDefault="00FE42C9" w:rsidP="00FE42C9">
      <w:pPr>
        <w:numPr>
          <w:ilvl w:val="1"/>
          <w:numId w:val="3"/>
        </w:numPr>
        <w:rPr>
          <w:lang w:val="es-CL"/>
        </w:rPr>
      </w:pPr>
      <w:r w:rsidRPr="00FE42C9">
        <w:rPr>
          <w:b/>
          <w:bCs/>
          <w:lang w:val="es-CL"/>
        </w:rPr>
        <w:t>Fuente</w:t>
      </w:r>
      <w:r w:rsidRPr="00FE42C9">
        <w:rPr>
          <w:lang w:val="es-CL"/>
        </w:rPr>
        <w:t>: Plataforma interactiva del Instituto Sistemas Complejos de Ingeniería (ISCI) y el Ministerio de Energía.</w:t>
      </w:r>
    </w:p>
    <w:p w14:paraId="1F81C7A9" w14:textId="77777777" w:rsidR="00FE42C9" w:rsidRPr="00FE42C9" w:rsidRDefault="00FE42C9" w:rsidP="00FE42C9">
      <w:pPr>
        <w:numPr>
          <w:ilvl w:val="1"/>
          <w:numId w:val="3"/>
        </w:numPr>
        <w:rPr>
          <w:lang w:val="es-CL"/>
        </w:rPr>
      </w:pPr>
      <w:r w:rsidRPr="00FE42C9">
        <w:rPr>
          <w:b/>
          <w:bCs/>
          <w:lang w:val="es-CL"/>
        </w:rPr>
        <w:t>Contexto</w:t>
      </w:r>
      <w:r w:rsidRPr="00FE42C9">
        <w:rPr>
          <w:lang w:val="es-CL"/>
        </w:rPr>
        <w:t>: Monitor de datos abiertos sobre demanda de energía eléctrica y combustibles a nivel comunal en Chile.</w:t>
      </w:r>
    </w:p>
    <w:p w14:paraId="50D55132" w14:textId="77777777" w:rsidR="00FE42C9" w:rsidRPr="00FE42C9" w:rsidRDefault="00FE42C9" w:rsidP="00FE42C9">
      <w:pPr>
        <w:numPr>
          <w:ilvl w:val="1"/>
          <w:numId w:val="3"/>
        </w:numPr>
        <w:rPr>
          <w:lang w:val="es-CL"/>
        </w:rPr>
      </w:pPr>
      <w:r w:rsidRPr="00FE42C9">
        <w:rPr>
          <w:b/>
          <w:bCs/>
          <w:lang w:val="es-CL"/>
        </w:rPr>
        <w:t>Audiencia objetivo</w:t>
      </w:r>
      <w:r w:rsidRPr="00FE42C9">
        <w:rPr>
          <w:lang w:val="es-CL"/>
        </w:rPr>
        <w:t xml:space="preserve">: Investigadores, consultores energéticos, autoridades regionales y ciudadanía. </w:t>
      </w:r>
    </w:p>
    <w:p w14:paraId="2298CADA" w14:textId="77777777" w:rsidR="00FE42C9" w:rsidRPr="00FE42C9" w:rsidRDefault="00FE42C9" w:rsidP="00FE42C9">
      <w:pPr>
        <w:numPr>
          <w:ilvl w:val="0"/>
          <w:numId w:val="3"/>
        </w:numPr>
        <w:rPr>
          <w:lang w:val="es-CL"/>
        </w:rPr>
      </w:pPr>
      <w:r w:rsidRPr="00FE42C9">
        <w:rPr>
          <w:b/>
          <w:bCs/>
          <w:lang w:val="es-CL"/>
        </w:rPr>
        <w:t>Evaluación Técnica</w:t>
      </w:r>
      <w:r w:rsidRPr="00FE42C9">
        <w:rPr>
          <w:lang w:val="es-CL"/>
        </w:rPr>
        <w:t>:</w:t>
      </w:r>
    </w:p>
    <w:p w14:paraId="5AAABEF2" w14:textId="77777777" w:rsidR="00FE42C9" w:rsidRPr="00FE42C9" w:rsidRDefault="00FE42C9" w:rsidP="00FE42C9">
      <w:pPr>
        <w:numPr>
          <w:ilvl w:val="1"/>
          <w:numId w:val="3"/>
        </w:numPr>
        <w:rPr>
          <w:lang w:val="es-CL"/>
        </w:rPr>
      </w:pPr>
      <w:r w:rsidRPr="00FE42C9">
        <w:rPr>
          <w:b/>
          <w:bCs/>
          <w:lang w:val="es-CL"/>
        </w:rPr>
        <w:t>Tipo de gráfico</w:t>
      </w:r>
      <w:r w:rsidRPr="00FE42C9">
        <w:rPr>
          <w:lang w:val="es-CL"/>
        </w:rPr>
        <w:t xml:space="preserve">: Dashboard interactivo compuesto por mapas </w:t>
      </w:r>
      <w:proofErr w:type="spellStart"/>
      <w:r w:rsidRPr="00FE42C9">
        <w:rPr>
          <w:lang w:val="es-CL"/>
        </w:rPr>
        <w:t>coropléticos</w:t>
      </w:r>
      <w:proofErr w:type="spellEnd"/>
      <w:r w:rsidRPr="00FE42C9">
        <w:rPr>
          <w:lang w:val="es-CL"/>
        </w:rPr>
        <w:t xml:space="preserve"> y gráficos de barras integrados. </w:t>
      </w:r>
    </w:p>
    <w:p w14:paraId="636C3B21" w14:textId="77777777" w:rsidR="00FE42C9" w:rsidRPr="00FE42C9" w:rsidRDefault="00FE42C9" w:rsidP="00FE42C9">
      <w:pPr>
        <w:numPr>
          <w:ilvl w:val="1"/>
          <w:numId w:val="3"/>
        </w:numPr>
        <w:rPr>
          <w:lang w:val="es-CL"/>
        </w:rPr>
      </w:pPr>
      <w:r w:rsidRPr="00FE42C9">
        <w:rPr>
          <w:b/>
          <w:bCs/>
          <w:lang w:val="es-CL"/>
        </w:rPr>
        <w:t>Variables representadas</w:t>
      </w:r>
      <w:r w:rsidRPr="00FE42C9">
        <w:rPr>
          <w:lang w:val="es-CL"/>
        </w:rPr>
        <w:t xml:space="preserve">: Variables espaciales (Comunas/Regiones), cuantitativas continuas (Demandas en </w:t>
      </w:r>
      <w:proofErr w:type="spellStart"/>
      <w:r w:rsidRPr="00FE42C9">
        <w:rPr>
          <w:lang w:val="es-CL"/>
        </w:rPr>
        <w:t>MWh</w:t>
      </w:r>
      <w:proofErr w:type="spellEnd"/>
      <w:r w:rsidRPr="00FE42C9">
        <w:rPr>
          <w:lang w:val="es-CL"/>
        </w:rPr>
        <w:t xml:space="preserve"> / litros de combustible) y categóricas (Tipos de fuentes de energía).</w:t>
      </w:r>
    </w:p>
    <w:p w14:paraId="4A254C6F" w14:textId="77777777" w:rsidR="00FE42C9" w:rsidRPr="00FE42C9" w:rsidRDefault="00FE42C9" w:rsidP="00FE42C9">
      <w:pPr>
        <w:numPr>
          <w:ilvl w:val="1"/>
          <w:numId w:val="3"/>
        </w:numPr>
        <w:rPr>
          <w:lang w:val="es-CL"/>
        </w:rPr>
      </w:pPr>
      <w:r w:rsidRPr="00FE42C9">
        <w:rPr>
          <w:b/>
          <w:bCs/>
          <w:lang w:val="es-CL"/>
        </w:rPr>
        <w:t>Calidad de representación</w:t>
      </w:r>
      <w:r w:rsidRPr="00FE42C9">
        <w:rPr>
          <w:lang w:val="es-CL"/>
        </w:rPr>
        <w:t xml:space="preserve">: Nivel de complejidad alto, pero con excelente resolución interactiva y estandarización de datos. </w:t>
      </w:r>
    </w:p>
    <w:p w14:paraId="13F22A4D" w14:textId="77777777" w:rsidR="00FE42C9" w:rsidRPr="00FE42C9" w:rsidRDefault="00FE42C9" w:rsidP="00FE42C9">
      <w:pPr>
        <w:numPr>
          <w:ilvl w:val="0"/>
          <w:numId w:val="3"/>
        </w:numPr>
        <w:rPr>
          <w:lang w:val="es-CL"/>
        </w:rPr>
      </w:pPr>
      <w:r w:rsidRPr="00FE42C9">
        <w:rPr>
          <w:b/>
          <w:bCs/>
          <w:lang w:val="es-CL"/>
        </w:rPr>
        <w:t>Evaluación Crítica</w:t>
      </w:r>
      <w:r w:rsidRPr="00FE42C9">
        <w:rPr>
          <w:lang w:val="es-CL"/>
        </w:rPr>
        <w:t>:</w:t>
      </w:r>
    </w:p>
    <w:p w14:paraId="4C4D75A2" w14:textId="77777777" w:rsidR="00FE42C9" w:rsidRPr="00FE42C9" w:rsidRDefault="00FE42C9" w:rsidP="00FE42C9">
      <w:pPr>
        <w:numPr>
          <w:ilvl w:val="1"/>
          <w:numId w:val="3"/>
        </w:numPr>
        <w:rPr>
          <w:lang w:val="es-CL"/>
        </w:rPr>
      </w:pPr>
      <w:r w:rsidRPr="00FE42C9">
        <w:rPr>
          <w:b/>
          <w:bCs/>
          <w:lang w:val="es-CL"/>
        </w:rPr>
        <w:t>Claridad visual</w:t>
      </w:r>
      <w:r w:rsidRPr="00FE42C9">
        <w:rPr>
          <w:lang w:val="es-CL"/>
        </w:rPr>
        <w:t xml:space="preserve">: Alta calidad técnica, aplicando de forma efectiva la jerarquía visual y la interactividad. </w:t>
      </w:r>
    </w:p>
    <w:p w14:paraId="52A6A164" w14:textId="77777777" w:rsidR="00FE42C9" w:rsidRPr="00FE42C9" w:rsidRDefault="00FE42C9" w:rsidP="00FE42C9">
      <w:pPr>
        <w:numPr>
          <w:ilvl w:val="1"/>
          <w:numId w:val="3"/>
        </w:numPr>
        <w:rPr>
          <w:lang w:val="es-CL"/>
        </w:rPr>
      </w:pPr>
      <w:r w:rsidRPr="00FE42C9">
        <w:rPr>
          <w:b/>
          <w:bCs/>
          <w:lang w:val="es-CL"/>
        </w:rPr>
        <w:t>Posibles problemas de interpretación / Sesgos</w:t>
      </w:r>
      <w:r w:rsidRPr="00FE42C9">
        <w:rPr>
          <w:lang w:val="es-CL"/>
        </w:rPr>
        <w:t xml:space="preserve">: El uso del mapa </w:t>
      </w:r>
      <w:proofErr w:type="spellStart"/>
      <w:r w:rsidRPr="00FE42C9">
        <w:rPr>
          <w:lang w:val="es-CL"/>
        </w:rPr>
        <w:t>coroplético</w:t>
      </w:r>
      <w:proofErr w:type="spellEnd"/>
      <w:r w:rsidRPr="00FE42C9">
        <w:rPr>
          <w:lang w:val="es-CL"/>
        </w:rPr>
        <w:t xml:space="preserve"> (color por superficie comunal) puede generar un </w:t>
      </w:r>
      <w:r w:rsidRPr="00FE42C9">
        <w:rPr>
          <w:b/>
          <w:bCs/>
          <w:lang w:val="es-CL"/>
        </w:rPr>
        <w:t>sesgo de percepción geográfica</w:t>
      </w:r>
      <w:r w:rsidRPr="00FE42C9">
        <w:rPr>
          <w:lang w:val="es-CL"/>
        </w:rPr>
        <w:t xml:space="preserve">: las comunas de gran extensión territorial (ej. en el norte o extremo sur de Chile) captan más la atención visual que las comunas pequeñas de la Región Metropolitana, a pesar de que estas últimas concentran la mayor densidad de consumo de datos. </w:t>
      </w:r>
    </w:p>
    <w:p w14:paraId="5D8A557D" w14:textId="77777777" w:rsidR="00FE42C9" w:rsidRPr="00FE42C9" w:rsidRDefault="00FE42C9" w:rsidP="00FE42C9">
      <w:pPr>
        <w:numPr>
          <w:ilvl w:val="0"/>
          <w:numId w:val="3"/>
        </w:numPr>
        <w:rPr>
          <w:lang w:val="es-CL"/>
        </w:rPr>
      </w:pPr>
      <w:r w:rsidRPr="00FE42C9">
        <w:rPr>
          <w:b/>
          <w:bCs/>
          <w:lang w:val="es-CL"/>
        </w:rPr>
        <w:lastRenderedPageBreak/>
        <w:t>Propuesta de Mejora</w:t>
      </w:r>
      <w:r w:rsidRPr="00FE42C9">
        <w:rPr>
          <w:lang w:val="es-CL"/>
        </w:rPr>
        <w:t>:</w:t>
      </w:r>
    </w:p>
    <w:p w14:paraId="1EFE8649" w14:textId="77777777" w:rsidR="00FE42C9" w:rsidRPr="00FE42C9" w:rsidRDefault="00FE42C9" w:rsidP="00FE42C9">
      <w:pPr>
        <w:numPr>
          <w:ilvl w:val="1"/>
          <w:numId w:val="3"/>
        </w:numPr>
        <w:rPr>
          <w:lang w:val="es-CL"/>
        </w:rPr>
      </w:pPr>
      <w:r w:rsidRPr="00FE42C9">
        <w:rPr>
          <w:b/>
          <w:bCs/>
          <w:lang w:val="es-CL"/>
        </w:rPr>
        <w:t>Modificaciones / Elementos a agregar</w:t>
      </w:r>
      <w:r w:rsidRPr="00FE42C9">
        <w:rPr>
          <w:lang w:val="es-CL"/>
        </w:rPr>
        <w:t xml:space="preserve">: Incorporar una vista alternativa tipo </w:t>
      </w:r>
      <w:r w:rsidRPr="00FE42C9">
        <w:rPr>
          <w:b/>
          <w:bCs/>
          <w:lang w:val="es-CL"/>
        </w:rPr>
        <w:t>Cartograma</w:t>
      </w:r>
      <w:r w:rsidRPr="00FE42C9">
        <w:rPr>
          <w:lang w:val="es-CL"/>
        </w:rPr>
        <w:t xml:space="preserve"> (donde el tamaño geográfico se escala proporcionalmente a la cantidad de consumo) o permitir la conmutación directa a un gráfico de barras ordenado. </w:t>
      </w:r>
    </w:p>
    <w:p w14:paraId="25726B40" w14:textId="77777777" w:rsidR="00FE42C9" w:rsidRPr="00FE42C9" w:rsidRDefault="00FE42C9" w:rsidP="00FE42C9">
      <w:pPr>
        <w:numPr>
          <w:ilvl w:val="1"/>
          <w:numId w:val="3"/>
        </w:numPr>
        <w:rPr>
          <w:lang w:val="es-CL"/>
        </w:rPr>
      </w:pPr>
      <w:r w:rsidRPr="00FE42C9">
        <w:rPr>
          <w:b/>
          <w:bCs/>
          <w:lang w:val="es-CL"/>
        </w:rPr>
        <w:t>Visualización alternativa propuesta</w:t>
      </w:r>
      <w:r w:rsidRPr="00FE42C9">
        <w:rPr>
          <w:lang w:val="es-CL"/>
        </w:rPr>
        <w:t xml:space="preserve">: Mapa interactivo con símbolos graduados (burbujas) superpuestos sobre el mapa, lo cual refleja la concentración del consumo sin distorsionar la interpretación por el tamaño del área geográfica de la comuna. </w:t>
      </w:r>
    </w:p>
    <w:p w14:paraId="00DF36F7" w14:textId="77777777" w:rsidR="00101711" w:rsidRPr="00FE42C9" w:rsidRDefault="00101711">
      <w:pPr>
        <w:rPr>
          <w:lang w:val="es-CL"/>
        </w:rPr>
      </w:pPr>
    </w:p>
    <w:sectPr w:rsidR="00101711" w:rsidRPr="00FE42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D1A16"/>
    <w:multiLevelType w:val="multilevel"/>
    <w:tmpl w:val="F2263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5E7C8A"/>
    <w:multiLevelType w:val="multilevel"/>
    <w:tmpl w:val="3CF60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B178A6"/>
    <w:multiLevelType w:val="multilevel"/>
    <w:tmpl w:val="ADAE7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919104">
    <w:abstractNumId w:val="2"/>
  </w:num>
  <w:num w:numId="2" w16cid:durableId="323512771">
    <w:abstractNumId w:val="1"/>
  </w:num>
  <w:num w:numId="3" w16cid:durableId="1850440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31"/>
    <w:rsid w:val="00101711"/>
    <w:rsid w:val="002E7314"/>
    <w:rsid w:val="002F6547"/>
    <w:rsid w:val="003832F8"/>
    <w:rsid w:val="004C1E31"/>
    <w:rsid w:val="00FE42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79AB89-CB21-4FC2-8753-5295C2463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4C1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1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1E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1E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1E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1E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1E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1E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1E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1E31"/>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4C1E31"/>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4C1E31"/>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4C1E31"/>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4C1E31"/>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4C1E31"/>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4C1E31"/>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4C1E31"/>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4C1E31"/>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4C1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1E31"/>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4C1E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1E31"/>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4C1E31"/>
    <w:pPr>
      <w:spacing w:before="160"/>
      <w:jc w:val="center"/>
    </w:pPr>
    <w:rPr>
      <w:i/>
      <w:iCs/>
      <w:color w:val="404040" w:themeColor="text1" w:themeTint="BF"/>
    </w:rPr>
  </w:style>
  <w:style w:type="character" w:customStyle="1" w:styleId="CitaCar">
    <w:name w:val="Cita Car"/>
    <w:basedOn w:val="Fuentedeprrafopredeter"/>
    <w:link w:val="Cita"/>
    <w:uiPriority w:val="29"/>
    <w:rsid w:val="004C1E31"/>
    <w:rPr>
      <w:i/>
      <w:iCs/>
      <w:color w:val="404040" w:themeColor="text1" w:themeTint="BF"/>
      <w:lang w:val="es-419"/>
    </w:rPr>
  </w:style>
  <w:style w:type="paragraph" w:styleId="Prrafodelista">
    <w:name w:val="List Paragraph"/>
    <w:basedOn w:val="Normal"/>
    <w:uiPriority w:val="34"/>
    <w:qFormat/>
    <w:rsid w:val="004C1E31"/>
    <w:pPr>
      <w:ind w:left="720"/>
      <w:contextualSpacing/>
    </w:pPr>
  </w:style>
  <w:style w:type="character" w:styleId="nfasisintenso">
    <w:name w:val="Intense Emphasis"/>
    <w:basedOn w:val="Fuentedeprrafopredeter"/>
    <w:uiPriority w:val="21"/>
    <w:qFormat/>
    <w:rsid w:val="004C1E31"/>
    <w:rPr>
      <w:i/>
      <w:iCs/>
      <w:color w:val="0F4761" w:themeColor="accent1" w:themeShade="BF"/>
    </w:rPr>
  </w:style>
  <w:style w:type="paragraph" w:styleId="Citadestacada">
    <w:name w:val="Intense Quote"/>
    <w:basedOn w:val="Normal"/>
    <w:next w:val="Normal"/>
    <w:link w:val="CitadestacadaCar"/>
    <w:uiPriority w:val="30"/>
    <w:qFormat/>
    <w:rsid w:val="004C1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1E31"/>
    <w:rPr>
      <w:i/>
      <w:iCs/>
      <w:color w:val="0F4761" w:themeColor="accent1" w:themeShade="BF"/>
      <w:lang w:val="es-419"/>
    </w:rPr>
  </w:style>
  <w:style w:type="character" w:styleId="Referenciaintensa">
    <w:name w:val="Intense Reference"/>
    <w:basedOn w:val="Fuentedeprrafopredeter"/>
    <w:uiPriority w:val="32"/>
    <w:qFormat/>
    <w:rsid w:val="004C1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839</Words>
  <Characters>4615</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JESUS CARRASCO LOYOLA</dc:creator>
  <cp:keywords/>
  <dc:description/>
  <cp:lastModifiedBy>BRYAN JESUS CARRASCO LOYOLA</cp:lastModifiedBy>
  <cp:revision>2</cp:revision>
  <dcterms:created xsi:type="dcterms:W3CDTF">2026-09-28T06:33:00Z</dcterms:created>
  <dcterms:modified xsi:type="dcterms:W3CDTF">2026-09-28T06:33:00Z</dcterms:modified>
</cp:coreProperties>
</file>