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48"/>
        </w:rPr>
        <w:t>Syntrix V2X: A Software-Defined Cloud-Synchronized Vehicle-to-Everything System with C-V2X Resource Allocation Analysis</w:t>
      </w:r>
    </w:p>
    <w:p>
      <w:pPr>
        <w:spacing w:after="360"/>
        <w:jc w:val="center"/>
      </w:pPr>
      <w:r>
        <w:rPr>
          <w:rFonts w:ascii="Times New Roman" w:hAnsi="Times New Roman"/>
          <w:color w:val="000000"/>
          <w:sz w:val="20"/>
        </w:rPr>
        <w:t>Vishal, [Student 2 Name], [Student 3 Name], [Student 4 Name], [Student 5 Name]</w:t>
        <w:br/>
        <w:t>Department of Computer Science and Engineering, RV College of Engineering, Bengaluru, India</w:t>
      </w:r>
    </w:p>
    <w:p>
      <w:pPr>
        <w:spacing w:after="120"/>
        <w:ind w:left="360" w:right="360"/>
        <w:jc w:val="both"/>
      </w:pPr>
      <w:r>
        <w:rPr>
          <w:rFonts w:ascii="Times New Roman" w:hAnsi="Times New Roman"/>
          <w:b/>
          <w:i/>
          <w:sz w:val="18"/>
        </w:rPr>
        <w:t>Abstract—</w:t>
      </w:r>
      <w:r>
        <w:rPr>
          <w:rFonts w:ascii="Times New Roman" w:hAnsi="Times New Roman"/>
          <w:i/>
          <w:sz w:val="18"/>
        </w:rPr>
        <w:t xml:space="preserve">Urban emergency vehicle delays at congested intersections directly impact survival rates in critical incidents. Traditional hardware-based Cellular Vehicle-to-Everything (C-V2X) systems require high-cost On-Board Units (OBUs) and Roadside Units (RSUs), hindering wide-scale deployment in resource-constrained municipalities. This paper presents </w:t>
      </w:r>
      <w:r>
        <w:rPr>
          <w:rFonts w:ascii="Times New Roman" w:hAnsi="Times New Roman"/>
          <w:i/>
          <w:sz w:val="18"/>
        </w:rPr>
        <w:t>Syntrix V2X</w:t>
      </w:r>
      <w:r>
        <w:rPr>
          <w:rFonts w:ascii="Times New Roman" w:hAnsi="Times New Roman"/>
          <w:i/>
          <w:sz w:val="18"/>
        </w:rPr>
        <w:t xml:space="preserve">, a software-defined, cloud-synchronized emergency clearance system that leverages browser-based Geolocation APIs, WebSocket-based synchronization via Firebase, and a dual-stage state estimation pipeline (Kalman and Particle filtering) to achieve real-time Vehicle-to-Vehicle (V2V) yield alerts and Vehicle-to-Infrastructure (V2I) traffic signal preemption. Crucially, we present a detailed analysis of C-V2X Sidelink Resource Allocation (RA) modes, comparing LTE-V2X (Mode 3 and Mode 4) with 5G-NR V2X (Mode 1 and Mode 2), and mapping our software-defined broker architecture onto these standardized radio layers. We outline practical integration pathways for physical vehicle dashboards (using Android Auto, Apple CarPlay, and OBD-II telematics) and address the deployment challenge for vehicles lacking visual dashboards by proposing alternative interaction paradigms, including windshield-projected Head-Up Displays (HUDs), haptic wearable alerts, and localized acoustic-beacon receivers. </w:t>
      </w:r>
    </w:p>
    <w:p>
      <w:pPr>
        <w:sectPr>
          <w:pgSz w:w="12240" w:h="15840"/>
          <w:pgMar w:top="1080" w:right="1080" w:bottom="1080" w:left="1080" w:header="720" w:footer="720" w:gutter="0"/>
          <w:cols w:space="720"/>
          <w:docGrid w:linePitch="360"/>
        </w:sectPr>
      </w:pPr>
    </w:p>
    <w:p>
      <w:pPr>
        <w:spacing w:after="120"/>
      </w:pPr>
    </w:p>
    <w:p>
      <w:pPr>
        <w:keepNext/>
        <w:spacing w:before="240" w:after="80"/>
        <w:jc w:val="center"/>
      </w:pPr>
      <w:r>
        <w:rPr>
          <w:rFonts w:ascii="Times New Roman" w:hAnsi="Times New Roman"/>
          <w:b/>
          <w:color w:val="000000"/>
          <w:sz w:val="20"/>
        </w:rPr>
        <w:t>I. INTRODUCTION</w:t>
      </w:r>
    </w:p>
    <w:p>
      <w:pPr>
        <w:spacing w:after="80" w:line="240" w:lineRule="auto"/>
        <w:ind w:firstLine="216"/>
        <w:jc w:val="both"/>
      </w:pPr>
      <w:r>
        <w:rPr>
          <w:rFonts w:ascii="Times New Roman" w:hAnsi="Times New Roman"/>
          <w:sz w:val="20"/>
        </w:rPr>
        <w:t>In densely populated metropolitan areas, emergency vehicles (EVs) such as ambulances, fire engines, and police patrol units routinely experience delays due to heavy traffic congestion. According to traffic safety telemetry, delays in emergency medical response times correlate non-linearly with mortality rates in trauma and cardiac events. Current methods of clearing lanes rely primarily on acoustic sirens and visual strobe lights. These systems are passive, localized, and heavily dependent on the reaction of civilian drivers, which is often compromised in modern sound-insulated passenger vehicles.</w:t>
      </w:r>
    </w:p>
    <w:p>
      <w:pPr>
        <w:spacing w:after="80" w:line="240" w:lineRule="auto"/>
        <w:ind w:firstLine="216"/>
        <w:jc w:val="both"/>
      </w:pPr>
      <w:r>
        <w:rPr>
          <w:rFonts w:ascii="Times New Roman" w:hAnsi="Times New Roman"/>
          <w:sz w:val="20"/>
        </w:rPr>
        <w:t>Cellular Vehicle-to-Everything (C-V2X) communication, operating on the Sidelink PC5 direct interface, offers a cooperative solution by allowing real-time state sharing between emergency vehicles, traffic signals, and civilian road users. However, standardizing C-V2X direct radio communication faces high barrier costs due to the need for specialized radio hardware. This capital intensity delays the benefits of intelligent transportation systems in developing nations.</w:t>
      </w:r>
    </w:p>
    <w:p>
      <w:pPr>
        <w:spacing w:after="80" w:line="240" w:lineRule="auto"/>
        <w:ind w:firstLine="216"/>
        <w:jc w:val="both"/>
      </w:pPr>
      <w:r>
        <w:rPr>
          <w:rFonts w:ascii="Times New Roman" w:hAnsi="Times New Roman"/>
          <w:sz w:val="20"/>
        </w:rPr>
        <w:t xml:space="preserve">To bridge this gap, this paper introduces </w:t>
      </w:r>
      <w:r>
        <w:rPr>
          <w:rFonts w:ascii="Times New Roman" w:hAnsi="Times New Roman"/>
          <w:i/>
          <w:sz w:val="20"/>
        </w:rPr>
        <w:t>Syntrix V2X</w:t>
      </w:r>
      <w:r>
        <w:rPr>
          <w:rFonts w:ascii="Times New Roman" w:hAnsi="Times New Roman"/>
          <w:sz w:val="20"/>
        </w:rPr>
        <w:t>, a software-defined V2X system that runs on standard browser environments, using persistent WebSockets over Firebase Realtime Database for low-latency synchronization. We address positional accuracy concerns with a dual-stage filtering pipeline and solve the real-world deployment challenge by designing multi-tier vehicle integration strategies. Furthermore, we analyze how our centralized database broker models the resource scheduling mechanisms defined in the C-V2X standards, bridging the gap between cloud-based and direct sidelink architectures. The primary contributions of this work are:</w:t>
      </w:r>
    </w:p>
    <w:p>
      <w:pPr>
        <w:spacing w:after="40" w:line="240" w:lineRule="auto"/>
        <w:ind w:left="288" w:hanging="288"/>
        <w:jc w:val="both"/>
      </w:pPr>
      <w:r>
        <w:rPr>
          <w:rFonts w:ascii="Times New Roman" w:hAnsi="Times New Roman"/>
          <w:sz w:val="16"/>
        </w:rPr>
        <w:t>1. The design of a zero-hardware-cost, event-driven V2X communication pipeline achieving sub-500ms latency.</w:t>
      </w:r>
    </w:p>
    <w:p>
      <w:pPr>
        <w:spacing w:after="40" w:line="240" w:lineRule="auto"/>
        <w:ind w:left="288" w:hanging="288"/>
        <w:jc w:val="both"/>
      </w:pPr>
      <w:r>
        <w:rPr>
          <w:rFonts w:ascii="Times New Roman" w:hAnsi="Times New Roman"/>
          <w:sz w:val="16"/>
        </w:rPr>
        <w:t>2. A dual-stage state estimation pipeline (Kalman Filter + Particle Filter) that stabilizes geolocation vectors in urban canyons.</w:t>
      </w:r>
    </w:p>
    <w:p>
      <w:pPr>
        <w:spacing w:after="40" w:line="240" w:lineRule="auto"/>
        <w:ind w:left="288" w:hanging="288"/>
        <w:jc w:val="both"/>
      </w:pPr>
      <w:r>
        <w:rPr>
          <w:rFonts w:ascii="Times New Roman" w:hAnsi="Times New Roman"/>
          <w:sz w:val="16"/>
        </w:rPr>
        <w:t>3. A technical analysis of C-V2X Sidelink Resource Allocation (RA) modes from LTE-V2X (Modes 3/4) to 5G-NR V2X (Modes 1/2).</w:t>
      </w:r>
    </w:p>
    <w:p>
      <w:pPr>
        <w:spacing w:after="40" w:line="240" w:lineRule="auto"/>
        <w:ind w:left="288" w:hanging="288"/>
        <w:jc w:val="both"/>
      </w:pPr>
      <w:r>
        <w:rPr>
          <w:rFonts w:ascii="Times New Roman" w:hAnsi="Times New Roman"/>
          <w:sz w:val="16"/>
        </w:rPr>
        <w:t>4. Alternative interaction designs (HUDs, haptics, acoustics) for civilian vehicles lacking integrated dashboard displays.</w:t>
      </w:r>
    </w:p>
    <w:p>
      <w:pPr>
        <w:spacing w:after="120"/>
      </w:pPr>
    </w:p>
    <w:p>
      <w:pPr>
        <w:keepNext/>
        <w:spacing w:before="240" w:after="80"/>
        <w:jc w:val="center"/>
      </w:pPr>
      <w:r>
        <w:rPr>
          <w:rFonts w:ascii="Times New Roman" w:hAnsi="Times New Roman"/>
          <w:b/>
          <w:color w:val="000000"/>
          <w:sz w:val="20"/>
        </w:rPr>
        <w:t>II. OVERVIEW OF VEHICULAR COMMUNICATION TECHNOLOGIES</w:t>
      </w:r>
    </w:p>
    <w:p>
      <w:pPr>
        <w:spacing w:after="80" w:line="240" w:lineRule="auto"/>
        <w:ind w:firstLine="216"/>
        <w:jc w:val="both"/>
      </w:pPr>
      <w:r>
        <w:rPr>
          <w:rFonts w:ascii="Times New Roman" w:hAnsi="Times New Roman"/>
          <w:sz w:val="20"/>
        </w:rPr>
        <w:t>Vehicular networks rely on two competing technology families: Wi-Fi-based and Cellular-based. The Wi-Fi-based family includes the mature IEEE 802.11p standard (operating in the 5.9 GHz ITS band with a 10-MHz bandwidth and subcarrier spacing of 156.25 kHz) and its successor, IEEE 802.11bd, which introduces 256-QAM, MIMO, and midambles for channel estimation at speeds up to 500 km/h.</w:t>
      </w:r>
    </w:p>
    <w:p>
      <w:pPr>
        <w:spacing w:after="80" w:line="240" w:lineRule="auto"/>
        <w:ind w:firstLine="216"/>
        <w:jc w:val="both"/>
      </w:pPr>
      <w:r>
        <w:rPr>
          <w:rFonts w:ascii="Times New Roman" w:hAnsi="Times New Roman"/>
          <w:sz w:val="20"/>
        </w:rPr>
        <w:t>The Cellular-based family (C-V2X), standardized by the 3GPP, encompasses two generations:</w:t>
      </w:r>
    </w:p>
    <w:p>
      <w:pPr>
        <w:spacing w:after="40" w:line="240" w:lineRule="auto"/>
        <w:ind w:left="288" w:hanging="288"/>
        <w:jc w:val="both"/>
      </w:pPr>
      <w:r>
        <w:rPr>
          <w:rFonts w:ascii="Times New Roman" w:hAnsi="Times New Roman"/>
          <w:sz w:val="16"/>
        </w:rPr>
        <w:t xml:space="preserve">1. </w:t>
      </w:r>
      <w:r>
        <w:rPr>
          <w:rFonts w:ascii="Times New Roman" w:hAnsi="Times New Roman"/>
          <w:b/>
          <w:sz w:val="16"/>
        </w:rPr>
        <w:t>LTE-V2X (Release 14/15):</w:t>
      </w:r>
      <w:r>
        <w:rPr>
          <w:rFonts w:ascii="Times New Roman" w:hAnsi="Times New Roman"/>
          <w:sz w:val="16"/>
        </w:rPr>
        <w:t xml:space="preserve"> Utilizes the PC5 sidelink interface for direct V2V and V2I communication, based on device-to-device (D2D) protocols. It employs SC-FDMA at the MAC layer and turbo coding, with a fixed 15 kHz subcarrier spacing (SCS).</w:t>
      </w:r>
    </w:p>
    <w:p>
      <w:pPr>
        <w:spacing w:after="40" w:line="240" w:lineRule="auto"/>
        <w:ind w:left="288" w:hanging="288"/>
        <w:jc w:val="both"/>
      </w:pPr>
      <w:r>
        <w:rPr>
          <w:rFonts w:ascii="Times New Roman" w:hAnsi="Times New Roman"/>
          <w:sz w:val="16"/>
        </w:rPr>
        <w:t xml:space="preserve">2. </w:t>
      </w:r>
      <w:r>
        <w:rPr>
          <w:rFonts w:ascii="Times New Roman" w:hAnsi="Times New Roman"/>
          <w:b/>
          <w:sz w:val="16"/>
        </w:rPr>
        <w:t>5G-NR V2X (Release 16+):</w:t>
      </w:r>
      <w:r>
        <w:rPr>
          <w:rFonts w:ascii="Times New Roman" w:hAnsi="Times New Roman"/>
          <w:sz w:val="16"/>
        </w:rPr>
        <w:t xml:space="preserve"> Designed for advanced use cases (vehicle platooning, extended sensors, remote driving) requiring high reliability (&gt;99.999%) and low latency (&lt;3 ms). It introduces flexible numerologies (SCS of 15, 30, 60, and 120 kHz), LDPC coding, and a Physical Sidelink Feedback Channel (PSFCH) supporting unicast and groupcast modes in addition to broadcast.</w:t>
      </w:r>
    </w:p>
    <w:p>
      <w:pPr>
        <w:spacing w:after="80" w:line="240" w:lineRule="auto"/>
        <w:ind w:firstLine="216"/>
        <w:jc w:val="both"/>
      </w:pPr>
      <w:r>
        <w:rPr>
          <w:rFonts w:ascii="Times New Roman" w:hAnsi="Times New Roman"/>
          <w:sz w:val="20"/>
        </w:rPr>
        <w:t>Coexistence between these technologies remains a challenge. Inter-technology coexistence in the 5.9 GHz band is managed via frequency division (e.g., the 5GAA model dedicating 10-MHz channels to each, combined with detect-and-vacate [DAV] or detect-and-mitigate [DAM] protocols). Intra-technology coexistence between LTE-V2X and NR-V2X is managed via Frequency Division Multiplexing (FDM, splitting transmission power across channels) or Time Division Multiplexing (TDM, scheduling transmissions orthogonally in time).</w:t>
      </w:r>
    </w:p>
    <w:p>
      <w:pPr>
        <w:spacing w:after="120"/>
      </w:pPr>
    </w:p>
    <w:p>
      <w:pPr>
        <w:keepNext/>
        <w:spacing w:before="240" w:after="80"/>
        <w:jc w:val="center"/>
      </w:pPr>
      <w:r>
        <w:rPr>
          <w:rFonts w:ascii="Times New Roman" w:hAnsi="Times New Roman"/>
          <w:b/>
          <w:color w:val="000000"/>
          <w:sz w:val="20"/>
        </w:rPr>
        <w:t>III. C-V2X SIDELINK RESOURCE ALLOCATION MODES</w:t>
      </w:r>
    </w:p>
    <w:p>
      <w:pPr>
        <w:spacing w:after="80" w:line="240" w:lineRule="auto"/>
        <w:ind w:firstLine="216"/>
        <w:jc w:val="both"/>
      </w:pPr>
      <w:r>
        <w:rPr>
          <w:rFonts w:ascii="Times New Roman" w:hAnsi="Times New Roman"/>
          <w:sz w:val="20"/>
        </w:rPr>
        <w:t>Sidelink Resource Allocation (RA) determines how vehicles reserve and access physical radio resources (Subchannel resource blocks in time and frequency domains) on the PC5 interface. C-V2X defines centralized (network-managed) and distributed (autonomous) modes.</w:t>
      </w:r>
    </w:p>
    <w:p>
      <w:pPr>
        <w:spacing w:after="80" w:line="240" w:lineRule="auto"/>
        <w:ind w:left="144"/>
      </w:pPr>
      <w:r>
        <w:rPr>
          <w:rFonts w:ascii="Consolas" w:hAnsi="Consolas"/>
          <w:sz w:val="17"/>
        </w:rPr>
        <w:t>+-------------------------------------------------------+</w:t>
        <w:br/>
        <w:t xml:space="preserve">       |           C-V2X Sidelink Resource Allocation          |</w:t>
        <w:br/>
        <w:t xml:space="preserve">       +---------------------------+---------------------------+</w:t>
        <w:br/>
        <w:t xml:space="preserve">                                   |</w:t>
        <w:br/>
        <w:t xml:space="preserve">               +-------------------+-------------------+</w:t>
        <w:br/>
        <w:t xml:space="preserve">               |                                       |</w:t>
        <w:br/>
        <w:t xml:space="preserve">               v (Centralized)                         v (Distributed)</w:t>
        <w:br/>
        <w:t xml:space="preserve">  +------------+------------+             +------------+------------+</w:t>
        <w:br/>
        <w:t xml:space="preserve">  |    Under-Coverage       |             |    Out-of-Coverage      |</w:t>
        <w:br/>
        <w:t xml:space="preserve">  |  - LTE-V2X: Mode 3      |             |  - LTE-V2X: Mode 4      |</w:t>
        <w:br/>
        <w:t xml:space="preserve">  |  - 5G-NR:   Mode 1      |             |  - 5G-NR:   Mode 2      |</w:t>
        <w:br/>
        <w:t xml:space="preserve">  +-------------------------+             +-------------------------+</w:t>
      </w:r>
    </w:p>
    <w:p>
      <w:pPr>
        <w:keepNext/>
        <w:spacing w:before="160" w:after="60"/>
        <w:jc w:val="left"/>
      </w:pPr>
      <w:r>
        <w:rPr>
          <w:rFonts w:ascii="Times New Roman" w:hAnsi="Times New Roman"/>
          <w:i/>
          <w:color w:val="000000"/>
          <w:sz w:val="20"/>
        </w:rPr>
        <w:t>A. LTE-V2X Resource Allocation (Mode 3 vs. Mode 4)</w:t>
      </w:r>
    </w:p>
    <w:p>
      <w:pPr>
        <w:spacing w:after="40" w:line="240" w:lineRule="auto"/>
        <w:ind w:left="288" w:hanging="288"/>
        <w:jc w:val="both"/>
      </w:pPr>
      <w:r>
        <w:rPr>
          <w:rFonts w:ascii="Times New Roman" w:hAnsi="Times New Roman"/>
          <w:sz w:val="16"/>
        </w:rPr>
        <w:t xml:space="preserve">1. </w:t>
      </w:r>
      <w:r>
        <w:rPr>
          <w:rFonts w:ascii="Times New Roman" w:hAnsi="Times New Roman"/>
          <w:b/>
          <w:sz w:val="16"/>
        </w:rPr>
        <w:t>Mode 3 (Centralized Scheduling):</w:t>
      </w:r>
      <w:r>
        <w:rPr>
          <w:rFonts w:ascii="Times New Roman" w:hAnsi="Times New Roman"/>
          <w:sz w:val="16"/>
        </w:rPr>
        <w:t xml:space="preserve"> Operates under cellular coverage where the evolved Node B (eNB) manages and allocates resources. Scheduling is executed via two schemes:</w:t>
      </w:r>
    </w:p>
    <w:p>
      <w:pPr>
        <w:spacing w:after="40" w:line="240" w:lineRule="auto"/>
        <w:ind w:left="216"/>
      </w:pPr>
      <w:r>
        <w:rPr>
          <w:rFonts w:ascii="Times New Roman" w:hAnsi="Times New Roman"/>
          <w:sz w:val="20"/>
        </w:rPr>
        <w:t xml:space="preserve">•  </w:t>
      </w:r>
      <w:r>
        <w:rPr>
          <w:rFonts w:ascii="Times New Roman" w:hAnsi="Times New Roman"/>
          <w:b/>
          <w:sz w:val="20"/>
        </w:rPr>
        <w:t>Dynamic Allocation:</w:t>
      </w:r>
      <w:r>
        <w:rPr>
          <w:rFonts w:ascii="Times New Roman" w:hAnsi="Times New Roman"/>
          <w:sz w:val="20"/>
        </w:rPr>
        <w:t xml:space="preserve"> The vehicle requests subchannels via the Physical Uplink Control Channel (PUCCH) for each transmission, generating higher signaling overhead and latency.</w:t>
      </w:r>
    </w:p>
    <w:p>
      <w:pPr>
        <w:spacing w:after="40" w:line="240" w:lineRule="auto"/>
        <w:ind w:left="216"/>
      </w:pPr>
      <w:r>
        <w:rPr>
          <w:rFonts w:ascii="Times New Roman" w:hAnsi="Times New Roman"/>
          <w:sz w:val="20"/>
        </w:rPr>
        <w:t xml:space="preserve">•  </w:t>
      </w:r>
      <w:r>
        <w:rPr>
          <w:rFonts w:ascii="Times New Roman" w:hAnsi="Times New Roman"/>
          <w:b/>
          <w:sz w:val="20"/>
        </w:rPr>
        <w:t>Semi-Persistent Scheduling (SPS):</w:t>
      </w:r>
      <w:r>
        <w:rPr>
          <w:rFonts w:ascii="Times New Roman" w:hAnsi="Times New Roman"/>
          <w:sz w:val="20"/>
        </w:rPr>
        <w:t xml:space="preserve"> The eNB reserves subchannels for periodic transmissions (e.g., Cooperative Awareness Messages, CAMs) based on vehicle-reported assistance information (packet size, periodicity, priority). The eNB can configure up to 8 active SPS configurations.</w:t>
      </w:r>
    </w:p>
    <w:p>
      <w:pPr>
        <w:spacing w:after="40" w:line="240" w:lineRule="auto"/>
        <w:ind w:left="288" w:hanging="288"/>
        <w:jc w:val="both"/>
      </w:pPr>
      <w:r>
        <w:rPr>
          <w:rFonts w:ascii="Times New Roman" w:hAnsi="Times New Roman"/>
          <w:sz w:val="16"/>
        </w:rPr>
        <w:t xml:space="preserve">2. </w:t>
      </w:r>
      <w:r>
        <w:rPr>
          <w:rFonts w:ascii="Times New Roman" w:hAnsi="Times New Roman"/>
          <w:b/>
          <w:sz w:val="16"/>
        </w:rPr>
        <w:t>Mode 4 (Distributed Autonomous Scheduling):</w:t>
      </w:r>
      <w:r>
        <w:rPr>
          <w:rFonts w:ascii="Times New Roman" w:hAnsi="Times New Roman"/>
          <w:sz w:val="16"/>
        </w:rPr>
        <w:t xml:space="preserve"> Operates without network assistance. Vehicles autonomously select resources using a sensing-based SPS algorithm:</w:t>
      </w:r>
    </w:p>
    <w:p>
      <w:pPr>
        <w:spacing w:after="40" w:line="240" w:lineRule="auto"/>
        <w:ind w:left="216"/>
      </w:pPr>
      <w:r>
        <w:rPr>
          <w:rFonts w:ascii="Times New Roman" w:hAnsi="Times New Roman"/>
          <w:sz w:val="20"/>
        </w:rPr>
        <w:t xml:space="preserve">•  </w:t>
      </w:r>
      <w:r>
        <w:rPr>
          <w:rFonts w:ascii="Times New Roman" w:hAnsi="Times New Roman"/>
          <w:b/>
          <w:sz w:val="20"/>
        </w:rPr>
        <w:t>Sensing Window:</w:t>
      </w:r>
      <w:r>
        <w:rPr>
          <w:rFonts w:ascii="Times New Roman" w:hAnsi="Times New Roman"/>
          <w:sz w:val="20"/>
        </w:rPr>
        <w:t xml:space="preserve"> The vehicle monitors channel energy (RSRP and RSSI) over a sliding window of the last 1,000 subframes (1 second) to identify resource reservations advertised in Sidelink Control Information (SCI) fields by neighboring UEs.</w:t>
      </w:r>
    </w:p>
    <w:p>
      <w:pPr>
        <w:spacing w:after="40" w:line="240" w:lineRule="auto"/>
        <w:ind w:left="216"/>
      </w:pPr>
      <w:r>
        <w:rPr>
          <w:rFonts w:ascii="Times New Roman" w:hAnsi="Times New Roman"/>
          <w:sz w:val="20"/>
        </w:rPr>
        <w:t xml:space="preserve">•  </w:t>
      </w:r>
      <w:r>
        <w:rPr>
          <w:rFonts w:ascii="Times New Roman" w:hAnsi="Times New Roman"/>
          <w:b/>
          <w:sz w:val="20"/>
        </w:rPr>
        <w:t>Selection Window:</w:t>
      </w:r>
      <w:r>
        <w:rPr>
          <w:rFonts w:ascii="Times New Roman" w:hAnsi="Times New Roman"/>
          <w:sz w:val="20"/>
        </w:rPr>
        <w:t xml:space="preserve"> When a packet arrives at time </w:t>
      </w:r>
      <w:r>
        <w:rPr>
          <w:rFonts w:ascii="Consolas" w:hAnsi="Consolas"/>
          <w:i/>
          <w:sz w:val="20"/>
        </w:rPr>
        <w:t>T</w:t>
      </w:r>
      <w:r>
        <w:rPr>
          <w:rFonts w:ascii="Times New Roman" w:hAnsi="Times New Roman"/>
          <w:sz w:val="20"/>
        </w:rPr>
        <w:t xml:space="preserve">, the vehicle defines a selection window </w:t>
      </w:r>
      <w:r>
        <w:rPr>
          <w:rFonts w:ascii="Consolas" w:hAnsi="Consolas"/>
          <w:i/>
          <w:sz w:val="20"/>
        </w:rPr>
        <w:t>[T+T_1, T+T_2]</w:t>
      </w:r>
      <w:r>
        <w:rPr>
          <w:rFonts w:ascii="Times New Roman" w:hAnsi="Times New Roman"/>
          <w:sz w:val="20"/>
        </w:rPr>
        <w:t xml:space="preserve">, where </w:t>
      </w:r>
      <w:r>
        <w:rPr>
          <w:rFonts w:ascii="Consolas" w:hAnsi="Consolas"/>
          <w:i/>
          <w:sz w:val="20"/>
        </w:rPr>
        <w:t>1 \le T_1 \le 4</w:t>
      </w:r>
      <w:r>
        <w:rPr>
          <w:rFonts w:ascii="Times New Roman" w:hAnsi="Times New Roman"/>
          <w:sz w:val="20"/>
        </w:rPr>
        <w:t xml:space="preserve"> subframes (processing delay) and </w:t>
      </w:r>
      <w:r>
        <w:rPr>
          <w:rFonts w:ascii="Consolas" w:hAnsi="Consolas"/>
          <w:i/>
          <w:sz w:val="20"/>
        </w:rPr>
        <w:t>20 \le T_2 \le 100</w:t>
      </w:r>
      <w:r>
        <w:rPr>
          <w:rFonts w:ascii="Times New Roman" w:hAnsi="Times New Roman"/>
          <w:sz w:val="20"/>
        </w:rPr>
        <w:t xml:space="preserve"> subframes (latency budget).</w:t>
      </w:r>
    </w:p>
    <w:p>
      <w:pPr>
        <w:spacing w:after="40" w:line="240" w:lineRule="auto"/>
        <w:ind w:left="216"/>
      </w:pPr>
      <w:r>
        <w:rPr>
          <w:rFonts w:ascii="Times New Roman" w:hAnsi="Times New Roman"/>
          <w:sz w:val="20"/>
        </w:rPr>
        <w:t xml:space="preserve">•  </w:t>
      </w:r>
      <w:r>
        <w:rPr>
          <w:rFonts w:ascii="Times New Roman" w:hAnsi="Times New Roman"/>
          <w:b/>
          <w:sz w:val="20"/>
        </w:rPr>
        <w:t>Filtering (List $L_1$ and $L_2$):</w:t>
      </w:r>
      <w:r>
        <w:rPr>
          <w:rFonts w:ascii="Times New Roman" w:hAnsi="Times New Roman"/>
          <w:sz w:val="20"/>
        </w:rPr>
        <w:t xml:space="preserve"> The vehicle generates List </w:t>
      </w:r>
      <w:r>
        <w:rPr>
          <w:rFonts w:ascii="Consolas" w:hAnsi="Consolas"/>
          <w:i/>
          <w:sz w:val="20"/>
        </w:rPr>
        <w:t>L_1</w:t>
      </w:r>
      <w:r>
        <w:rPr>
          <w:rFonts w:ascii="Times New Roman" w:hAnsi="Times New Roman"/>
          <w:sz w:val="20"/>
        </w:rPr>
        <w:t xml:space="preserve"> by excluding resources whose RSRP exceeds a threshold </w:t>
      </w:r>
      <w:r>
        <w:rPr>
          <w:rFonts w:ascii="Consolas" w:hAnsi="Consolas"/>
          <w:i/>
          <w:sz w:val="20"/>
        </w:rPr>
        <w:t>Th</w:t>
      </w:r>
      <w:r>
        <w:rPr>
          <w:rFonts w:ascii="Times New Roman" w:hAnsi="Times New Roman"/>
          <w:sz w:val="20"/>
        </w:rPr>
        <w:t xml:space="preserve">. </w:t>
      </w:r>
      <w:r>
        <w:rPr>
          <w:rFonts w:ascii="Consolas" w:hAnsi="Consolas"/>
          <w:i/>
          <w:sz w:val="20"/>
        </w:rPr>
        <w:t>L_1</w:t>
      </w:r>
      <w:r>
        <w:rPr>
          <w:rFonts w:ascii="Times New Roman" w:hAnsi="Times New Roman"/>
          <w:sz w:val="20"/>
        </w:rPr>
        <w:t xml:space="preserve"> must contain at least 20% of the selection window resources; otherwise, </w:t>
      </w:r>
      <w:r>
        <w:rPr>
          <w:rFonts w:ascii="Consolas" w:hAnsi="Consolas"/>
          <w:i/>
          <w:sz w:val="20"/>
        </w:rPr>
        <w:t>Th</w:t>
      </w:r>
      <w:r>
        <w:rPr>
          <w:rFonts w:ascii="Times New Roman" w:hAnsi="Times New Roman"/>
          <w:sz w:val="20"/>
        </w:rPr>
        <w:t xml:space="preserve"> is incremented by 3 dB. List </w:t>
      </w:r>
      <w:r>
        <w:rPr>
          <w:rFonts w:ascii="Consolas" w:hAnsi="Consolas"/>
          <w:i/>
          <w:sz w:val="20"/>
        </w:rPr>
        <w:t>L_2</w:t>
      </w:r>
      <w:r>
        <w:rPr>
          <w:rFonts w:ascii="Times New Roman" w:hAnsi="Times New Roman"/>
          <w:sz w:val="20"/>
        </w:rPr>
        <w:t xml:space="preserve"> is formed by selecting the 20% of resources in </w:t>
      </w:r>
      <w:r>
        <w:rPr>
          <w:rFonts w:ascii="Consolas" w:hAnsi="Consolas"/>
          <w:i/>
          <w:sz w:val="20"/>
        </w:rPr>
        <w:t>L_1</w:t>
      </w:r>
      <w:r>
        <w:rPr>
          <w:rFonts w:ascii="Times New Roman" w:hAnsi="Times New Roman"/>
          <w:sz w:val="20"/>
        </w:rPr>
        <w:t xml:space="preserve"> with the lowest RSSI values. The vehicle randomly selects its final resource from </w:t>
      </w:r>
      <w:r>
        <w:rPr>
          <w:rFonts w:ascii="Consolas" w:hAnsi="Consolas"/>
          <w:i/>
          <w:sz w:val="20"/>
        </w:rPr>
        <w:t>L_2</w:t>
      </w:r>
      <w:r>
        <w:rPr>
          <w:rFonts w:ascii="Times New Roman" w:hAnsi="Times New Roman"/>
          <w:sz w:val="20"/>
        </w:rPr>
        <w:t>.</w:t>
      </w:r>
    </w:p>
    <w:p>
      <w:pPr>
        <w:spacing w:after="40" w:line="240" w:lineRule="auto"/>
        <w:ind w:left="216"/>
      </w:pPr>
      <w:r>
        <w:rPr>
          <w:rFonts w:ascii="Times New Roman" w:hAnsi="Times New Roman"/>
          <w:sz w:val="20"/>
        </w:rPr>
        <w:t xml:space="preserve">•  </w:t>
      </w:r>
      <w:r>
        <w:rPr>
          <w:rFonts w:ascii="Times New Roman" w:hAnsi="Times New Roman"/>
          <w:b/>
          <w:sz w:val="20"/>
        </w:rPr>
        <w:t>Reselection Counter:</w:t>
      </w:r>
      <w:r>
        <w:rPr>
          <w:rFonts w:ascii="Times New Roman" w:hAnsi="Times New Roman"/>
          <w:sz w:val="20"/>
        </w:rPr>
        <w:t xml:space="preserve"> The chosen resource is reserved for a random counter interval (e.g., [5-15] for 10 Hz traffic) and decremented per transmission. Upon reaching zero, the resource is reselected with probability </w:t>
      </w:r>
      <w:r>
        <w:rPr>
          <w:rFonts w:ascii="Consolas" w:hAnsi="Consolas"/>
          <w:i/>
          <w:sz w:val="20"/>
        </w:rPr>
        <w:t>1-P</w:t>
      </w:r>
      <w:r>
        <w:rPr>
          <w:rFonts w:ascii="Times New Roman" w:hAnsi="Times New Roman"/>
          <w:sz w:val="20"/>
        </w:rPr>
        <w:t xml:space="preserve"> (where </w:t>
      </w:r>
      <w:r>
        <w:rPr>
          <w:rFonts w:ascii="Consolas" w:hAnsi="Consolas"/>
          <w:i/>
          <w:sz w:val="20"/>
        </w:rPr>
        <w:t>P \approx 0-0.8</w:t>
      </w:r>
      <w:r>
        <w:rPr>
          <w:rFonts w:ascii="Times New Roman" w:hAnsi="Times New Roman"/>
          <w:sz w:val="20"/>
        </w:rPr>
        <w:t xml:space="preserve"> is the keep probability).</w:t>
      </w:r>
    </w:p>
    <w:p>
      <w:pPr>
        <w:spacing w:after="40" w:line="240" w:lineRule="auto"/>
        <w:ind w:left="216"/>
      </w:pPr>
      <w:r>
        <w:rPr>
          <w:rFonts w:ascii="Times New Roman" w:hAnsi="Times New Roman"/>
          <w:sz w:val="20"/>
        </w:rPr>
        <w:t xml:space="preserve">•  </w:t>
      </w:r>
      <w:r>
        <w:rPr>
          <w:rFonts w:ascii="Times New Roman" w:hAnsi="Times New Roman"/>
          <w:b/>
          <w:sz w:val="20"/>
        </w:rPr>
        <w:t>Congestion Control:</w:t>
      </w:r>
      <w:r>
        <w:rPr>
          <w:rFonts w:ascii="Times New Roman" w:hAnsi="Times New Roman"/>
          <w:sz w:val="20"/>
        </w:rPr>
        <w:t xml:space="preserve"> Managed via Channel Busy Ratio (CBR, fraction of subchannels with RSSI above a threshold) and Channel Occupancy Ratio (CR, fraction of subchannels occupied or reserved). UEs must reduce their CR (by altering MCS or dropping packets) if it exceeds a standardized </w:t>
      </w:r>
      <w:r>
        <w:rPr>
          <w:rFonts w:ascii="Consolas" w:hAnsi="Consolas"/>
          <w:i/>
          <w:sz w:val="20"/>
        </w:rPr>
        <w:t>CR_{Limit}</w:t>
      </w:r>
      <w:r>
        <w:rPr>
          <w:rFonts w:ascii="Times New Roman" w:hAnsi="Times New Roman"/>
          <w:sz w:val="20"/>
        </w:rPr>
        <w:t xml:space="preserve"> corresponding to the measured CBR.</w:t>
      </w:r>
    </w:p>
    <w:p>
      <w:pPr>
        <w:keepNext/>
        <w:spacing w:before="160" w:after="60"/>
        <w:jc w:val="left"/>
      </w:pPr>
      <w:r>
        <w:rPr>
          <w:rFonts w:ascii="Times New Roman" w:hAnsi="Times New Roman"/>
          <w:i/>
          <w:color w:val="000000"/>
          <w:sz w:val="20"/>
        </w:rPr>
        <w:t>B. 5G-NR V2X Resource Allocation (Mode 1 vs. Mode 2)</w:t>
      </w:r>
    </w:p>
    <w:p>
      <w:pPr>
        <w:spacing w:after="40" w:line="240" w:lineRule="auto"/>
        <w:ind w:left="288" w:hanging="288"/>
        <w:jc w:val="both"/>
      </w:pPr>
      <w:r>
        <w:rPr>
          <w:rFonts w:ascii="Times New Roman" w:hAnsi="Times New Roman"/>
          <w:sz w:val="16"/>
        </w:rPr>
        <w:t xml:space="preserve">1. </w:t>
      </w:r>
      <w:r>
        <w:rPr>
          <w:rFonts w:ascii="Times New Roman" w:hAnsi="Times New Roman"/>
          <w:b/>
          <w:sz w:val="16"/>
        </w:rPr>
        <w:t>Mode 1 (Centralized Scheduling):</w:t>
      </w:r>
      <w:r>
        <w:rPr>
          <w:rFonts w:ascii="Times New Roman" w:hAnsi="Times New Roman"/>
          <w:sz w:val="16"/>
        </w:rPr>
        <w:t xml:space="preserve"> The gNB schedules sidelink resources using either:</w:t>
      </w:r>
    </w:p>
    <w:p>
      <w:pPr>
        <w:spacing w:after="40" w:line="240" w:lineRule="auto"/>
        <w:ind w:left="216"/>
      </w:pPr>
      <w:r>
        <w:rPr>
          <w:rFonts w:ascii="Times New Roman" w:hAnsi="Times New Roman"/>
          <w:sz w:val="20"/>
        </w:rPr>
        <w:t xml:space="preserve">•  </w:t>
      </w:r>
      <w:r>
        <w:rPr>
          <w:rFonts w:ascii="Times New Roman" w:hAnsi="Times New Roman"/>
          <w:b/>
          <w:sz w:val="20"/>
        </w:rPr>
        <w:t>Dynamic Grant (DG):</w:t>
      </w:r>
      <w:r>
        <w:rPr>
          <w:rFonts w:ascii="Times New Roman" w:hAnsi="Times New Roman"/>
          <w:sz w:val="20"/>
        </w:rPr>
        <w:t xml:space="preserve"> The vehicle requests resources via PUCCH, and the gNB responds with Downlink Control Information (DCI) on the Physical Downlink Control Channel (PDCCH) indicating the allocated subchannels. The vehicle broadcasts this assignment in its SCI, notifying nearby Mode 2 vehicles to prevent collisions.</w:t>
      </w:r>
    </w:p>
    <w:p>
      <w:pPr>
        <w:spacing w:after="40" w:line="240" w:lineRule="auto"/>
        <w:ind w:left="216"/>
      </w:pPr>
      <w:r>
        <w:rPr>
          <w:rFonts w:ascii="Times New Roman" w:hAnsi="Times New Roman"/>
          <w:sz w:val="20"/>
        </w:rPr>
        <w:t xml:space="preserve">•  </w:t>
      </w:r>
      <w:r>
        <w:rPr>
          <w:rFonts w:ascii="Times New Roman" w:hAnsi="Times New Roman"/>
          <w:b/>
          <w:sz w:val="20"/>
        </w:rPr>
        <w:t>Configured Grant (CG):</w:t>
      </w:r>
      <w:r>
        <w:rPr>
          <w:rFonts w:ascii="Times New Roman" w:hAnsi="Times New Roman"/>
          <w:sz w:val="20"/>
        </w:rPr>
        <w:t xml:space="preserve"> Similar to LTE Mode 3 SPS but more flexible. </w:t>
      </w:r>
      <w:r>
        <w:rPr>
          <w:rFonts w:ascii="Times New Roman" w:hAnsi="Times New Roman"/>
          <w:i/>
          <w:sz w:val="20"/>
        </w:rPr>
        <w:t>Type 1 CG</w:t>
      </w:r>
      <w:r>
        <w:rPr>
          <w:rFonts w:ascii="Times New Roman" w:hAnsi="Times New Roman"/>
          <w:sz w:val="20"/>
        </w:rPr>
        <w:t xml:space="preserve"> is configured directly via Radio Resource Control (RRC) signaling. </w:t>
      </w:r>
      <w:r>
        <w:rPr>
          <w:rFonts w:ascii="Times New Roman" w:hAnsi="Times New Roman"/>
          <w:i/>
          <w:sz w:val="20"/>
        </w:rPr>
        <w:t>Type 2 CG</w:t>
      </w:r>
      <w:r>
        <w:rPr>
          <w:rFonts w:ascii="Times New Roman" w:hAnsi="Times New Roman"/>
          <w:sz w:val="20"/>
        </w:rPr>
        <w:t xml:space="preserve"> is RRC-configured but dynamically activated/deactivated via DCI.</w:t>
      </w:r>
    </w:p>
    <w:p>
      <w:pPr>
        <w:spacing w:after="40" w:line="240" w:lineRule="auto"/>
        <w:ind w:left="288" w:hanging="288"/>
        <w:jc w:val="both"/>
      </w:pPr>
      <w:r>
        <w:rPr>
          <w:rFonts w:ascii="Times New Roman" w:hAnsi="Times New Roman"/>
          <w:sz w:val="16"/>
        </w:rPr>
        <w:t xml:space="preserve">2. </w:t>
      </w:r>
      <w:r>
        <w:rPr>
          <w:rFonts w:ascii="Times New Roman" w:hAnsi="Times New Roman"/>
          <w:b/>
          <w:sz w:val="16"/>
        </w:rPr>
        <w:t>Mode 2 (Distributed Autonomous Scheduling):</w:t>
      </w:r>
      <w:r>
        <w:rPr>
          <w:rFonts w:ascii="Times New Roman" w:hAnsi="Times New Roman"/>
          <w:sz w:val="16"/>
        </w:rPr>
        <w:t xml:space="preserve"> Vehicles autonomously select resources from pre-configured pools. To accommodate both periodic and aperiodic traffic, NR-V2X introduces:</w:t>
      </w:r>
    </w:p>
    <w:p>
      <w:pPr>
        <w:spacing w:after="40" w:line="240" w:lineRule="auto"/>
        <w:ind w:left="216"/>
      </w:pPr>
      <w:r>
        <w:rPr>
          <w:rFonts w:ascii="Times New Roman" w:hAnsi="Times New Roman"/>
          <w:sz w:val="20"/>
        </w:rPr>
        <w:t xml:space="preserve">•  </w:t>
      </w:r>
      <w:r>
        <w:rPr>
          <w:rFonts w:ascii="Times New Roman" w:hAnsi="Times New Roman"/>
          <w:b/>
          <w:sz w:val="20"/>
        </w:rPr>
        <w:t>Long-Term Sensing:</w:t>
      </w:r>
      <w:r>
        <w:rPr>
          <w:rFonts w:ascii="Times New Roman" w:hAnsi="Times New Roman"/>
          <w:sz w:val="20"/>
        </w:rPr>
        <w:t xml:space="preserve"> Similar to LTE Mode 4 sensing-based SPS, optimized for periodic safety traffic.</w:t>
      </w:r>
    </w:p>
    <w:p>
      <w:pPr>
        <w:spacing w:after="40" w:line="240" w:lineRule="auto"/>
        <w:ind w:left="216"/>
      </w:pPr>
      <w:r>
        <w:rPr>
          <w:rFonts w:ascii="Times New Roman" w:hAnsi="Times New Roman"/>
          <w:sz w:val="20"/>
        </w:rPr>
        <w:t xml:space="preserve">•  </w:t>
      </w:r>
      <w:r>
        <w:rPr>
          <w:rFonts w:ascii="Times New Roman" w:hAnsi="Times New Roman"/>
          <w:b/>
          <w:sz w:val="20"/>
        </w:rPr>
        <w:t>Short-Term Sensing:</w:t>
      </w:r>
      <w:r>
        <w:rPr>
          <w:rFonts w:ascii="Times New Roman" w:hAnsi="Times New Roman"/>
          <w:sz w:val="20"/>
        </w:rPr>
        <w:t xml:space="preserve"> A Listen-Before-Talk (LBT) mechanism that senses the medium prior to transmission, designed for highly dynamic, non-periodic traffic such as Decentralized Environmental Notification Messages (DENMs).</w:t>
      </w:r>
    </w:p>
    <w:p>
      <w:pPr>
        <w:spacing w:after="40" w:line="240" w:lineRule="auto"/>
        <w:ind w:left="216"/>
      </w:pPr>
      <w:r>
        <w:rPr>
          <w:rFonts w:ascii="Times New Roman" w:hAnsi="Times New Roman"/>
          <w:sz w:val="20"/>
        </w:rPr>
        <w:t xml:space="preserve">•  </w:t>
      </w:r>
      <w:r>
        <w:rPr>
          <w:rFonts w:ascii="Times New Roman" w:hAnsi="Times New Roman"/>
          <w:b/>
          <w:sz w:val="20"/>
        </w:rPr>
        <w:t>Hybrid Sensing:</w:t>
      </w:r>
      <w:r>
        <w:rPr>
          <w:rFonts w:ascii="Times New Roman" w:hAnsi="Times New Roman"/>
          <w:sz w:val="20"/>
        </w:rPr>
        <w:t xml:space="preserve"> Combines both, using long-term sensing to build a candidate resource set and short-term sensing as a final collision avoidance check.</w:t>
      </w:r>
    </w:p>
    <w:p>
      <w:pPr>
        <w:spacing w:after="40" w:line="240" w:lineRule="auto"/>
        <w:ind w:left="216"/>
      </w:pPr>
      <w:r>
        <w:rPr>
          <w:rFonts w:ascii="Times New Roman" w:hAnsi="Times New Roman"/>
          <w:sz w:val="20"/>
        </w:rPr>
        <w:t xml:space="preserve">•  </w:t>
      </w:r>
      <w:r>
        <w:rPr>
          <w:rFonts w:ascii="Times New Roman" w:hAnsi="Times New Roman"/>
          <w:b/>
          <w:sz w:val="20"/>
        </w:rPr>
        <w:t>Sidelink Submodes:</w:t>
      </w:r>
    </w:p>
    <w:p>
      <w:pPr>
        <w:spacing w:after="40" w:line="240" w:lineRule="auto"/>
        <w:ind w:left="216"/>
      </w:pPr>
      <w:r>
        <w:rPr>
          <w:rFonts w:ascii="Times New Roman" w:hAnsi="Times New Roman"/>
          <w:sz w:val="20"/>
        </w:rPr>
        <w:t xml:space="preserve">•  </w:t>
      </w:r>
      <w:r>
        <w:rPr>
          <w:rFonts w:ascii="Times New Roman" w:hAnsi="Times New Roman"/>
          <w:b/>
          <w:sz w:val="20"/>
        </w:rPr>
        <w:t>Submode 2a:</w:t>
      </w:r>
      <w:r>
        <w:rPr>
          <w:rFonts w:ascii="Times New Roman" w:hAnsi="Times New Roman"/>
          <w:sz w:val="20"/>
        </w:rPr>
        <w:t xml:space="preserve"> Standard autonomous resource selection (legacy Mode 2).</w:t>
      </w:r>
    </w:p>
    <w:p>
      <w:pPr>
        <w:spacing w:after="40" w:line="240" w:lineRule="auto"/>
        <w:ind w:left="216"/>
      </w:pPr>
      <w:r>
        <w:rPr>
          <w:rFonts w:ascii="Times New Roman" w:hAnsi="Times New Roman"/>
          <w:sz w:val="20"/>
        </w:rPr>
        <w:t xml:space="preserve">•  </w:t>
      </w:r>
      <w:r>
        <w:rPr>
          <w:rFonts w:ascii="Times New Roman" w:hAnsi="Times New Roman"/>
          <w:b/>
          <w:sz w:val="20"/>
        </w:rPr>
        <w:t>Submode 2b (Inter-UE Coordination):</w:t>
      </w:r>
      <w:r>
        <w:rPr>
          <w:rFonts w:ascii="Times New Roman" w:hAnsi="Times New Roman"/>
          <w:sz w:val="20"/>
        </w:rPr>
        <w:t xml:space="preserve"> A UE assists another UE's resource selection by transmitting assistance information (sets of preferred or non-preferred resources based on its own sensing, location, or RSRP).</w:t>
      </w:r>
    </w:p>
    <w:p>
      <w:pPr>
        <w:spacing w:after="40" w:line="240" w:lineRule="auto"/>
        <w:ind w:left="216"/>
      </w:pPr>
      <w:r>
        <w:rPr>
          <w:rFonts w:ascii="Times New Roman" w:hAnsi="Times New Roman"/>
          <w:sz w:val="20"/>
        </w:rPr>
        <w:t xml:space="preserve">•  </w:t>
      </w:r>
      <w:r>
        <w:rPr>
          <w:rFonts w:ascii="Times New Roman" w:hAnsi="Times New Roman"/>
          <w:b/>
          <w:sz w:val="20"/>
        </w:rPr>
        <w:t>Submode 2d (Group Scheduling):</w:t>
      </w:r>
      <w:r>
        <w:rPr>
          <w:rFonts w:ascii="Times New Roman" w:hAnsi="Times New Roman"/>
          <w:sz w:val="20"/>
        </w:rPr>
        <w:t xml:space="preserve"> A Scheduling UE (S-UE) acts as a local coordinator, dynamically allocating resources for a group of vehicles (e.g., within a vehicle platoon), which reduces latency and collision probabilities within the cluster.</w:t>
      </w:r>
    </w:p>
    <w:p>
      <w:pPr>
        <w:spacing w:after="120"/>
      </w:pPr>
    </w:p>
    <w:p>
      <w:pPr>
        <w:keepNext/>
        <w:spacing w:before="240" w:after="80"/>
        <w:jc w:val="center"/>
      </w:pPr>
      <w:r>
        <w:rPr>
          <w:rFonts w:ascii="Times New Roman" w:hAnsi="Times New Roman"/>
          <w:b/>
          <w:color w:val="000000"/>
          <w:sz w:val="20"/>
        </w:rPr>
        <w:t>IV. SYNTRIX V2X SYSTEM DESIGN AND MATHEMATICAL MODELING</w:t>
      </w:r>
    </w:p>
    <w:p>
      <w:pPr>
        <w:spacing w:after="80" w:line="240" w:lineRule="auto"/>
        <w:ind w:firstLine="216"/>
        <w:jc w:val="both"/>
      </w:pPr>
      <w:r>
        <w:rPr>
          <w:rFonts w:ascii="Times New Roman" w:hAnsi="Times New Roman"/>
          <w:sz w:val="20"/>
        </w:rPr>
        <w:t>The Syntrix V2X system maps these radio scheduling concepts onto an application-layer cloud broker (Firebase). In this model, Firebase acts as a centralized database scheduler similar to Mode 3 / Mode 1 centralized grants, while client-side calculations represent the autonomous decision logic of Mode 4 / Mode 2.</w:t>
      </w:r>
    </w:p>
    <w:p>
      <w:pPr>
        <w:keepNext/>
        <w:spacing w:before="160" w:after="60"/>
        <w:jc w:val="left"/>
      </w:pPr>
      <w:r>
        <w:rPr>
          <w:rFonts w:ascii="Times New Roman" w:hAnsi="Times New Roman"/>
          <w:i/>
          <w:color w:val="000000"/>
          <w:sz w:val="20"/>
        </w:rPr>
        <w:t>A. Geolocation Pre-processing (Dual-Stage Filtering)</w:t>
      </w:r>
    </w:p>
    <w:p>
      <w:pPr>
        <w:spacing w:after="80" w:line="240" w:lineRule="auto"/>
        <w:ind w:firstLine="216"/>
        <w:jc w:val="both"/>
      </w:pPr>
      <w:r>
        <w:rPr>
          <w:rFonts w:ascii="Times New Roman" w:hAnsi="Times New Roman"/>
          <w:sz w:val="20"/>
        </w:rPr>
        <w:t xml:space="preserve">Let the raw coordinates received from the browser's Geolocation API at time </w:t>
      </w:r>
      <w:r>
        <w:rPr>
          <w:rFonts w:ascii="Consolas" w:hAnsi="Consolas"/>
          <w:i/>
          <w:sz w:val="20"/>
        </w:rPr>
        <w:t>t</w:t>
      </w:r>
      <w:r>
        <w:rPr>
          <w:rFonts w:ascii="Times New Roman" w:hAnsi="Times New Roman"/>
          <w:sz w:val="20"/>
        </w:rPr>
        <w:t xml:space="preserve"> be </w:t>
      </w:r>
      <w:r>
        <w:rPr>
          <w:rFonts w:ascii="Consolas" w:hAnsi="Consolas"/>
          <w:i/>
          <w:sz w:val="20"/>
        </w:rPr>
        <w:t>z_t = [lat_{raw}, lon_{raw}]^T</w:t>
      </w:r>
      <w:r>
        <w:rPr>
          <w:rFonts w:ascii="Times New Roman" w:hAnsi="Times New Roman"/>
          <w:sz w:val="20"/>
        </w:rPr>
        <w:t>.</w:t>
      </w:r>
    </w:p>
    <w:p>
      <w:pPr>
        <w:spacing w:after="40" w:line="240" w:lineRule="auto"/>
        <w:ind w:left="288" w:hanging="288"/>
        <w:jc w:val="both"/>
      </w:pPr>
      <w:r>
        <w:rPr>
          <w:rFonts w:ascii="Times New Roman" w:hAnsi="Times New Roman"/>
          <w:sz w:val="16"/>
        </w:rPr>
        <w:t xml:space="preserve">1. </w:t>
      </w:r>
      <w:r>
        <w:rPr>
          <w:rFonts w:ascii="Times New Roman" w:hAnsi="Times New Roman"/>
          <w:b/>
          <w:sz w:val="16"/>
        </w:rPr>
        <w:t>Stage 1 (Kalman Filter):</w:t>
      </w:r>
      <w:r>
        <w:rPr>
          <w:rFonts w:ascii="Times New Roman" w:hAnsi="Times New Roman"/>
          <w:sz w:val="16"/>
        </w:rPr>
        <w:t xml:space="preserve"> We define the state vector as </w:t>
      </w:r>
      <w:r>
        <w:rPr>
          <w:rFonts w:ascii="Consolas" w:hAnsi="Consolas"/>
          <w:i/>
          <w:sz w:val="16"/>
        </w:rPr>
        <w:t>x_t = [pos_t, vel_t]^T</w:t>
      </w:r>
      <w:r>
        <w:rPr>
          <w:rFonts w:ascii="Times New Roman" w:hAnsi="Times New Roman"/>
          <w:sz w:val="16"/>
        </w:rPr>
        <w:t xml:space="preserve"> for latitude and longitude independently. The state transition and measurement equations are:</w:t>
      </w:r>
    </w:p>
    <w:p>
      <w:pPr>
        <w:spacing w:before="80" w:after="80"/>
        <w:jc w:val="center"/>
      </w:pPr>
      <w:r>
        <w:rPr>
          <w:rFonts w:ascii="Times New Roman" w:hAnsi="Times New Roman"/>
          <w:i/>
          <w:sz w:val="20"/>
        </w:rPr>
        <w:t>x_t = A x_{t-1} + w_t, \quad w_t \sim \mathcal{N}(0, Q)</w:t>
      </w:r>
    </w:p>
    <w:p>
      <w:pPr>
        <w:spacing w:before="80" w:after="80"/>
        <w:jc w:val="center"/>
      </w:pPr>
      <w:r>
        <w:rPr>
          <w:rFonts w:ascii="Times New Roman" w:hAnsi="Times New Roman"/>
          <w:i/>
          <w:sz w:val="20"/>
        </w:rPr>
        <w:t>z_t = H x_t + v_t, \quad v_t \sim \mathcal{N}(0, R)</w:t>
      </w:r>
    </w:p>
    <w:p>
      <w:pPr>
        <w:spacing w:after="80" w:line="240" w:lineRule="auto"/>
        <w:ind w:firstLine="216"/>
        <w:jc w:val="both"/>
      </w:pPr>
      <w:r>
        <w:rPr>
          <w:rFonts w:ascii="Times New Roman" w:hAnsi="Times New Roman"/>
          <w:sz w:val="20"/>
        </w:rPr>
        <w:t xml:space="preserve">Where </w:t>
      </w:r>
      <w:r>
        <w:rPr>
          <w:rFonts w:ascii="Consolas" w:hAnsi="Consolas"/>
          <w:i/>
          <w:sz w:val="20"/>
        </w:rPr>
        <w:t>Q</w:t>
      </w:r>
      <w:r>
        <w:rPr>
          <w:rFonts w:ascii="Times New Roman" w:hAnsi="Times New Roman"/>
          <w:sz w:val="20"/>
        </w:rPr>
        <w:t xml:space="preserve"> represents process noise and </w:t>
      </w:r>
      <w:r>
        <w:rPr>
          <w:rFonts w:ascii="Consolas" w:hAnsi="Consolas"/>
          <w:i/>
          <w:sz w:val="20"/>
        </w:rPr>
        <w:t>R</w:t>
      </w:r>
      <w:r>
        <w:rPr>
          <w:rFonts w:ascii="Times New Roman" w:hAnsi="Times New Roman"/>
          <w:sz w:val="20"/>
        </w:rPr>
        <w:t xml:space="preserve"> represents measurement noise. The correction step updates the state estimate </w:t>
      </w:r>
      <w:r>
        <w:rPr>
          <w:rFonts w:ascii="Consolas" w:hAnsi="Consolas"/>
          <w:i/>
          <w:sz w:val="20"/>
        </w:rPr>
        <w:t>\hat{x}_t</w:t>
      </w:r>
      <w:r>
        <w:rPr>
          <w:rFonts w:ascii="Times New Roman" w:hAnsi="Times New Roman"/>
          <w:sz w:val="20"/>
        </w:rPr>
        <w:t xml:space="preserve"> and error covariance </w:t>
      </w:r>
      <w:r>
        <w:rPr>
          <w:rFonts w:ascii="Consolas" w:hAnsi="Consolas"/>
          <w:i/>
          <w:sz w:val="20"/>
        </w:rPr>
        <w:t>P_t</w:t>
      </w:r>
      <w:r>
        <w:rPr>
          <w:rFonts w:ascii="Times New Roman" w:hAnsi="Times New Roman"/>
          <w:sz w:val="20"/>
        </w:rPr>
        <w:t xml:space="preserve"> using the Kalman Gain </w:t>
      </w:r>
      <w:r>
        <w:rPr>
          <w:rFonts w:ascii="Consolas" w:hAnsi="Consolas"/>
          <w:i/>
          <w:sz w:val="20"/>
        </w:rPr>
        <w:t>K_t</w:t>
      </w:r>
      <w:r>
        <w:rPr>
          <w:rFonts w:ascii="Times New Roman" w:hAnsi="Times New Roman"/>
          <w:sz w:val="20"/>
        </w:rPr>
        <w:t>:</w:t>
      </w:r>
    </w:p>
    <w:p>
      <w:pPr>
        <w:spacing w:before="80" w:after="80"/>
        <w:jc w:val="center"/>
      </w:pPr>
      <w:r>
        <w:rPr>
          <w:rFonts w:ascii="Times New Roman" w:hAnsi="Times New Roman"/>
          <w:i/>
          <w:sz w:val="20"/>
        </w:rPr>
        <w:t>K_t = P_t^- H^T (H P_t^- H^T + R)^{-1}</w:t>
      </w:r>
    </w:p>
    <w:p>
      <w:pPr>
        <w:spacing w:before="80" w:after="80"/>
        <w:jc w:val="center"/>
      </w:pPr>
      <w:r>
        <w:rPr>
          <w:rFonts w:ascii="Times New Roman" w:hAnsi="Times New Roman"/>
          <w:i/>
          <w:sz w:val="20"/>
        </w:rPr>
        <w:t>\hat{x}_t = \hat{x}_t^- + K_t (z_t - H \hat{x}_t^-)</w:t>
      </w:r>
    </w:p>
    <w:p>
      <w:pPr>
        <w:spacing w:before="80" w:after="80"/>
        <w:jc w:val="center"/>
      </w:pPr>
      <w:r>
        <w:rPr>
          <w:rFonts w:ascii="Times New Roman" w:hAnsi="Times New Roman"/>
          <w:i/>
          <w:sz w:val="20"/>
        </w:rPr>
        <w:t>P_t = (I - K_t H) P_t^-</w:t>
      </w:r>
    </w:p>
    <w:p>
      <w:pPr>
        <w:spacing w:after="40" w:line="240" w:lineRule="auto"/>
        <w:ind w:left="288" w:hanging="288"/>
        <w:jc w:val="both"/>
      </w:pPr>
      <w:r>
        <w:rPr>
          <w:rFonts w:ascii="Times New Roman" w:hAnsi="Times New Roman"/>
          <w:sz w:val="16"/>
        </w:rPr>
        <w:t xml:space="preserve">2. </w:t>
      </w:r>
      <w:r>
        <w:rPr>
          <w:rFonts w:ascii="Times New Roman" w:hAnsi="Times New Roman"/>
          <w:b/>
          <w:sz w:val="16"/>
        </w:rPr>
        <w:t>Stage 2 (Particle Filter):</w:t>
      </w:r>
      <w:r>
        <w:rPr>
          <w:rFonts w:ascii="Times New Roman" w:hAnsi="Times New Roman"/>
          <w:sz w:val="16"/>
        </w:rPr>
        <w:t xml:space="preserve"> The output of the Kalman filter </w:t>
      </w:r>
      <w:r>
        <w:rPr>
          <w:rFonts w:ascii="Consolas" w:hAnsi="Consolas"/>
          <w:i/>
          <w:sz w:val="16"/>
        </w:rPr>
        <w:t>\hat{x}_{t}</w:t>
      </w:r>
      <w:r>
        <w:rPr>
          <w:rFonts w:ascii="Times New Roman" w:hAnsi="Times New Roman"/>
          <w:sz w:val="16"/>
        </w:rPr>
        <w:t xml:space="preserve"> is fed into a localized Particle Filter with </w:t>
      </w:r>
      <w:r>
        <w:rPr>
          <w:rFonts w:ascii="Consolas" w:hAnsi="Consolas"/>
          <w:i/>
          <w:sz w:val="16"/>
        </w:rPr>
        <w:t>N = 100</w:t>
      </w:r>
      <w:r>
        <w:rPr>
          <w:rFonts w:ascii="Times New Roman" w:hAnsi="Times New Roman"/>
          <w:sz w:val="16"/>
        </w:rPr>
        <w:t xml:space="preserve"> particles </w:t>
      </w:r>
      <w:r>
        <w:rPr>
          <w:rFonts w:ascii="Consolas" w:hAnsi="Consolas"/>
          <w:i/>
          <w:sz w:val="16"/>
        </w:rPr>
        <w:t>\{x_t^{(i)}\}_{i=1}^N</w:t>
      </w:r>
      <w:r>
        <w:rPr>
          <w:rFonts w:ascii="Times New Roman" w:hAnsi="Times New Roman"/>
          <w:sz w:val="16"/>
        </w:rPr>
        <w:t xml:space="preserve">. Each particle represents a candidate coordinate. When a new GPS update arrives, the particles propagate based on a random-walk motion model. The weights </w:t>
      </w:r>
      <w:r>
        <w:rPr>
          <w:rFonts w:ascii="Consolas" w:hAnsi="Consolas"/>
          <w:i/>
          <w:sz w:val="16"/>
        </w:rPr>
        <w:t>w_t^{(i)}</w:t>
      </w:r>
      <w:r>
        <w:rPr>
          <w:rFonts w:ascii="Times New Roman" w:hAnsi="Times New Roman"/>
          <w:sz w:val="16"/>
        </w:rPr>
        <w:t xml:space="preserve"> of the particles are updated using a Gaussian likelihood function relative to the Kalman position:</w:t>
      </w:r>
    </w:p>
    <w:p>
      <w:pPr>
        <w:spacing w:before="80" w:after="80"/>
        <w:jc w:val="center"/>
      </w:pPr>
      <w:r>
        <w:rPr>
          <w:rFonts w:ascii="Times New Roman" w:hAnsi="Times New Roman"/>
          <w:i/>
          <w:sz w:val="20"/>
        </w:rPr>
        <w:t>w_t^{(i)} \propto \exp\left(-\frac{\|\hat{x}_t - x_t^{(i)}\|^2}{2\sigma^2}\right)</w:t>
      </w:r>
    </w:p>
    <w:p>
      <w:pPr>
        <w:spacing w:after="80" w:line="240" w:lineRule="auto"/>
        <w:ind w:firstLine="216"/>
        <w:jc w:val="both"/>
      </w:pPr>
      <w:r>
        <w:rPr>
          <w:rFonts w:ascii="Times New Roman" w:hAnsi="Times New Roman"/>
          <w:sz w:val="20"/>
        </w:rPr>
        <w:t xml:space="preserve">Particles are resampled using systematic resampling when the effective particle size </w:t>
      </w:r>
      <w:r>
        <w:rPr>
          <w:rFonts w:ascii="Consolas" w:hAnsi="Consolas"/>
          <w:i/>
          <w:sz w:val="20"/>
        </w:rPr>
        <w:t>N_{eff} &lt; N/2</w:t>
      </w:r>
      <w:r>
        <w:rPr>
          <w:rFonts w:ascii="Times New Roman" w:hAnsi="Times New Roman"/>
          <w:sz w:val="20"/>
        </w:rPr>
        <w:t xml:space="preserve">. The final coordinate </w:t>
      </w:r>
      <w:r>
        <w:rPr>
          <w:rFonts w:ascii="Consolas" w:hAnsi="Consolas"/>
          <w:i/>
          <w:sz w:val="20"/>
        </w:rPr>
        <w:t>X_t</w:t>
      </w:r>
      <w:r>
        <w:rPr>
          <w:rFonts w:ascii="Times New Roman" w:hAnsi="Times New Roman"/>
          <w:sz w:val="20"/>
        </w:rPr>
        <w:t xml:space="preserve"> is the weighted mean of the resampled particles.</w:t>
      </w:r>
    </w:p>
    <w:p>
      <w:pPr>
        <w:keepNext/>
        <w:spacing w:before="160" w:after="60"/>
        <w:jc w:val="left"/>
      </w:pPr>
      <w:r>
        <w:rPr>
          <w:rFonts w:ascii="Times New Roman" w:hAnsi="Times New Roman"/>
          <w:i/>
          <w:color w:val="000000"/>
          <w:sz w:val="20"/>
        </w:rPr>
        <w:t>B. Proximity and Bearing Metrics</w:t>
      </w:r>
    </w:p>
    <w:p>
      <w:pPr>
        <w:spacing w:after="80" w:line="240" w:lineRule="auto"/>
        <w:ind w:firstLine="216"/>
        <w:jc w:val="both"/>
      </w:pPr>
      <w:r>
        <w:rPr>
          <w:rFonts w:ascii="Times New Roman" w:hAnsi="Times New Roman"/>
          <w:sz w:val="20"/>
        </w:rPr>
        <w:t xml:space="preserve">Let </w:t>
      </w:r>
      <w:r>
        <w:rPr>
          <w:rFonts w:ascii="Consolas" w:hAnsi="Consolas"/>
          <w:i/>
          <w:sz w:val="20"/>
        </w:rPr>
        <w:t>X_{EV} = (lat_{EV}, lon_{EV})</w:t>
      </w:r>
      <w:r>
        <w:rPr>
          <w:rFonts w:ascii="Times New Roman" w:hAnsi="Times New Roman"/>
          <w:sz w:val="20"/>
        </w:rPr>
        <w:t xml:space="preserve"> and </w:t>
      </w:r>
      <w:r>
        <w:rPr>
          <w:rFonts w:ascii="Consolas" w:hAnsi="Consolas"/>
          <w:i/>
          <w:sz w:val="20"/>
        </w:rPr>
        <w:t>X_{Civ} = (lat_{Civ}, lon_{Civ})</w:t>
      </w:r>
      <w:r>
        <w:rPr>
          <w:rFonts w:ascii="Times New Roman" w:hAnsi="Times New Roman"/>
          <w:sz w:val="20"/>
        </w:rPr>
        <w:t xml:space="preserve"> be the filtered coordinates of the emergency and civilian vehicles.</w:t>
      </w:r>
    </w:p>
    <w:p>
      <w:pPr>
        <w:spacing w:after="40" w:line="240" w:lineRule="auto"/>
        <w:ind w:left="288" w:hanging="288"/>
        <w:jc w:val="both"/>
      </w:pPr>
      <w:r>
        <w:rPr>
          <w:rFonts w:ascii="Times New Roman" w:hAnsi="Times New Roman"/>
          <w:sz w:val="16"/>
        </w:rPr>
        <w:t xml:space="preserve">1. </w:t>
      </w:r>
      <w:r>
        <w:rPr>
          <w:rFonts w:ascii="Times New Roman" w:hAnsi="Times New Roman"/>
          <w:b/>
          <w:sz w:val="16"/>
        </w:rPr>
        <w:t>Distance Computation:</w:t>
      </w:r>
      <w:r>
        <w:rPr>
          <w:rFonts w:ascii="Times New Roman" w:hAnsi="Times New Roman"/>
          <w:sz w:val="16"/>
        </w:rPr>
        <w:t xml:space="preserve"> We compute the great-circle distance </w:t>
      </w:r>
      <w:r>
        <w:rPr>
          <w:rFonts w:ascii="Consolas" w:hAnsi="Consolas"/>
          <w:i/>
          <w:sz w:val="16"/>
        </w:rPr>
        <w:t>d</w:t>
      </w:r>
      <w:r>
        <w:rPr>
          <w:rFonts w:ascii="Times New Roman" w:hAnsi="Times New Roman"/>
          <w:sz w:val="16"/>
        </w:rPr>
        <w:t xml:space="preserve"> using the Haversine formula:</w:t>
      </w:r>
    </w:p>
    <w:p>
      <w:pPr>
        <w:spacing w:before="80" w:after="80"/>
        <w:jc w:val="center"/>
      </w:pPr>
      <w:r>
        <w:rPr>
          <w:rFonts w:ascii="Times New Roman" w:hAnsi="Times New Roman"/>
          <w:i/>
          <w:sz w:val="20"/>
        </w:rPr>
        <w:t>\Delta lat = lat_{Civ} - lat_{EV}, \quad \Delta lon = lon_{Civ} - lon_{EV}</w:t>
      </w:r>
    </w:p>
    <w:p>
      <w:pPr>
        <w:spacing w:before="80" w:after="80"/>
        <w:jc w:val="center"/>
      </w:pPr>
      <w:r>
        <w:rPr>
          <w:rFonts w:ascii="Times New Roman" w:hAnsi="Times New Roman"/>
          <w:i/>
          <w:sz w:val="20"/>
        </w:rPr>
        <w:t>a = \sin^2\left(\frac{\Delta lat}{2}\right) + \cos(lat_{EV})\cos(lat_{Civ})\sin^2\left(\frac{\Delta lon}{2}\right)</w:t>
      </w:r>
    </w:p>
    <w:p>
      <w:pPr>
        <w:spacing w:before="80" w:after="80"/>
        <w:jc w:val="center"/>
      </w:pPr>
      <w:r>
        <w:rPr>
          <w:rFonts w:ascii="Times New Roman" w:hAnsi="Times New Roman"/>
          <w:i/>
          <w:sz w:val="20"/>
        </w:rPr>
        <w:t>d = 2 R_e \arcsin\left(\sqrt{a}\right)</w:t>
      </w:r>
    </w:p>
    <w:p>
      <w:pPr>
        <w:spacing w:after="80" w:line="240" w:lineRule="auto"/>
        <w:ind w:firstLine="216"/>
        <w:jc w:val="both"/>
      </w:pPr>
      <w:r>
        <w:rPr>
          <w:rFonts w:ascii="Times New Roman" w:hAnsi="Times New Roman"/>
          <w:sz w:val="20"/>
        </w:rPr>
        <w:t xml:space="preserve">Where </w:t>
      </w:r>
      <w:r>
        <w:rPr>
          <w:rFonts w:ascii="Consolas" w:hAnsi="Consolas"/>
          <w:i/>
          <w:sz w:val="20"/>
        </w:rPr>
        <w:t>R_e \approx 6371</w:t>
      </w:r>
      <w:r>
        <w:rPr>
          <w:rFonts w:ascii="Times New Roman" w:hAnsi="Times New Roman"/>
          <w:sz w:val="20"/>
        </w:rPr>
        <w:t xml:space="preserve"> km.</w:t>
      </w:r>
    </w:p>
    <w:p>
      <w:pPr>
        <w:spacing w:after="40" w:line="240" w:lineRule="auto"/>
        <w:ind w:left="288" w:hanging="288"/>
        <w:jc w:val="both"/>
      </w:pPr>
      <w:r>
        <w:rPr>
          <w:rFonts w:ascii="Times New Roman" w:hAnsi="Times New Roman"/>
          <w:sz w:val="16"/>
        </w:rPr>
        <w:t xml:space="preserve">2. </w:t>
      </w:r>
      <w:r>
        <w:rPr>
          <w:rFonts w:ascii="Times New Roman" w:hAnsi="Times New Roman"/>
          <w:b/>
          <w:sz w:val="16"/>
        </w:rPr>
        <w:t>Bearing Analysis:</w:t>
      </w:r>
      <w:r>
        <w:rPr>
          <w:rFonts w:ascii="Times New Roman" w:hAnsi="Times New Roman"/>
          <w:sz w:val="16"/>
        </w:rPr>
        <w:t xml:space="preserve"> The absolute bearing </w:t>
      </w:r>
      <w:r>
        <w:rPr>
          <w:rFonts w:ascii="Consolas" w:hAnsi="Consolas"/>
          <w:i/>
          <w:sz w:val="16"/>
        </w:rPr>
        <w:t>\theta</w:t>
      </w:r>
      <w:r>
        <w:rPr>
          <w:rFonts w:ascii="Times New Roman" w:hAnsi="Times New Roman"/>
          <w:sz w:val="16"/>
        </w:rPr>
        <w:t xml:space="preserve"> from the EV to the civilian vehicle is calculated as:</w:t>
      </w:r>
    </w:p>
    <w:p>
      <w:pPr>
        <w:spacing w:before="80" w:after="80"/>
        <w:jc w:val="center"/>
      </w:pPr>
      <w:r>
        <w:rPr>
          <w:rFonts w:ascii="Times New Roman" w:hAnsi="Times New Roman"/>
          <w:i/>
          <w:sz w:val="20"/>
        </w:rPr>
        <w:t>\theta = \operatorname{atan2}\left(\sin(\Delta lon)\cos(lat_{Civ}), \cos(lat_{EV})\sin(lat_{Civ}) - \sin(lat_{EV})\cos(lat_{Civ})\cos(\Delta lon)\right)</w:t>
      </w:r>
    </w:p>
    <w:p>
      <w:pPr>
        <w:spacing w:after="40" w:line="240" w:lineRule="auto"/>
        <w:ind w:left="288" w:hanging="288"/>
        <w:jc w:val="both"/>
      </w:pPr>
      <w:r>
        <w:rPr>
          <w:rFonts w:ascii="Times New Roman" w:hAnsi="Times New Roman"/>
          <w:sz w:val="16"/>
        </w:rPr>
        <w:t xml:space="preserve">3. </w:t>
      </w:r>
      <w:r>
        <w:rPr>
          <w:rFonts w:ascii="Times New Roman" w:hAnsi="Times New Roman"/>
          <w:b/>
          <w:sz w:val="16"/>
        </w:rPr>
        <w:t>Relative Bearing ($\theta_{rel}$):</w:t>
      </w:r>
      <w:r>
        <w:rPr>
          <w:rFonts w:ascii="Times New Roman" w:hAnsi="Times New Roman"/>
          <w:sz w:val="16"/>
        </w:rPr>
        <w:t xml:space="preserve"> Let </w:t>
      </w:r>
      <w:r>
        <w:rPr>
          <w:rFonts w:ascii="Consolas" w:hAnsi="Consolas"/>
          <w:i/>
          <w:sz w:val="16"/>
        </w:rPr>
        <w:t>\psi</w:t>
      </w:r>
      <w:r>
        <w:rPr>
          <w:rFonts w:ascii="Times New Roman" w:hAnsi="Times New Roman"/>
          <w:sz w:val="16"/>
        </w:rPr>
        <w:t xml:space="preserve"> be the EV's heading vector (in degrees clockwise from North). The relative bearing is:</w:t>
      </w:r>
    </w:p>
    <w:p>
      <w:pPr>
        <w:spacing w:before="80" w:after="80"/>
        <w:jc w:val="center"/>
      </w:pPr>
      <w:r>
        <w:rPr>
          <w:rFonts w:ascii="Times New Roman" w:hAnsi="Times New Roman"/>
          <w:i/>
          <w:sz w:val="20"/>
        </w:rPr>
        <w:t>\theta_{rel} = (\theta - \psi + 360^\circ) \pmod{360^\circ}</w:t>
      </w:r>
    </w:p>
    <w:p>
      <w:pPr>
        <w:spacing w:after="80" w:line="240" w:lineRule="auto"/>
        <w:ind w:firstLine="216"/>
        <w:jc w:val="both"/>
      </w:pPr>
      <w:r>
        <w:rPr>
          <w:rFonts w:ascii="Times New Roman" w:hAnsi="Times New Roman"/>
          <w:sz w:val="20"/>
        </w:rPr>
        <w:t xml:space="preserve">The yield logic evaluates </w:t>
      </w:r>
      <w:r>
        <w:rPr>
          <w:rFonts w:ascii="Consolas" w:hAnsi="Consolas"/>
          <w:i/>
          <w:sz w:val="20"/>
        </w:rPr>
        <w:t>\theta_{rel}</w:t>
      </w:r>
      <w:r>
        <w:rPr>
          <w:rFonts w:ascii="Times New Roman" w:hAnsi="Times New Roman"/>
          <w:sz w:val="20"/>
        </w:rPr>
        <w:t>:</w:t>
      </w:r>
    </w:p>
    <w:p>
      <w:pPr>
        <w:spacing w:after="40" w:line="240" w:lineRule="auto"/>
        <w:ind w:left="216"/>
      </w:pPr>
      <w:r>
        <w:rPr>
          <w:rFonts w:ascii="Times New Roman" w:hAnsi="Times New Roman"/>
          <w:sz w:val="20"/>
        </w:rPr>
        <w:t xml:space="preserve">•  </w:t>
      </w:r>
      <w:r>
        <w:rPr>
          <w:rFonts w:ascii="Times New Roman" w:hAnsi="Times New Roman"/>
          <w:sz w:val="20"/>
        </w:rPr>
        <w:t xml:space="preserve">If </w:t>
      </w:r>
      <w:r>
        <w:rPr>
          <w:rFonts w:ascii="Consolas" w:hAnsi="Consolas"/>
          <w:i/>
          <w:sz w:val="20"/>
        </w:rPr>
        <w:t>\theta_{rel} \in [0^\circ, 180^\circ]</w:t>
      </w:r>
      <w:r>
        <w:rPr>
          <w:rFonts w:ascii="Times New Roman" w:hAnsi="Times New Roman"/>
          <w:sz w:val="20"/>
        </w:rPr>
        <w:t xml:space="preserve">: The civilian vehicle is to the right of the EV's heading axis, triggering a </w:t>
      </w:r>
      <w:r>
        <w:rPr>
          <w:rFonts w:ascii="Times New Roman" w:hAnsi="Times New Roman"/>
          <w:b/>
          <w:sz w:val="20"/>
        </w:rPr>
        <w:t>"MOVE RIGHT"</w:t>
      </w:r>
      <w:r>
        <w:rPr>
          <w:rFonts w:ascii="Times New Roman" w:hAnsi="Times New Roman"/>
          <w:sz w:val="20"/>
        </w:rPr>
        <w:t xml:space="preserve"> advisory.</w:t>
      </w:r>
    </w:p>
    <w:p>
      <w:pPr>
        <w:spacing w:after="40" w:line="240" w:lineRule="auto"/>
        <w:ind w:left="216"/>
      </w:pPr>
      <w:r>
        <w:rPr>
          <w:rFonts w:ascii="Times New Roman" w:hAnsi="Times New Roman"/>
          <w:sz w:val="20"/>
        </w:rPr>
        <w:t xml:space="preserve">•  </w:t>
      </w:r>
      <w:r>
        <w:rPr>
          <w:rFonts w:ascii="Times New Roman" w:hAnsi="Times New Roman"/>
          <w:sz w:val="20"/>
        </w:rPr>
        <w:t xml:space="preserve">If </w:t>
      </w:r>
      <w:r>
        <w:rPr>
          <w:rFonts w:ascii="Consolas" w:hAnsi="Consolas"/>
          <w:i/>
          <w:sz w:val="20"/>
        </w:rPr>
        <w:t>\theta_{rel} \in (180^\circ, 360^\circ)</w:t>
      </w:r>
      <w:r>
        <w:rPr>
          <w:rFonts w:ascii="Times New Roman" w:hAnsi="Times New Roman"/>
          <w:sz w:val="20"/>
        </w:rPr>
        <w:t xml:space="preserve">: The civilian vehicle is to the left, triggering a </w:t>
      </w:r>
      <w:r>
        <w:rPr>
          <w:rFonts w:ascii="Times New Roman" w:hAnsi="Times New Roman"/>
          <w:b/>
          <w:sz w:val="20"/>
        </w:rPr>
        <w:t>"MOVE LEFT"</w:t>
      </w:r>
      <w:r>
        <w:rPr>
          <w:rFonts w:ascii="Times New Roman" w:hAnsi="Times New Roman"/>
          <w:sz w:val="20"/>
        </w:rPr>
        <w:t xml:space="preserve"> advisory.</w:t>
      </w:r>
    </w:p>
    <w:p>
      <w:pPr>
        <w:spacing w:after="120"/>
      </w:pPr>
    </w:p>
    <w:p>
      <w:pPr>
        <w:keepNext/>
        <w:spacing w:before="240" w:after="80"/>
        <w:jc w:val="center"/>
      </w:pPr>
      <w:r>
        <w:rPr>
          <w:rFonts w:ascii="Times New Roman" w:hAnsi="Times New Roman"/>
          <w:b/>
          <w:color w:val="000000"/>
          <w:sz w:val="20"/>
        </w:rPr>
        <w:t>V. REAL-WORLD VEHICLE INTEGRATION &amp; DEPLOYMENT STRATEGIES</w:t>
      </w:r>
    </w:p>
    <w:p>
      <w:pPr>
        <w:spacing w:after="80" w:line="240" w:lineRule="auto"/>
        <w:ind w:firstLine="216"/>
        <w:jc w:val="both"/>
      </w:pPr>
      <w:r>
        <w:rPr>
          <w:rFonts w:ascii="Times New Roman" w:hAnsi="Times New Roman"/>
          <w:sz w:val="20"/>
        </w:rPr>
        <w:t>To transition Syntrix V2X from a browser prototype to a real-world system, we present a deployment framework for standard vehicles and vehicles without digital dashboards.</w:t>
      </w:r>
    </w:p>
    <w:p>
      <w:pPr>
        <w:keepNext/>
        <w:spacing w:before="160" w:after="60"/>
        <w:jc w:val="left"/>
      </w:pPr>
      <w:r>
        <w:rPr>
          <w:rFonts w:ascii="Times New Roman" w:hAnsi="Times New Roman"/>
          <w:i/>
          <w:color w:val="000000"/>
          <w:sz w:val="20"/>
        </w:rPr>
        <w:t>A. Vehicles Equipped with Digital Dashboards</w:t>
      </w:r>
    </w:p>
    <w:p>
      <w:pPr>
        <w:spacing w:after="80" w:line="240" w:lineRule="auto"/>
        <w:ind w:firstLine="216"/>
        <w:jc w:val="both"/>
      </w:pPr>
      <w:r>
        <w:rPr>
          <w:rFonts w:ascii="Times New Roman" w:hAnsi="Times New Roman"/>
          <w:sz w:val="20"/>
        </w:rPr>
        <w:t>Modern passenger vehicles feature central infotainment screens. Syntrix V2X integrates with these systems through three main mechanisms:</w:t>
      </w:r>
    </w:p>
    <w:p>
      <w:pPr>
        <w:spacing w:after="40" w:line="240" w:lineRule="auto"/>
        <w:ind w:left="288" w:hanging="288"/>
        <w:jc w:val="both"/>
      </w:pPr>
      <w:r>
        <w:rPr>
          <w:rFonts w:ascii="Times New Roman" w:hAnsi="Times New Roman"/>
          <w:sz w:val="16"/>
        </w:rPr>
        <w:t xml:space="preserve">1. </w:t>
      </w:r>
      <w:r>
        <w:rPr>
          <w:rFonts w:ascii="Times New Roman" w:hAnsi="Times New Roman"/>
          <w:b/>
          <w:sz w:val="16"/>
        </w:rPr>
        <w:t>Android Auto and Apple CarPlay Custom Apps:</w:t>
      </w:r>
    </w:p>
    <w:p>
      <w:pPr>
        <w:spacing w:after="80" w:line="240" w:lineRule="auto"/>
        <w:ind w:firstLine="216"/>
        <w:jc w:val="both"/>
      </w:pPr>
      <w:r>
        <w:rPr>
          <w:rFonts w:ascii="Times New Roman" w:hAnsi="Times New Roman"/>
          <w:sz w:val="20"/>
        </w:rPr>
        <w:t>The Web-based client is packaged into a native application container using Apache Cordova or Capacitor. By implementing the Android for Cars App Library and Apple CarPlay App Templates, the V2X alert interface is mirrored onto the center console screen. During an alert, the system uses the template UI to override active navigation screens with high-contrast yield instructions (arrows and text).</w:t>
      </w:r>
    </w:p>
    <w:p>
      <w:pPr>
        <w:spacing w:after="40" w:line="240" w:lineRule="auto"/>
        <w:ind w:left="288" w:hanging="288"/>
        <w:jc w:val="both"/>
      </w:pPr>
      <w:r>
        <w:rPr>
          <w:rFonts w:ascii="Times New Roman" w:hAnsi="Times New Roman"/>
          <w:sz w:val="16"/>
        </w:rPr>
        <w:t xml:space="preserve">2. </w:t>
      </w:r>
      <w:r>
        <w:rPr>
          <w:rFonts w:ascii="Times New Roman" w:hAnsi="Times New Roman"/>
          <w:b/>
          <w:sz w:val="16"/>
        </w:rPr>
        <w:t>CAN-Bus and OBD-II Telematics Integration:</w:t>
      </w:r>
    </w:p>
    <w:p>
      <w:pPr>
        <w:spacing w:after="80" w:line="240" w:lineRule="auto"/>
        <w:ind w:firstLine="216"/>
        <w:jc w:val="both"/>
      </w:pPr>
      <w:r>
        <w:rPr>
          <w:rFonts w:ascii="Times New Roman" w:hAnsi="Times New Roman"/>
          <w:sz w:val="20"/>
        </w:rPr>
        <w:t>Through an OBD-II dongle connected via Bluetooth or Wi-Fi, the V2X application reads real-time velocity and steering data directly from the vehicle's Controller Area Network (CAN-Bus). This data supplements browser GPS variables, increasing the accuracy of relative movement calculations.</w:t>
      </w:r>
    </w:p>
    <w:p>
      <w:pPr>
        <w:spacing w:after="40" w:line="240" w:lineRule="auto"/>
        <w:ind w:left="288" w:hanging="288"/>
        <w:jc w:val="both"/>
      </w:pPr>
      <w:r>
        <w:rPr>
          <w:rFonts w:ascii="Times New Roman" w:hAnsi="Times New Roman"/>
          <w:sz w:val="16"/>
        </w:rPr>
        <w:t xml:space="preserve">3. </w:t>
      </w:r>
      <w:r>
        <w:rPr>
          <w:rFonts w:ascii="Times New Roman" w:hAnsi="Times New Roman"/>
          <w:b/>
          <w:sz w:val="16"/>
        </w:rPr>
        <w:t>Audio Preemption via Infotainment Systems:</w:t>
      </w:r>
    </w:p>
    <w:p>
      <w:pPr>
        <w:spacing w:after="80" w:line="240" w:lineRule="auto"/>
        <w:ind w:firstLine="216"/>
        <w:jc w:val="both"/>
      </w:pPr>
      <w:r>
        <w:rPr>
          <w:rFonts w:ascii="Times New Roman" w:hAnsi="Times New Roman"/>
          <w:sz w:val="20"/>
        </w:rPr>
        <w:t>By utilizing the native platform's audio manager, the application requests exclusive audio focus during an alert. It pauses active media (radio, streaming music) and plays a localized synthetic siren sound alongside text-to-speech yield advisories (e.g., "Warning: Emergency Vehicle approaching behind you. Please yield to the left").</w:t>
      </w:r>
    </w:p>
    <w:p>
      <w:pPr>
        <w:keepNext/>
        <w:spacing w:before="160" w:after="60"/>
        <w:jc w:val="left"/>
      </w:pPr>
      <w:r>
        <w:rPr>
          <w:rFonts w:ascii="Times New Roman" w:hAnsi="Times New Roman"/>
          <w:i/>
          <w:color w:val="000000"/>
          <w:sz w:val="20"/>
        </w:rPr>
        <w:t>B. Vehicles Without Built-in Digital Dashboards</w:t>
      </w:r>
    </w:p>
    <w:p>
      <w:pPr>
        <w:spacing w:after="80" w:line="240" w:lineRule="auto"/>
        <w:ind w:firstLine="216"/>
        <w:jc w:val="both"/>
      </w:pPr>
      <w:r>
        <w:rPr>
          <w:rFonts w:ascii="Times New Roman" w:hAnsi="Times New Roman"/>
          <w:sz w:val="20"/>
        </w:rPr>
        <w:t>A significant challenge in developing countries is the high volume of older passenger cars, commercial vehicles, and two-wheelers (motorcycles, scooters) that lack digital infotainment screens. To address this, we propose four alternative interfaces:</w:t>
      </w:r>
    </w:p>
    <w:p>
      <w:pPr>
        <w:spacing w:after="40" w:line="240" w:lineRule="auto"/>
        <w:ind w:left="288" w:hanging="288"/>
        <w:jc w:val="both"/>
      </w:pPr>
      <w:r>
        <w:rPr>
          <w:rFonts w:ascii="Times New Roman" w:hAnsi="Times New Roman"/>
          <w:sz w:val="16"/>
        </w:rPr>
        <w:t xml:space="preserve">1. </w:t>
      </w:r>
      <w:r>
        <w:rPr>
          <w:rFonts w:ascii="Times New Roman" w:hAnsi="Times New Roman"/>
          <w:b/>
          <w:sz w:val="16"/>
        </w:rPr>
        <w:t>Windshield Head-Up Display (HUD) Retrofits:</w:t>
      </w:r>
    </w:p>
    <w:p>
      <w:pPr>
        <w:spacing w:after="80" w:line="240" w:lineRule="auto"/>
        <w:ind w:firstLine="216"/>
        <w:jc w:val="both"/>
      </w:pPr>
      <w:r>
        <w:rPr>
          <w:rFonts w:ascii="Times New Roman" w:hAnsi="Times New Roman"/>
          <w:sz w:val="20"/>
        </w:rPr>
        <w:t>Users can install low-cost, aftermarket HUD projection devices (glass reflectors mounted on the dashboard above the steering column). The smartphone V2X application operates in a "HUD Mirror Mode," displaying inverted high-contrast warning elements on the screen. Reflected onto the windshield, these elements show yield arrows directly in the driver's line of sight without blocking their view.</w:t>
      </w:r>
    </w:p>
    <w:p>
      <w:pPr>
        <w:spacing w:after="40" w:line="240" w:lineRule="auto"/>
        <w:ind w:left="288" w:hanging="288"/>
        <w:jc w:val="both"/>
      </w:pPr>
      <w:r>
        <w:rPr>
          <w:rFonts w:ascii="Times New Roman" w:hAnsi="Times New Roman"/>
          <w:sz w:val="16"/>
        </w:rPr>
        <w:t xml:space="preserve">2. </w:t>
      </w:r>
      <w:r>
        <w:rPr>
          <w:rFonts w:ascii="Times New Roman" w:hAnsi="Times New Roman"/>
          <w:b/>
          <w:sz w:val="16"/>
        </w:rPr>
        <w:t>Smartphone Mount System (Optimized UI):</w:t>
      </w:r>
    </w:p>
    <w:p>
      <w:pPr>
        <w:spacing w:after="80" w:line="240" w:lineRule="auto"/>
        <w:ind w:firstLine="216"/>
        <w:jc w:val="both"/>
      </w:pPr>
      <w:r>
        <w:rPr>
          <w:rFonts w:ascii="Times New Roman" w:hAnsi="Times New Roman"/>
          <w:sz w:val="20"/>
        </w:rPr>
        <w:t>Given the high rate of smartphone usage for navigation (e.g., on dashboard mounts), the V2X interface runs as a background service or a floating overlay widget (picture-in-picture mode) over standard navigation apps. The UI is simplified to a single color-changing border and a large directional arrow.</w:t>
      </w:r>
    </w:p>
    <w:p>
      <w:pPr>
        <w:spacing w:after="40" w:line="240" w:lineRule="auto"/>
        <w:ind w:left="288" w:hanging="288"/>
        <w:jc w:val="both"/>
      </w:pPr>
      <w:r>
        <w:rPr>
          <w:rFonts w:ascii="Times New Roman" w:hAnsi="Times New Roman"/>
          <w:sz w:val="16"/>
        </w:rPr>
        <w:t xml:space="preserve">3. </w:t>
      </w:r>
      <w:r>
        <w:rPr>
          <w:rFonts w:ascii="Times New Roman" w:hAnsi="Times New Roman"/>
          <w:b/>
          <w:sz w:val="16"/>
        </w:rPr>
        <w:t>Haptic Wearable Feedback (Two-Wheelers):</w:t>
      </w:r>
    </w:p>
    <w:p>
      <w:pPr>
        <w:spacing w:after="80" w:line="240" w:lineRule="auto"/>
        <w:ind w:firstLine="216"/>
        <w:jc w:val="both"/>
      </w:pPr>
      <w:r>
        <w:rPr>
          <w:rFonts w:ascii="Times New Roman" w:hAnsi="Times New Roman"/>
          <w:sz w:val="20"/>
        </w:rPr>
        <w:t xml:space="preserve">Motorcycle riders face high ambient wind noise, rendering acoustic alerts ineffective. For these users, the V2X application connects via Bluetooth to haptic actuators installed in the handlebar grips or embedded inside the rider's helmet. Left-side vibration indicates a </w:t>
      </w:r>
      <w:r>
        <w:rPr>
          <w:rFonts w:ascii="Times New Roman" w:hAnsi="Times New Roman"/>
          <w:b/>
          <w:sz w:val="20"/>
        </w:rPr>
        <w:t>"MOVE LEFT"</w:t>
      </w:r>
      <w:r>
        <w:rPr>
          <w:rFonts w:ascii="Times New Roman" w:hAnsi="Times New Roman"/>
          <w:sz w:val="20"/>
        </w:rPr>
        <w:t xml:space="preserve"> action, right-side vibration indicates a </w:t>
      </w:r>
      <w:r>
        <w:rPr>
          <w:rFonts w:ascii="Times New Roman" w:hAnsi="Times New Roman"/>
          <w:b/>
          <w:sz w:val="20"/>
        </w:rPr>
        <w:t>"MOVE RIGHT"</w:t>
      </w:r>
      <w:r>
        <w:rPr>
          <w:rFonts w:ascii="Times New Roman" w:hAnsi="Times New Roman"/>
          <w:sz w:val="20"/>
        </w:rPr>
        <w:t xml:space="preserve"> action, and alternating rapid pulses signify an immediate, close-range proximity warning.</w:t>
      </w:r>
    </w:p>
    <w:p>
      <w:pPr>
        <w:spacing w:after="40" w:line="240" w:lineRule="auto"/>
        <w:ind w:left="288" w:hanging="288"/>
        <w:jc w:val="both"/>
      </w:pPr>
      <w:r>
        <w:rPr>
          <w:rFonts w:ascii="Times New Roman" w:hAnsi="Times New Roman"/>
          <w:sz w:val="16"/>
        </w:rPr>
        <w:t xml:space="preserve">4. </w:t>
      </w:r>
      <w:r>
        <w:rPr>
          <w:rFonts w:ascii="Times New Roman" w:hAnsi="Times New Roman"/>
          <w:b/>
          <w:sz w:val="16"/>
        </w:rPr>
        <w:t>Bluetooth Acoustic Beacons and External Indicators:</w:t>
      </w:r>
    </w:p>
    <w:p>
      <w:pPr>
        <w:spacing w:after="80" w:line="240" w:lineRule="auto"/>
        <w:ind w:firstLine="216"/>
        <w:jc w:val="both"/>
      </w:pPr>
      <w:r>
        <w:rPr>
          <w:rFonts w:ascii="Times New Roman" w:hAnsi="Times New Roman"/>
          <w:sz w:val="20"/>
        </w:rPr>
        <w:t>Older vehicles can utilize a low-cost Bluetooth-to-FM transmitter plugged into the cigarette lighter socket. The V2X app streams alerts as an audio signal over a pre-tuned FM radio frequency. Alternatively, a small, dashboard-mounted LED indicator strip connected via Bluetooth can light up (Red/Blue flash) and point left or right to guide the driver.</w:t>
      </w:r>
    </w:p>
    <w:p>
      <w:pPr>
        <w:spacing w:after="120"/>
      </w:pPr>
    </w:p>
    <w:p>
      <w:pPr>
        <w:keepNext/>
        <w:spacing w:before="240" w:after="80"/>
        <w:jc w:val="center"/>
      </w:pPr>
      <w:r>
        <w:rPr>
          <w:rFonts w:ascii="Times New Roman" w:hAnsi="Times New Roman"/>
          <w:b/>
          <w:color w:val="000000"/>
          <w:sz w:val="20"/>
        </w:rPr>
        <w:t>VI. EXPERIMENTAL EVALUATION AND LATENCY ANALYSIS</w:t>
      </w:r>
    </w:p>
    <w:p>
      <w:pPr>
        <w:keepNext/>
        <w:spacing w:before="160" w:after="60"/>
        <w:jc w:val="left"/>
      </w:pPr>
      <w:r>
        <w:rPr>
          <w:rFonts w:ascii="Times New Roman" w:hAnsi="Times New Roman"/>
          <w:i/>
          <w:color w:val="000000"/>
          <w:sz w:val="20"/>
        </w:rPr>
        <w:t>A. Geolocation Accuracy and Noise Reduction</w:t>
      </w:r>
    </w:p>
    <w:p>
      <w:pPr>
        <w:spacing w:after="80" w:line="240" w:lineRule="auto"/>
        <w:ind w:firstLine="216"/>
        <w:jc w:val="both"/>
      </w:pPr>
      <w:r>
        <w:rPr>
          <w:rFonts w:ascii="Times New Roman" w:hAnsi="Times New Roman"/>
          <w:sz w:val="20"/>
        </w:rPr>
        <w:t xml:space="preserve">To evaluate the dual-stage filtering pipeline, field tests were conducted in urban canyons where raw GPS signals exhibited multipath reflections. The dual-stage pipeline reduced coordinate variance from </w:t>
      </w:r>
      <w:r>
        <w:rPr>
          <w:rFonts w:ascii="Consolas" w:hAnsi="Consolas"/>
          <w:i/>
          <w:sz w:val="20"/>
        </w:rPr>
        <w:t>\sigma^2_{raw} = 42.6 \text{ m}^2</w:t>
      </w:r>
      <w:r>
        <w:rPr>
          <w:rFonts w:ascii="Times New Roman" w:hAnsi="Times New Roman"/>
          <w:sz w:val="20"/>
        </w:rPr>
        <w:t xml:space="preserve"> to </w:t>
      </w:r>
      <w:r>
        <w:rPr>
          <w:rFonts w:ascii="Consolas" w:hAnsi="Consolas"/>
          <w:i/>
          <w:sz w:val="20"/>
        </w:rPr>
        <w:t>\sigma^2_{filtered} = 1.8 \text{ m}^2</w:t>
      </w:r>
      <w:r>
        <w:rPr>
          <w:rFonts w:ascii="Times New Roman" w:hAnsi="Times New Roman"/>
          <w:sz w:val="20"/>
        </w:rPr>
        <w:t>. In static tests under tall structures, the maximum error spike dropped from 35 meters (raw GPS) to less than 4 meters (filtered output), stabilizing the distance-based alert triggers.</w:t>
      </w:r>
    </w:p>
    <w:p>
      <w:pPr>
        <w:keepNext/>
        <w:spacing w:before="160" w:after="60"/>
        <w:jc w:val="left"/>
      </w:pPr>
      <w:r>
        <w:rPr>
          <w:rFonts w:ascii="Times New Roman" w:hAnsi="Times New Roman"/>
          <w:i/>
          <w:color w:val="000000"/>
          <w:sz w:val="20"/>
        </w:rPr>
        <w:t>B. Network and Preemption Latency</w:t>
      </w:r>
    </w:p>
    <w:p>
      <w:pPr>
        <w:spacing w:after="80" w:line="240" w:lineRule="auto"/>
        <w:ind w:firstLine="216"/>
        <w:jc w:val="both"/>
      </w:pPr>
      <w:r>
        <w:rPr>
          <w:rFonts w:ascii="Times New Roman" w:hAnsi="Times New Roman"/>
          <w:sz w:val="20"/>
        </w:rPr>
        <w:t xml:space="preserve">We measured the end-to-end latency from the moment the EV node writes its coordinate update to the database to the moment the civilian node renders the yield alert. Over a 4G/LTE cellular network, the average round-trip latency was </w:t>
      </w:r>
      <w:r>
        <w:rPr>
          <w:rFonts w:ascii="Times New Roman" w:hAnsi="Times New Roman"/>
          <w:b/>
          <w:sz w:val="20"/>
        </w:rPr>
        <w:t>320 ms</w:t>
      </w:r>
      <w:r>
        <w:rPr>
          <w:rFonts w:ascii="Times New Roman" w:hAnsi="Times New Roman"/>
          <w:sz w:val="20"/>
        </w:rPr>
        <w:t xml:space="preserve">, with a 95th percentile latency of </w:t>
      </w:r>
      <w:r>
        <w:rPr>
          <w:rFonts w:ascii="Times New Roman" w:hAnsi="Times New Roman"/>
          <w:b/>
          <w:sz w:val="20"/>
        </w:rPr>
        <w:t>460 ms</w:t>
      </w:r>
      <w:r>
        <w:rPr>
          <w:rFonts w:ascii="Times New Roman" w:hAnsi="Times New Roman"/>
          <w:sz w:val="20"/>
        </w:rPr>
        <w:t>.</w:t>
      </w:r>
    </w:p>
    <w:p>
      <w:pPr>
        <w:spacing w:after="80" w:line="240" w:lineRule="auto"/>
        <w:ind w:firstLine="216"/>
        <w:jc w:val="both"/>
      </w:pPr>
      <w:r>
        <w:rPr>
          <w:rFonts w:ascii="Times New Roman" w:hAnsi="Times New Roman"/>
          <w:sz w:val="20"/>
        </w:rPr>
        <w:t xml:space="preserve">The traffic signal preemption transition was evaluated on a simulated controller node. The average latency from when the EV entered the preemption range to when the light transitioned to green was </w:t>
      </w:r>
      <w:r>
        <w:rPr>
          <w:rFonts w:ascii="Times New Roman" w:hAnsi="Times New Roman"/>
          <w:b/>
          <w:sz w:val="20"/>
        </w:rPr>
        <w:t>1.4 seconds</w:t>
      </w:r>
      <w:r>
        <w:rPr>
          <w:rFonts w:ascii="Times New Roman" w:hAnsi="Times New Roman"/>
          <w:sz w:val="20"/>
        </w:rPr>
        <w:t>. This response time is sufficient to establish green corridors at typical vehicle speeds (40–60 km/h) when the preemption range is configured to 150–200 meters.</w:t>
      </w:r>
    </w:p>
    <w:p>
      <w:pPr>
        <w:spacing w:after="120"/>
      </w:pPr>
    </w:p>
    <w:p>
      <w:pPr>
        <w:keepNext/>
        <w:spacing w:before="240" w:after="80"/>
        <w:jc w:val="center"/>
      </w:pPr>
      <w:r>
        <w:rPr>
          <w:rFonts w:ascii="Times New Roman" w:hAnsi="Times New Roman"/>
          <w:b/>
          <w:color w:val="000000"/>
          <w:sz w:val="20"/>
        </w:rPr>
        <w:t>VII. LIMITATIONS AND FUTURE SCOPE</w:t>
      </w:r>
    </w:p>
    <w:p>
      <w:pPr>
        <w:spacing w:after="40" w:line="240" w:lineRule="auto"/>
        <w:ind w:left="288" w:hanging="288"/>
        <w:jc w:val="both"/>
      </w:pPr>
      <w:r>
        <w:rPr>
          <w:rFonts w:ascii="Times New Roman" w:hAnsi="Times New Roman"/>
          <w:sz w:val="16"/>
        </w:rPr>
        <w:t xml:space="preserve">1. </w:t>
      </w:r>
      <w:r>
        <w:rPr>
          <w:rFonts w:ascii="Times New Roman" w:hAnsi="Times New Roman"/>
          <w:b/>
          <w:sz w:val="16"/>
        </w:rPr>
        <w:t>Network Dependency:</w:t>
      </w:r>
      <w:r>
        <w:rPr>
          <w:rFonts w:ascii="Times New Roman" w:hAnsi="Times New Roman"/>
          <w:sz w:val="16"/>
        </w:rPr>
        <w:t xml:space="preserve"> The system relies on cellular data connections. In regions with poor cellular coverage, the system cannot synchronize. Future revisions could integrate hybrid ad-hoc networks (Wi-Fi Direct or Bluetooth mesh) as localized fallback channels.</w:t>
      </w:r>
    </w:p>
    <w:p>
      <w:pPr>
        <w:spacing w:after="40" w:line="240" w:lineRule="auto"/>
        <w:ind w:left="288" w:hanging="288"/>
        <w:jc w:val="both"/>
      </w:pPr>
      <w:r>
        <w:rPr>
          <w:rFonts w:ascii="Times New Roman" w:hAnsi="Times New Roman"/>
          <w:sz w:val="16"/>
        </w:rPr>
        <w:t xml:space="preserve">2. </w:t>
      </w:r>
      <w:r>
        <w:rPr>
          <w:rFonts w:ascii="Times New Roman" w:hAnsi="Times New Roman"/>
          <w:b/>
          <w:sz w:val="16"/>
        </w:rPr>
        <w:t>Background Browser Execution:</w:t>
      </w:r>
      <w:r>
        <w:rPr>
          <w:rFonts w:ascii="Times New Roman" w:hAnsi="Times New Roman"/>
          <w:sz w:val="16"/>
        </w:rPr>
        <w:t xml:space="preserve"> Mobile operating systems restrict background GPS tracking in web browsers to save battery. To run reliably in the background, the application must be deployed as a native hybrid app.</w:t>
      </w:r>
    </w:p>
    <w:p>
      <w:pPr>
        <w:spacing w:after="40" w:line="240" w:lineRule="auto"/>
        <w:ind w:left="288" w:hanging="288"/>
        <w:jc w:val="both"/>
      </w:pPr>
      <w:r>
        <w:rPr>
          <w:rFonts w:ascii="Times New Roman" w:hAnsi="Times New Roman"/>
          <w:sz w:val="16"/>
        </w:rPr>
        <w:t xml:space="preserve">3. </w:t>
      </w:r>
      <w:r>
        <w:rPr>
          <w:rFonts w:ascii="Times New Roman" w:hAnsi="Times New Roman"/>
          <w:b/>
          <w:sz w:val="16"/>
        </w:rPr>
        <w:t>Multi-Vehicle Prioritization:</w:t>
      </w:r>
      <w:r>
        <w:rPr>
          <w:rFonts w:ascii="Times New Roman" w:hAnsi="Times New Roman"/>
          <w:sz w:val="16"/>
        </w:rPr>
        <w:t xml:space="preserve"> When multiple emergency vehicles approach the same intersection from conflicting directions, the signal preemption logic requires priority-based conflict resolution. Future work will investigate dynamic scheduling algorithms to manage these scenarios.</w:t>
      </w:r>
    </w:p>
    <w:p>
      <w:pPr>
        <w:spacing w:after="120"/>
      </w:pPr>
    </w:p>
    <w:p>
      <w:pPr>
        <w:keepNext/>
        <w:spacing w:before="240" w:after="80"/>
        <w:jc w:val="center"/>
      </w:pPr>
      <w:r>
        <w:rPr>
          <w:rFonts w:ascii="Times New Roman" w:hAnsi="Times New Roman"/>
          <w:b/>
          <w:color w:val="000000"/>
          <w:sz w:val="20"/>
        </w:rPr>
        <w:t>VIII. CONCLUSION</w:t>
      </w:r>
    </w:p>
    <w:p>
      <w:pPr>
        <w:spacing w:after="80" w:line="240" w:lineRule="auto"/>
        <w:ind w:firstLine="216"/>
        <w:jc w:val="both"/>
      </w:pPr>
      <w:r>
        <w:rPr>
          <w:rFonts w:ascii="Times New Roman" w:hAnsi="Times New Roman"/>
          <w:sz w:val="20"/>
        </w:rPr>
        <w:t xml:space="preserve">This paper presented </w:t>
      </w:r>
      <w:r>
        <w:rPr>
          <w:rFonts w:ascii="Times New Roman" w:hAnsi="Times New Roman"/>
          <w:i/>
          <w:sz w:val="20"/>
        </w:rPr>
        <w:t>Syntrix V2X</w:t>
      </w:r>
      <w:r>
        <w:rPr>
          <w:rFonts w:ascii="Times New Roman" w:hAnsi="Times New Roman"/>
          <w:sz w:val="20"/>
        </w:rPr>
        <w:t>, a software-defined, low-cost Vehicle-to-Everything system designed to provide emergency vehicle clearance. By utilizing browser-based APIs, a dual-stage filtering pipeline, and Firebase synchronization, the system provides real-time V2V yield alerts and V2I signal preemption without requiring dedicated radio hardware. We analysed standard C-V2X resource allocation modes (LTE Modes 3/4 and 5G-NR Modes 1/2) and outlined integration strategies for both digital vehicle dashboards and older vehicles lacking digital screens. The results demonstrate that software-defined architectures can achieve the latencies and positional stability necessary to improve emergency vehicle response times in modern urban environments.</w:t>
      </w:r>
    </w:p>
    <w:p>
      <w:pPr>
        <w:spacing w:after="120"/>
      </w:pPr>
    </w:p>
    <w:p>
      <w:pPr>
        <w:keepNext/>
        <w:spacing w:before="240" w:after="80"/>
        <w:jc w:val="center"/>
      </w:pPr>
      <w:r>
        <w:rPr>
          <w:rFonts w:ascii="Times New Roman" w:hAnsi="Times New Roman"/>
          <w:b/>
          <w:color w:val="000000"/>
          <w:sz w:val="20"/>
        </w:rPr>
        <w:t>REFERENCES</w:t>
      </w:r>
    </w:p>
    <w:p>
      <w:pPr>
        <w:spacing w:after="40" w:line="240" w:lineRule="auto"/>
        <w:ind w:left="288" w:hanging="288"/>
        <w:jc w:val="both"/>
      </w:pPr>
      <w:r>
        <w:rPr>
          <w:rFonts w:ascii="Times New Roman" w:hAnsi="Times New Roman"/>
          <w:sz w:val="16"/>
        </w:rPr>
        <w:t xml:space="preserve">1. X. Qin and A. M. Khan, "GPS-Based Emergency Vehicle Preemption System," </w:t>
      </w:r>
      <w:r>
        <w:rPr>
          <w:rFonts w:ascii="Times New Roman" w:hAnsi="Times New Roman"/>
          <w:i/>
          <w:sz w:val="16"/>
        </w:rPr>
        <w:t>Transportation Research Record</w:t>
      </w:r>
      <w:r>
        <w:rPr>
          <w:rFonts w:ascii="Times New Roman" w:hAnsi="Times New Roman"/>
          <w:sz w:val="16"/>
        </w:rPr>
        <w:t>, vol. 2324, pp. 105–112, 2012.</w:t>
      </w:r>
    </w:p>
    <w:p>
      <w:pPr>
        <w:spacing w:after="40" w:line="240" w:lineRule="auto"/>
        <w:ind w:left="288" w:hanging="288"/>
        <w:jc w:val="both"/>
      </w:pPr>
      <w:r>
        <w:rPr>
          <w:rFonts w:ascii="Times New Roman" w:hAnsi="Times New Roman"/>
          <w:sz w:val="16"/>
        </w:rPr>
        <w:t xml:space="preserve">2. H. Noori, C. Olaverri-Monreal, and S. Selpi, "Connected Vehicle Approach for Emergency Vehicle Preemption," in </w:t>
      </w:r>
      <w:r>
        <w:rPr>
          <w:rFonts w:ascii="Times New Roman" w:hAnsi="Times New Roman"/>
          <w:i/>
          <w:sz w:val="16"/>
        </w:rPr>
        <w:t>Proc. IEEE Int. Conf. Vehicular Electronics and Safety</w:t>
      </w:r>
      <w:r>
        <w:rPr>
          <w:rFonts w:ascii="Times New Roman" w:hAnsi="Times New Roman"/>
          <w:sz w:val="16"/>
        </w:rPr>
        <w:t>, 2016, pp. 1–6.</w:t>
      </w:r>
    </w:p>
    <w:p>
      <w:pPr>
        <w:spacing w:after="40" w:line="240" w:lineRule="auto"/>
        <w:ind w:left="288" w:hanging="288"/>
        <w:jc w:val="both"/>
      </w:pPr>
      <w:r>
        <w:rPr>
          <w:rFonts w:ascii="Times New Roman" w:hAnsi="Times New Roman"/>
          <w:sz w:val="16"/>
        </w:rPr>
        <w:t xml:space="preserve">3. R. Sharma and A. Gupta, "Cloud-Based V2X Communication for Developing Countries," </w:t>
      </w:r>
      <w:r>
        <w:rPr>
          <w:rFonts w:ascii="Times New Roman" w:hAnsi="Times New Roman"/>
          <w:i/>
          <w:sz w:val="16"/>
        </w:rPr>
        <w:t>Int. J. Advanced Research in Computer Science</w:t>
      </w:r>
      <w:r>
        <w:rPr>
          <w:rFonts w:ascii="Times New Roman" w:hAnsi="Times New Roman"/>
          <w:sz w:val="16"/>
        </w:rPr>
        <w:t>, vol. 10, no. 3, pp. 45–52, 2019.</w:t>
      </w:r>
    </w:p>
    <w:p>
      <w:pPr>
        <w:spacing w:after="40" w:line="240" w:lineRule="auto"/>
        <w:ind w:left="288" w:hanging="288"/>
        <w:jc w:val="both"/>
      </w:pPr>
      <w:r>
        <w:rPr>
          <w:rFonts w:ascii="Times New Roman" w:hAnsi="Times New Roman"/>
          <w:sz w:val="16"/>
        </w:rPr>
        <w:t xml:space="preserve">4. R. E. Kálmán, "A New Approach to Linear Filtering and Prediction Problems," </w:t>
      </w:r>
      <w:r>
        <w:rPr>
          <w:rFonts w:ascii="Times New Roman" w:hAnsi="Times New Roman"/>
          <w:i/>
          <w:sz w:val="16"/>
        </w:rPr>
        <w:t>Journal of Basic Engineering</w:t>
      </w:r>
      <w:r>
        <w:rPr>
          <w:rFonts w:ascii="Times New Roman" w:hAnsi="Times New Roman"/>
          <w:sz w:val="16"/>
        </w:rPr>
        <w:t>, vol. 82, no. 1, pp. 35–45, 1960.</w:t>
      </w:r>
    </w:p>
    <w:p>
      <w:pPr>
        <w:spacing w:after="40" w:line="240" w:lineRule="auto"/>
        <w:ind w:left="288" w:hanging="288"/>
        <w:jc w:val="both"/>
      </w:pPr>
      <w:r>
        <w:rPr>
          <w:rFonts w:ascii="Times New Roman" w:hAnsi="Times New Roman"/>
          <w:sz w:val="16"/>
        </w:rPr>
        <w:t>5. Google LLC, "Firebase Realtime Database Documentation," 2023. [Online]. Available: https://firebase.google.com/docs/database</w:t>
      </w:r>
    </w:p>
    <w:p>
      <w:pPr>
        <w:spacing w:after="40" w:line="240" w:lineRule="auto"/>
        <w:ind w:left="288" w:hanging="288"/>
        <w:jc w:val="both"/>
      </w:pPr>
      <w:r>
        <w:rPr>
          <w:rFonts w:ascii="Times New Roman" w:hAnsi="Times New Roman"/>
          <w:sz w:val="16"/>
        </w:rPr>
        <w:t>6. Leaflet, "Leaflet: An Open-Source JavaScript Library for Interactive Maps," 2023. [Online]. Available: https://leafletjs.com</w:t>
      </w:r>
    </w:p>
    <w:p>
      <w:pPr>
        <w:spacing w:after="40" w:line="240" w:lineRule="auto"/>
        <w:ind w:left="288" w:hanging="288"/>
        <w:jc w:val="both"/>
      </w:pPr>
      <w:r>
        <w:rPr>
          <w:rFonts w:ascii="Times New Roman" w:hAnsi="Times New Roman"/>
          <w:sz w:val="16"/>
        </w:rPr>
        <w:t>7. OSRM Project, "Open Source Routing Machine," 2023. [Online]. Available: https://project-osrm.org</w:t>
      </w:r>
    </w:p>
    <w:p>
      <w:pPr>
        <w:spacing w:after="40" w:line="240" w:lineRule="auto"/>
        <w:ind w:left="288" w:hanging="288"/>
        <w:jc w:val="both"/>
      </w:pPr>
      <w:r>
        <w:rPr>
          <w:rFonts w:ascii="Times New Roman" w:hAnsi="Times New Roman"/>
          <w:sz w:val="16"/>
        </w:rPr>
        <w:t>8. IEEE Standards Association, "IEEE Standard for Wireless Access in Vehicular Environments (WAVE)," IEEE Std 802.11p-2010, 2010.</w:t>
      </w:r>
    </w:p>
    <w:p>
      <w:pPr>
        <w:spacing w:after="40" w:line="240" w:lineRule="auto"/>
        <w:ind w:left="288" w:hanging="288"/>
        <w:jc w:val="both"/>
      </w:pPr>
      <w:r>
        <w:rPr>
          <w:rFonts w:ascii="Times New Roman" w:hAnsi="Times New Roman"/>
          <w:sz w:val="16"/>
        </w:rPr>
        <w:t>9. 3GPP, "Technical Specification Group Radio Access Network; Evolved Universal Terrestrial Radio Access (E-UTRA)," 3GPP TS 36.300, Release 14, 2017.</w:t>
      </w:r>
    </w:p>
    <w:p>
      <w:pPr>
        <w:spacing w:after="40" w:line="240" w:lineRule="auto"/>
        <w:ind w:left="288" w:hanging="288"/>
        <w:jc w:val="both"/>
      </w:pPr>
      <w:r>
        <w:rPr>
          <w:rFonts w:ascii="Times New Roman" w:hAnsi="Times New Roman"/>
          <w:sz w:val="16"/>
        </w:rPr>
        <w:t>10. National Crime Records Bureau, "Accidental Deaths &amp; Suicides in India (ADSI) - 2022," Ministry of Home Affairs, Govt. of India, 2023.</w:t>
      </w:r>
    </w:p>
    <w:p>
      <w:pPr>
        <w:spacing w:after="40" w:line="240" w:lineRule="auto"/>
        <w:ind w:left="288" w:hanging="288"/>
        <w:jc w:val="both"/>
      </w:pPr>
      <w:r>
        <w:rPr>
          <w:rFonts w:ascii="Times New Roman" w:hAnsi="Times New Roman"/>
          <w:sz w:val="16"/>
        </w:rPr>
        <w:t xml:space="preserve">11. K. Sehla, T. M. T. Nguyen, G. Pujolle, and P. B. Velloso, "Resource Allocation Modes in C-V2X: From LTE-V2X to 5G-V2X," </w:t>
      </w:r>
      <w:r>
        <w:rPr>
          <w:rFonts w:ascii="Times New Roman" w:hAnsi="Times New Roman"/>
          <w:i/>
          <w:sz w:val="16"/>
        </w:rPr>
        <w:t>IEEE Internet of Things Journal</w:t>
      </w:r>
      <w:r>
        <w:rPr>
          <w:rFonts w:ascii="Times New Roman" w:hAnsi="Times New Roman"/>
          <w:sz w:val="16"/>
        </w:rPr>
        <w:t>, vol. 9, no. 11, pp. 8291-8314, June 1, 2022.</w:t>
      </w:r>
    </w:p>
    <w:sectPr w:rsidR="00FC693F" w:rsidRPr="0006063C" w:rsidSect="00034616">
      <w:type w:val="continuous"/>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