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Calibri" w:hAnsi="Calibri"/>
          <w:b/>
          <w:color w:val="1F4D78"/>
          <w:sz w:val="50"/>
        </w:rPr>
        <w:t>Colonist Awareness Overhaul</w:t>
      </w:r>
    </w:p>
    <w:p>
      <w:pPr>
        <w:spacing w:before="0" w:after="320"/>
      </w:pPr>
      <w:r>
        <w:rPr>
          <w:rFonts w:ascii="Calibri" w:hAnsi="Calibri"/>
          <w:b w:val="0"/>
          <w:color w:val="666666"/>
          <w:sz w:val="23"/>
        </w:rPr>
        <w:t>RimWorld 1.6 framework and simulation overhaul</w:t>
      </w:r>
    </w:p>
    <w:p>
      <w:r>
        <w:rPr>
          <w:rFonts w:ascii="Calibri" w:hAnsi="Calibri"/>
          <w:b w:val="0"/>
          <w:color w:val="000000"/>
          <w:sz w:val="22"/>
        </w:rPr>
        <w:t>Colonist Awareness is a RimWorld 1.6 framework and simulation overhaul. Pawns act on what they know. Settlements persist as real places with people, supplies, institutions, beliefs, and authority. Factions make decisions and carry their consequences forward instead of resetting to isolated game events.</w:t>
      </w:r>
    </w:p>
    <w:p>
      <w:r>
        <w:rPr>
          <w:rFonts w:ascii="Calibri" w:hAnsi="Calibri"/>
          <w:b w:val="0"/>
          <w:color w:val="000000"/>
          <w:sz w:val="22"/>
        </w:rPr>
        <w:t xml:space="preserve">Current version: </w:t>
      </w:r>
      <w:r>
        <w:rPr>
          <w:rFonts w:ascii="Consolas" w:hAnsi="Consolas"/>
          <w:b w:val="0"/>
          <w:color w:val="1F4D78"/>
          <w:sz w:val="21"/>
        </w:rPr>
        <w:t>1.3.0.1-alpha</w:t>
      </w:r>
      <w:r>
        <w:rPr>
          <w:rFonts w:ascii="Calibri" w:hAnsi="Calibri"/>
          <w:b w:val="0"/>
          <w:color w:val="000000"/>
          <w:sz w:val="22"/>
        </w:rPr>
        <w:t xml:space="preserve">. Implementation is complete through batch </w:t>
      </w:r>
      <w:r>
        <w:rPr>
          <w:rFonts w:ascii="Consolas" w:hAnsi="Consolas"/>
          <w:b w:val="0"/>
          <w:color w:val="1F4D78"/>
          <w:sz w:val="21"/>
        </w:rPr>
        <w:t>B7</w:t>
      </w:r>
      <w:r>
        <w:rPr>
          <w:rFonts w:ascii="Calibri" w:hAnsi="Calibri"/>
          <w:b w:val="0"/>
          <w:color w:val="000000"/>
          <w:sz w:val="22"/>
        </w:rPr>
        <w:t xml:space="preserve">; </w:t>
      </w:r>
      <w:r>
        <w:rPr>
          <w:rFonts w:ascii="Consolas" w:hAnsi="Consolas"/>
          <w:b w:val="0"/>
          <w:color w:val="1F4D78"/>
          <w:sz w:val="21"/>
        </w:rPr>
        <w:t>B8</w:t>
      </w:r>
      <w:r>
        <w:rPr>
          <w:rFonts w:ascii="Calibri" w:hAnsi="Calibri"/>
          <w:b w:val="0"/>
          <w:color w:val="000000"/>
          <w:sz w:val="22"/>
        </w:rPr>
        <w:t xml:space="preserve"> is the next development batch. SESSION_STATE records the verified assembly and live deployment state. Static verification does not substitute for how the game looks and plays.</w:t>
      </w:r>
    </w:p>
    <w:p>
      <w:pPr>
        <w:pStyle w:val="Heading1"/>
      </w:pPr>
      <w:r>
        <w:t>Framework</w:t>
      </w:r>
    </w:p>
    <w:p>
      <w:r>
        <w:rPr>
          <w:rFonts w:ascii="Calibri" w:hAnsi="Calibri"/>
          <w:b w:val="0"/>
          <w:color w:val="000000"/>
          <w:sz w:val="22"/>
        </w:rPr>
        <w:t>Every CA behavior composes four independent concerns:</w:t>
      </w:r>
    </w:p>
    <w:p>
      <w:r>
        <w:rPr>
          <w:rFonts w:ascii="Consolas" w:hAnsi="Consolas"/>
          <w:b w:val="0"/>
          <w:color w:val="1F4D78"/>
          <w:sz w:val="21"/>
        </w:rPr>
        <w:t>Knowledge triggers -&gt; Disposition ranks -&gt; Authority channels -&gt; Doctrine executes</w:t>
      </w:r>
    </w:p>
    <w:tbl>
      <w:tblPr>
        <w:tblStyle w:val="TableGrid"/>
        <w:tblW w:type="dxa" w:w="9360"/>
        <w:tblLayout w:type="fixed"/>
        <w:tblLook w:firstColumn="1" w:firstRow="1" w:lastColumn="0" w:lastRow="0" w:noHBand="0" w:noVBand="1" w:val="04A0"/>
        <w:tblInd w:w="120" w:type="dxa"/>
      </w:tblPr>
      <w:tblGrid>
        <w:gridCol w:w="2160"/>
        <w:gridCol w:w="7200"/>
      </w:tblGrid>
      <w:tr>
        <w:trPr>
          <w:cantSplit/>
          <w:tblHeader w:val="true"/>
        </w:trPr>
        <w:tc>
          <w:tcPr>
            <w:tcW w:type="dxa" w:w="2160"/>
            <w:tcMar>
              <w:top w:w="80" w:type="dxa"/>
              <w:start w:w="120" w:type="dxa"/>
              <w:bottom w:w="80" w:type="dxa"/>
              <w:end w:w="120" w:type="dxa"/>
            </w:tcMar>
            <w:vAlign w:val="top"/>
            <w:shd w:fill="E8EEF5"/>
          </w:tcPr>
          <w:p>
            <w:pPr>
              <w:spacing w:before="0" w:after="60" w:line="276" w:lineRule="auto"/>
            </w:pPr>
            <w:r/>
            <w:r>
              <w:rPr>
                <w:rFonts w:ascii="Calibri" w:hAnsi="Calibri"/>
                <w:b/>
                <w:color w:val="1F4D78"/>
                <w:sz w:val="21"/>
              </w:rPr>
              <w:t>Concern</w:t>
            </w:r>
          </w:p>
        </w:tc>
        <w:tc>
          <w:tcPr>
            <w:tcW w:type="dxa" w:w="7200"/>
            <w:tcMar>
              <w:top w:w="80" w:type="dxa"/>
              <w:start w:w="120" w:type="dxa"/>
              <w:bottom w:w="80" w:type="dxa"/>
              <w:end w:w="120" w:type="dxa"/>
            </w:tcMar>
            <w:vAlign w:val="top"/>
            <w:shd w:fill="E8EEF5"/>
          </w:tcPr>
          <w:p>
            <w:pPr>
              <w:spacing w:before="0" w:after="60" w:line="276" w:lineRule="auto"/>
            </w:pPr>
            <w:r/>
            <w:r>
              <w:rPr>
                <w:rFonts w:ascii="Calibri" w:hAnsi="Calibri"/>
                <w:b/>
                <w:color w:val="1F4D78"/>
                <w:sz w:val="21"/>
              </w:rPr>
              <w:t>Owns</w:t>
            </w:r>
          </w:p>
        </w:tc>
      </w:tr>
      <w:tr>
        <w:trPr>
          <w:cantSplit/>
        </w:trPr>
        <w:tc>
          <w:tcPr>
            <w:tcW w:type="dxa" w:w="2160"/>
            <w:tcMar>
              <w:top w:w="80" w:type="dxa"/>
              <w:start w:w="120" w:type="dxa"/>
              <w:bottom w:w="80" w:type="dxa"/>
              <w:end w:w="120" w:type="dxa"/>
            </w:tcMar>
            <w:vAlign w:val="top"/>
          </w:tcPr>
          <w:p>
            <w:pPr>
              <w:spacing w:before="0" w:after="60" w:line="276" w:lineRule="auto"/>
            </w:pPr>
            <w:r/>
            <w:r>
              <w:rPr>
                <w:rFonts w:ascii="Calibri" w:hAnsi="Calibri"/>
                <w:b w:val="0"/>
                <w:color w:val="000000"/>
                <w:sz w:val="21"/>
              </w:rPr>
              <w:t>Disposition</w:t>
            </w:r>
          </w:p>
        </w:tc>
        <w:tc>
          <w:tcPr>
            <w:tcW w:type="dxa" w:w="7200"/>
            <w:tcMar>
              <w:top w:w="80" w:type="dxa"/>
              <w:start w:w="120" w:type="dxa"/>
              <w:bottom w:w="80" w:type="dxa"/>
              <w:end w:w="120" w:type="dxa"/>
            </w:tcMar>
            <w:vAlign w:val="top"/>
          </w:tcPr>
          <w:p>
            <w:pPr>
              <w:spacing w:before="0" w:after="60" w:line="276" w:lineRule="auto"/>
            </w:pPr>
            <w:r/>
            <w:r>
              <w:rPr>
                <w:rFonts w:ascii="Calibri" w:hAnsi="Calibri"/>
                <w:b w:val="0"/>
                <w:color w:val="000000"/>
                <w:sz w:val="21"/>
              </w:rPr>
              <w:t>Individual judgment, willingness, and risk texture.</w:t>
            </w:r>
          </w:p>
        </w:tc>
      </w:tr>
      <w:tr>
        <w:trPr>
          <w:cantSplit/>
        </w:trPr>
        <w:tc>
          <w:tcPr>
            <w:tcW w:type="dxa" w:w="2160"/>
            <w:tcMar>
              <w:top w:w="80" w:type="dxa"/>
              <w:start w:w="120" w:type="dxa"/>
              <w:bottom w:w="80" w:type="dxa"/>
              <w:end w:w="120" w:type="dxa"/>
            </w:tcMar>
            <w:vAlign w:val="top"/>
          </w:tcPr>
          <w:p>
            <w:pPr>
              <w:spacing w:before="0" w:after="60" w:line="276" w:lineRule="auto"/>
            </w:pPr>
            <w:r/>
            <w:r>
              <w:rPr>
                <w:rFonts w:ascii="Calibri" w:hAnsi="Calibri"/>
                <w:b w:val="0"/>
                <w:color w:val="000000"/>
                <w:sz w:val="21"/>
              </w:rPr>
              <w:t>Knowledge</w:t>
            </w:r>
          </w:p>
        </w:tc>
        <w:tc>
          <w:tcPr>
            <w:tcW w:type="dxa" w:w="7200"/>
            <w:tcMar>
              <w:top w:w="80" w:type="dxa"/>
              <w:start w:w="120" w:type="dxa"/>
              <w:bottom w:w="80" w:type="dxa"/>
              <w:end w:w="120" w:type="dxa"/>
            </w:tcMar>
            <w:vAlign w:val="top"/>
          </w:tcPr>
          <w:p>
            <w:pPr>
              <w:spacing w:before="0" w:after="60" w:line="276" w:lineRule="auto"/>
            </w:pPr>
            <w:r/>
            <w:r>
              <w:rPr>
                <w:rFonts w:ascii="Calibri" w:hAnsi="Calibri"/>
                <w:b w:val="0"/>
                <w:color w:val="000000"/>
                <w:sz w:val="21"/>
              </w:rPr>
              <w:t>Actor-held facts, observation, provenance, communication, memory, and uncertainty.</w:t>
            </w:r>
          </w:p>
        </w:tc>
      </w:tr>
      <w:tr>
        <w:trPr>
          <w:cantSplit/>
        </w:trPr>
        <w:tc>
          <w:tcPr>
            <w:tcW w:type="dxa" w:w="2160"/>
            <w:tcMar>
              <w:top w:w="80" w:type="dxa"/>
              <w:start w:w="120" w:type="dxa"/>
              <w:bottom w:w="80" w:type="dxa"/>
              <w:end w:w="120" w:type="dxa"/>
            </w:tcMar>
            <w:vAlign w:val="top"/>
          </w:tcPr>
          <w:p>
            <w:pPr>
              <w:spacing w:before="0" w:after="60" w:line="276" w:lineRule="auto"/>
            </w:pPr>
            <w:r/>
            <w:r>
              <w:rPr>
                <w:rFonts w:ascii="Calibri" w:hAnsi="Calibri"/>
                <w:b w:val="0"/>
                <w:color w:val="000000"/>
                <w:sz w:val="21"/>
              </w:rPr>
              <w:t>Authority</w:t>
            </w:r>
          </w:p>
        </w:tc>
        <w:tc>
          <w:tcPr>
            <w:tcW w:type="dxa" w:w="7200"/>
            <w:tcMar>
              <w:top w:w="80" w:type="dxa"/>
              <w:start w:w="120" w:type="dxa"/>
              <w:bottom w:w="80" w:type="dxa"/>
              <w:end w:w="120" w:type="dxa"/>
            </w:tcMar>
            <w:vAlign w:val="top"/>
          </w:tcPr>
          <w:p>
            <w:pPr>
              <w:spacing w:before="0" w:after="60" w:line="276" w:lineRule="auto"/>
            </w:pPr>
            <w:r/>
            <w:r>
              <w:rPr>
                <w:rFonts w:ascii="Calibri" w:hAnsi="Calibri"/>
                <w:b w:val="0"/>
                <w:color w:val="000000"/>
                <w:sz w:val="21"/>
              </w:rPr>
              <w:t>Permission, command, responsibility, organizations, institutions, and political order.</w:t>
            </w:r>
          </w:p>
        </w:tc>
      </w:tr>
      <w:tr>
        <w:trPr>
          <w:cantSplit/>
        </w:trPr>
        <w:tc>
          <w:tcPr>
            <w:tcW w:type="dxa" w:w="2160"/>
            <w:tcMar>
              <w:top w:w="80" w:type="dxa"/>
              <w:start w:w="120" w:type="dxa"/>
              <w:bottom w:w="80" w:type="dxa"/>
              <w:end w:w="120" w:type="dxa"/>
            </w:tcMar>
            <w:vAlign w:val="top"/>
          </w:tcPr>
          <w:p>
            <w:pPr>
              <w:spacing w:before="0" w:after="60" w:line="276" w:lineRule="auto"/>
            </w:pPr>
            <w:r/>
            <w:r>
              <w:rPr>
                <w:rFonts w:ascii="Calibri" w:hAnsi="Calibri"/>
                <w:b w:val="0"/>
                <w:color w:val="000000"/>
                <w:sz w:val="21"/>
              </w:rPr>
              <w:t>Doctrine</w:t>
            </w:r>
          </w:p>
        </w:tc>
        <w:tc>
          <w:tcPr>
            <w:tcW w:type="dxa" w:w="7200"/>
            <w:tcMar>
              <w:top w:w="80" w:type="dxa"/>
              <w:start w:w="120" w:type="dxa"/>
              <w:bottom w:w="80" w:type="dxa"/>
              <w:end w:w="120" w:type="dxa"/>
            </w:tcMar>
            <w:vAlign w:val="top"/>
          </w:tcPr>
          <w:p>
            <w:pPr>
              <w:spacing w:before="0" w:after="60" w:line="276" w:lineRule="auto"/>
            </w:pPr>
            <w:r/>
            <w:r>
              <w:rPr>
                <w:rFonts w:ascii="Calibri" w:hAnsi="Calibri"/>
                <w:b w:val="0"/>
                <w:color w:val="000000"/>
                <w:sz w:val="21"/>
              </w:rPr>
              <w:t>Native RimWorld jobs, duties, Lords, movement, combat, care, and material execution.</w:t>
            </w:r>
          </w:p>
        </w:tc>
      </w:tr>
    </w:tbl>
    <w:p>
      <w:pPr>
        <w:spacing w:after="40"/>
      </w:pPr>
    </w:p>
    <w:p>
      <w:r>
        <w:rPr>
          <w:rFonts w:ascii="Calibri" w:hAnsi="Calibri"/>
          <w:b w:val="0"/>
          <w:color w:val="000000"/>
          <w:sz w:val="22"/>
        </w:rPr>
        <w:t>Standard retains ordinary RimWorld agency, enabled safeguards, direct and accepted relayed orders, and continuation of owned work. Proactive permits one bounded response to a current fact. Autonomous permits persistent or coordinated action inside delegated or institutional authority. Initiative never creates knowledge, permission, office, materials, or capability, and direct player orders remain authoritative at every tier.</w:t>
      </w:r>
    </w:p>
    <w:p>
      <w:pPr>
        <w:pStyle w:val="Heading1"/>
      </w:pPr>
      <w:r>
        <w:t>World and founding authoring</w:t>
      </w:r>
    </w:p>
    <w:p>
      <w:r>
        <w:rPr>
          <w:rFonts w:ascii="Calibri" w:hAnsi="Calibri"/>
          <w:b w:val="0"/>
          <w:color w:val="000000"/>
          <w:sz w:val="22"/>
        </w:rPr>
        <w:t>Starting Region authors direct world facts: the selected region and arrival area, factions, settlements, population composition, ownership and relations, and explicit exceptional starting conditions. Its map remains the primary spatial surface. Settlement scale, access, services, civic capacity, facilities, and other material outcomes are realized from population, land, geography, technology, institutions, economy, trade, history, and the objects that actually exist. They are inspected as consequences rather than exposed as one universal intensity menu.</w:t>
      </w:r>
    </w:p>
    <w:p>
      <w:r>
        <w:rPr>
          <w:rFonts w:ascii="Calibri" w:hAnsi="Calibri"/>
          <w:b w:val="0"/>
          <w:color w:val="000000"/>
          <w:sz w:val="22"/>
        </w:rPr>
        <w:t xml:space="preserve">Culture is persistent local social history. Each local Culture retains inherited origin, local identity, constituent populations, observed lived practice, recognized practices, transitions, and provenance. Bounded historical evaluation produces </w:t>
      </w:r>
      <w:r>
        <w:rPr>
          <w:rFonts w:ascii="Consolas" w:hAnsi="Consolas"/>
          <w:b w:val="0"/>
          <w:color w:val="1F4D78"/>
          <w:sz w:val="21"/>
        </w:rPr>
        <w:t>Culture(T+1)</w:t>
      </w:r>
      <w:r>
        <w:rPr>
          <w:rFonts w:ascii="Calibri" w:hAnsi="Calibri"/>
          <w:b w:val="0"/>
          <w:color w:val="000000"/>
          <w:sz w:val="22"/>
        </w:rPr>
        <w:t xml:space="preserve"> from </w:t>
      </w:r>
      <w:r>
        <w:rPr>
          <w:rFonts w:ascii="Consolas" w:hAnsi="Consolas"/>
          <w:b w:val="0"/>
          <w:color w:val="1F4D78"/>
          <w:sz w:val="21"/>
        </w:rPr>
        <w:t>Culture(T)</w:t>
      </w:r>
      <w:r>
        <w:rPr>
          <w:rFonts w:ascii="Calibri" w:hAnsi="Calibri"/>
          <w:b w:val="0"/>
          <w:color w:val="000000"/>
          <w:sz w:val="22"/>
        </w:rPr>
        <w:t xml:space="preserve"> plus intervening evidence. Spatial, social, institutional, political, and settlement-development consumers use that state only to rank otherwise valid possibilities; Culture does not grant authority, resources, technology, or land. RimWorld's native </w:t>
      </w:r>
      <w:r>
        <w:rPr>
          <w:rFonts w:ascii="Consolas" w:hAnsi="Consolas"/>
          <w:b w:val="0"/>
          <w:color w:val="1F4D78"/>
          <w:sz w:val="21"/>
        </w:rPr>
        <w:t>CultureDef</w:t>
      </w:r>
      <w:r>
        <w:rPr>
          <w:rFonts w:ascii="Calibri" w:hAnsi="Calibri"/>
          <w:b w:val="0"/>
          <w:color w:val="000000"/>
          <w:sz w:val="22"/>
        </w:rPr>
        <w:t xml:space="preserve"> remains an optional visual inheritance, not the cultural model. Cultural expression is a read-only interpretation of Culture in relation to current beliefs, institutions, conditions, and practice.</w:t>
      </w:r>
    </w:p>
    <w:p>
      <w:r>
        <w:rPr>
          <w:rFonts w:ascii="Calibri" w:hAnsi="Calibri"/>
          <w:b w:val="0"/>
          <w:color w:val="000000"/>
          <w:sz w:val="22"/>
        </w:rPr>
        <w:t>The same concepts have different temporal meanings on the two creation sides:</w:t>
      </w:r>
    </w:p>
    <w:tbl>
      <w:tblPr>
        <w:tblStyle w:val="TableGrid"/>
        <w:tblW w:type="dxa" w:w="9360"/>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top"/>
            <w:shd w:fill="E8EEF5"/>
          </w:tcPr>
          <w:p>
            <w:pPr>
              <w:spacing w:before="0" w:after="60" w:line="276" w:lineRule="auto"/>
            </w:pPr>
            <w:r/>
            <w:r>
              <w:rPr>
                <w:rFonts w:ascii="Calibri" w:hAnsi="Calibri"/>
                <w:b/>
                <w:color w:val="1F4D78"/>
                <w:sz w:val="21"/>
              </w:rPr>
              <w:t>Existing society</w:t>
            </w:r>
          </w:p>
        </w:tc>
        <w:tc>
          <w:tcPr>
            <w:tcW w:type="dxa" w:w="4680"/>
            <w:tcMar>
              <w:top w:w="80" w:type="dxa"/>
              <w:start w:w="120" w:type="dxa"/>
              <w:bottom w:w="80" w:type="dxa"/>
              <w:end w:w="120" w:type="dxa"/>
            </w:tcMar>
            <w:vAlign w:val="top"/>
            <w:shd w:fill="E8EEF5"/>
          </w:tcPr>
          <w:p>
            <w:pPr>
              <w:spacing w:before="0" w:after="60" w:line="276" w:lineRule="auto"/>
            </w:pPr>
            <w:r/>
            <w:r>
              <w:rPr>
                <w:rFonts w:ascii="Calibri" w:hAnsi="Calibri"/>
                <w:b/>
                <w:color w:val="1F4D78"/>
                <w:sz w:val="21"/>
              </w:rPr>
              <w:t>Player founding</w:t>
            </w:r>
          </w:p>
        </w:tc>
      </w:tr>
      <w:tr>
        <w:trPr>
          <w:cantSplit/>
        </w:trPr>
        <w:tc>
          <w:tcPr>
            <w:tcW w:type="dxa" w:w="4680"/>
            <w:tcMar>
              <w:top w:w="80" w:type="dxa"/>
              <w:start w:w="120" w:type="dxa"/>
              <w:bottom w:w="80" w:type="dxa"/>
              <w:end w:w="120" w:type="dxa"/>
            </w:tcMar>
            <w:vAlign w:val="top"/>
          </w:tcPr>
          <w:p>
            <w:pPr>
              <w:spacing w:before="0" w:after="60" w:line="276" w:lineRule="auto"/>
            </w:pPr>
            <w:r/>
            <w:r>
              <w:rPr>
                <w:rFonts w:ascii="Calibri" w:hAnsi="Calibri"/>
                <w:b w:val="0"/>
                <w:color w:val="000000"/>
                <w:sz w:val="21"/>
              </w:rPr>
              <w:t>Culture, Ideoligion, Political Beliefs, realized social order, institutions, material state, and established historical basis are facts about a society already present.</w:t>
            </w:r>
          </w:p>
        </w:tc>
        <w:tc>
          <w:tcPr>
            <w:tcW w:type="dxa" w:w="4680"/>
            <w:tcMar>
              <w:top w:w="80" w:type="dxa"/>
              <w:start w:w="120" w:type="dxa"/>
              <w:bottom w:w="80" w:type="dxa"/>
              <w:end w:w="120" w:type="dxa"/>
            </w:tcMar>
            <w:vAlign w:val="top"/>
          </w:tcPr>
          <w:p>
            <w:pPr>
              <w:spacing w:before="0" w:after="60" w:line="276" w:lineRule="auto"/>
            </w:pPr>
            <w:r/>
            <w:r>
              <w:rPr>
                <w:rFonts w:ascii="Calibri" w:hAnsi="Calibri"/>
                <w:b w:val="0"/>
                <w:color w:val="000000"/>
                <w:sz w:val="21"/>
              </w:rPr>
              <w:t>Founders bring inherited Culture, native Ideoligion, and Political Beliefs, then choose the rules instituted at landing. Local institutions and historical Culture develop through play.</w:t>
            </w:r>
          </w:p>
        </w:tc>
      </w:tr>
    </w:tbl>
    <w:p>
      <w:pPr>
        <w:spacing w:after="40"/>
      </w:pPr>
    </w:p>
    <w:p>
      <w:r>
        <w:rPr>
          <w:rFonts w:ascii="Calibri" w:hAnsi="Calibri"/>
          <w:b w:val="0"/>
          <w:color w:val="000000"/>
          <w:sz w:val="22"/>
        </w:rPr>
        <w:t>RimWorld's native Ideoligion chooser remains first-class inside this coordinated flow. Native presets, saved Ideoligions, fixed and fluid creation, memes, precepts, roles, rituals, validation, and persistence remain native. CA preserves the neighboring Culture, Political Beliefs, and founding-order draft when the player enters and returns from that chooser. Political Beliefs state what a population considers proper; adopted rules and observed practice state what is actually in force. Agreement and contradiction both remain meaningful state.</w:t>
      </w:r>
    </w:p>
    <w:p>
      <w:pPr>
        <w:pStyle w:val="Heading1"/>
        <w:spacing w:before="200" w:after="100"/>
      </w:pPr>
      <w:r>
        <w:t>Requirements</w:t>
      </w:r>
    </w:p>
    <w:p>
      <w:pPr>
        <w:keepNext/>
        <w:spacing w:after="40" w:line="276" w:lineRule="auto"/>
        <w:numPr>
          <w:ilvl w:val="0"/>
          <w:numId w:val="10"/>
        </w:numPr>
      </w:pPr>
      <w:r>
        <w:rPr>
          <w:rFonts w:ascii="Calibri" w:hAnsi="Calibri"/>
          <w:b w:val="0"/>
          <w:color w:val="000000"/>
          <w:sz w:val="21"/>
        </w:rPr>
        <w:t xml:space="preserve">RimWorld </w:t>
      </w:r>
      <w:r>
        <w:rPr>
          <w:rFonts w:ascii="Consolas" w:hAnsi="Consolas"/>
          <w:b w:val="0"/>
          <w:color w:val="1F4D78"/>
          <w:sz w:val="20"/>
        </w:rPr>
        <w:t>1.6</w:t>
      </w:r>
    </w:p>
    <w:p>
      <w:pPr>
        <w:keepNext/>
        <w:spacing w:after="40" w:line="276" w:lineRule="auto"/>
        <w:numPr>
          <w:ilvl w:val="0"/>
          <w:numId w:val="10"/>
        </w:numPr>
      </w:pPr>
      <w:r>
        <w:rPr>
          <w:rFonts w:ascii="Calibri" w:hAnsi="Calibri"/>
          <w:b w:val="0"/>
          <w:color w:val="000000"/>
          <w:sz w:val="21"/>
        </w:rPr>
        <w:t>Harmony</w:t>
      </w:r>
    </w:p>
    <w:p>
      <w:pPr>
        <w:keepNext/>
        <w:spacing w:after="40" w:line="276" w:lineRule="auto"/>
        <w:numPr>
          <w:ilvl w:val="0"/>
          <w:numId w:val="10"/>
        </w:numPr>
      </w:pPr>
      <w:r>
        <w:rPr>
          <w:rFonts w:ascii="Calibri" w:hAnsi="Calibri"/>
          <w:b w:val="0"/>
          <w:color w:val="000000"/>
          <w:sz w:val="21"/>
        </w:rPr>
        <w:t>Biotech</w:t>
      </w:r>
    </w:p>
    <w:p>
      <w:pPr>
        <w:keepNext w:val="0"/>
        <w:spacing w:after="40" w:line="276" w:lineRule="auto"/>
        <w:numPr>
          <w:ilvl w:val="0"/>
          <w:numId w:val="10"/>
        </w:numPr>
      </w:pPr>
      <w:r>
        <w:rPr>
          <w:rFonts w:ascii="Calibri" w:hAnsi="Calibri"/>
          <w:b w:val="0"/>
          <w:color w:val="000000"/>
          <w:sz w:val="21"/>
        </w:rPr>
        <w:t>Ideology</w:t>
      </w:r>
    </w:p>
    <w:p>
      <w:r>
        <w:rPr>
          <w:rFonts w:ascii="Calibri" w:hAnsi="Calibri"/>
          <w:b w:val="0"/>
          <w:color w:val="000000"/>
          <w:sz w:val="22"/>
        </w:rPr>
        <w:t xml:space="preserve">The stable package identifier is </w:t>
      </w:r>
      <w:r>
        <w:rPr>
          <w:rFonts w:ascii="Consolas" w:hAnsi="Consolas"/>
          <w:b w:val="0"/>
          <w:color w:val="1F4D78"/>
          <w:sz w:val="21"/>
        </w:rPr>
        <w:t>ellyj3rain.colonistawareness</w:t>
      </w:r>
      <w:r>
        <w:rPr>
          <w:rFonts w:ascii="Calibri" w:hAnsi="Calibri"/>
          <w:b w:val="0"/>
          <w:color w:val="000000"/>
          <w:sz w:val="22"/>
        </w:rPr>
        <w:t xml:space="preserve">. Dependencies and load order are declared in </w:t>
      </w:r>
      <w:r>
        <w:rPr>
          <w:rFonts w:ascii="Calibri" w:hAnsi="Calibri"/>
          <w:b w:val="0"/>
          <w:color w:val="2E74B5"/>
          <w:sz w:val="22"/>
          <w:u w:val="single"/>
        </w:rPr>
        <w:t>About/About.xml (About/About.xml)</w:t>
      </w:r>
      <w:r>
        <w:rPr>
          <w:rFonts w:ascii="Calibri" w:hAnsi="Calibri"/>
          <w:b w:val="0"/>
          <w:color w:val="000000"/>
          <w:sz w:val="22"/>
        </w:rPr>
        <w:t>.</w:t>
      </w:r>
    </w:p>
    <w:p>
      <w:pPr>
        <w:pStyle w:val="Heading1"/>
      </w:pPr>
      <w:r>
        <w:t>Build</w:t>
      </w:r>
    </w:p>
    <w:p>
      <w:r>
        <w:rPr>
          <w:rFonts w:ascii="Calibri" w:hAnsi="Calibri"/>
          <w:b w:val="0"/>
          <w:color w:val="000000"/>
          <w:sz w:val="22"/>
        </w:rPr>
        <w:t>From the project root:</w:t>
      </w:r>
    </w:p>
    <w:p>
      <w:pPr>
        <w:spacing w:before="60" w:after="160" w:line="240" w:lineRule="auto"/>
        <w:ind w:left="259" w:right="259"/>
        <w:shd w:fill="F2F4F7"/>
      </w:pPr>
      <w:r>
        <w:rPr>
          <w:rFonts w:ascii="Consolas" w:hAnsi="Consolas"/>
          <w:color w:val="202124"/>
          <w:sz w:val="18"/>
        </w:rPr>
        <w:t>dotnet build Source/ColonistAwareness.csproj -c Release</w:t>
      </w:r>
    </w:p>
    <w:p>
      <w:r>
        <w:rPr>
          <w:rFonts w:ascii="Calibri" w:hAnsi="Calibri"/>
          <w:b w:val="0"/>
          <w:color w:val="000000"/>
          <w:sz w:val="22"/>
        </w:rPr>
        <w:t xml:space="preserve">The Release assembly is written to </w:t>
      </w:r>
      <w:r>
        <w:rPr>
          <w:rFonts w:ascii="Consolas" w:hAnsi="Consolas"/>
          <w:b w:val="0"/>
          <w:color w:val="1F4D78"/>
          <w:sz w:val="21"/>
        </w:rPr>
        <w:t>Assemblies/ColonistAwareness.dll</w:t>
      </w:r>
      <w:r>
        <w:rPr>
          <w:rFonts w:ascii="Calibri" w:hAnsi="Calibri"/>
          <w:b w:val="0"/>
          <w:color w:val="000000"/>
          <w:sz w:val="22"/>
        </w:rPr>
        <w:t>. DLL changes require a full RimWorld restart.</w:t>
      </w:r>
    </w:p>
    <w:p>
      <w:pPr>
        <w:pStyle w:val="Heading1"/>
      </w:pPr>
      <w:r>
        <w:t>Project map</w:t>
      </w:r>
    </w:p>
    <w:tbl>
      <w:tblPr>
        <w:tblStyle w:val="TableGrid"/>
        <w:tblW w:type="dxa" w:w="9360"/>
        <w:tblLayout w:type="fixed"/>
        <w:tblLook w:firstColumn="1" w:firstRow="1" w:lastColumn="0" w:lastRow="0" w:noHBand="0" w:noVBand="1" w:val="04A0"/>
        <w:tblInd w:w="120" w:type="dxa"/>
      </w:tblPr>
      <w:tblGrid>
        <w:gridCol w:w="2880"/>
        <w:gridCol w:w="6480"/>
      </w:tblGrid>
      <w:tr>
        <w:trPr>
          <w:cantSplit/>
          <w:tblHeader w:val="true"/>
        </w:trPr>
        <w:tc>
          <w:tcPr>
            <w:tcW w:type="dxa" w:w="2880"/>
            <w:tcMar>
              <w:top w:w="80" w:type="dxa"/>
              <w:start w:w="120" w:type="dxa"/>
              <w:bottom w:w="80" w:type="dxa"/>
              <w:end w:w="120" w:type="dxa"/>
            </w:tcMar>
            <w:vAlign w:val="top"/>
            <w:shd w:fill="E8EEF5"/>
          </w:tcPr>
          <w:p>
            <w:pPr>
              <w:spacing w:before="0" w:after="60" w:line="276" w:lineRule="auto"/>
            </w:pPr>
            <w:r/>
            <w:r>
              <w:rPr>
                <w:rFonts w:ascii="Calibri" w:hAnsi="Calibri"/>
                <w:b/>
                <w:color w:val="1F4D78"/>
                <w:sz w:val="21"/>
              </w:rPr>
              <w:t>Path</w:t>
            </w:r>
          </w:p>
        </w:tc>
        <w:tc>
          <w:tcPr>
            <w:tcW w:type="dxa" w:w="6480"/>
            <w:tcMar>
              <w:top w:w="80" w:type="dxa"/>
              <w:start w:w="120" w:type="dxa"/>
              <w:bottom w:w="80" w:type="dxa"/>
              <w:end w:w="120" w:type="dxa"/>
            </w:tcMar>
            <w:vAlign w:val="top"/>
            <w:shd w:fill="E8EEF5"/>
          </w:tcPr>
          <w:p>
            <w:pPr>
              <w:spacing w:before="0" w:after="60" w:line="276" w:lineRule="auto"/>
            </w:pPr>
            <w:r/>
            <w:r>
              <w:rPr>
                <w:rFonts w:ascii="Calibri" w:hAnsi="Calibri"/>
                <w:b/>
                <w:color w:val="1F4D78"/>
                <w:sz w:val="21"/>
              </w:rPr>
              <w:t>Purpose</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Source/</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C# implementation</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Defs/</w:t>
            </w:r>
            <w:r>
              <w:rPr>
                <w:rFonts w:ascii="Calibri" w:hAnsi="Calibri"/>
                <w:b w:val="0"/>
                <w:color w:val="000000"/>
                <w:sz w:val="21"/>
              </w:rPr>
              <w:t xml:space="preserve">, </w:t>
            </w:r>
            <w:r>
              <w:rPr>
                <w:rFonts w:ascii="Consolas" w:hAnsi="Consolas"/>
                <w:b w:val="0"/>
                <w:color w:val="1F4D78"/>
                <w:sz w:val="20"/>
              </w:rPr>
              <w:t>Patches/</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RimWorld definitions and integration patches</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Languages/English/</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Player-facing English text</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About/</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Mod metadata and dependency declaration</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ARCHITECTURE.md</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Current framework architecture and ownership</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GOVERNANCE.md</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Project operating rules</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SESSION_STATE.md</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Current build, deployment, fixture, and runtime-test boundary</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Batches/</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Append-only batch records in one alphanumeric namespace</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BATCH_LOG.md</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Chronological batch catalog</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Batches/THREADS.md</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Series-neutral thematic classification</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VERSION_MAP.md</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Chronological, tier-bearing version units</w:t>
            </w:r>
          </w:p>
        </w:tc>
      </w:tr>
      <w:tr>
        <w:trPr>
          <w:cantSplit/>
        </w:trPr>
        <w:tc>
          <w:tcPr>
            <w:tcW w:type="dxa" w:w="2880"/>
            <w:tcMar>
              <w:top w:w="80" w:type="dxa"/>
              <w:start w:w="120" w:type="dxa"/>
              <w:bottom w:w="80" w:type="dxa"/>
              <w:end w:w="120" w:type="dxa"/>
            </w:tcMar>
            <w:vAlign w:val="top"/>
          </w:tcPr>
          <w:p>
            <w:pPr>
              <w:spacing w:before="0" w:after="60" w:line="276" w:lineRule="auto"/>
            </w:pPr>
            <w:r/>
            <w:r>
              <w:rPr>
                <w:rFonts w:ascii="Consolas" w:hAnsi="Consolas"/>
                <w:b w:val="0"/>
                <w:color w:val="1F4D78"/>
                <w:sz w:val="20"/>
              </w:rPr>
              <w:t>tools/version-model.mjs</w:t>
            </w:r>
          </w:p>
        </w:tc>
        <w:tc>
          <w:tcPr>
            <w:tcW w:type="dxa" w:w="6480"/>
            <w:tcMar>
              <w:top w:w="80" w:type="dxa"/>
              <w:start w:w="120" w:type="dxa"/>
              <w:bottom w:w="80" w:type="dxa"/>
              <w:end w:w="120" w:type="dxa"/>
            </w:tcMar>
            <w:vAlign w:val="top"/>
          </w:tcPr>
          <w:p>
            <w:pPr>
              <w:spacing w:before="0" w:after="60" w:line="276" w:lineRule="auto"/>
            </w:pPr>
            <w:r/>
            <w:r>
              <w:rPr>
                <w:rFonts w:ascii="Calibri" w:hAnsi="Calibri"/>
                <w:b w:val="0"/>
                <w:color w:val="000000"/>
                <w:sz w:val="21"/>
              </w:rPr>
              <w:t>Version replay, generated stamps, and structural checks</w:t>
            </w:r>
          </w:p>
        </w:tc>
      </w:tr>
    </w:tbl>
    <w:p>
      <w:pPr>
        <w:spacing w:after="40"/>
      </w:pPr>
    </w:p>
    <w:p>
      <w:pPr>
        <w:pStyle w:val="Heading1"/>
      </w:pPr>
      <w:r>
        <w:t>Project history</w:t>
      </w:r>
    </w:p>
    <w:p>
      <w:r>
        <w:rPr>
          <w:rFonts w:ascii="Calibri" w:hAnsi="Calibri"/>
          <w:b w:val="0"/>
          <w:color w:val="000000"/>
          <w:sz w:val="22"/>
        </w:rPr>
        <w:t xml:space="preserve">The governed batch and provenance records are the portable project history. They travel with the current tree and do not depend on a particular Git host. </w:t>
      </w:r>
      <w:r>
        <w:rPr>
          <w:rFonts w:ascii="Consolas" w:hAnsi="Consolas"/>
          <w:b w:val="0"/>
          <w:color w:val="1F4D78"/>
          <w:sz w:val="21"/>
        </w:rPr>
        <w:t>A1</w:t>
      </w:r>
      <w:r>
        <w:rPr>
          <w:rFonts w:ascii="Calibri" w:hAnsi="Calibri"/>
          <w:b w:val="0"/>
          <w:color w:val="000000"/>
          <w:sz w:val="22"/>
        </w:rPr>
        <w:t xml:space="preserve"> through </w:t>
      </w:r>
      <w:r>
        <w:rPr>
          <w:rFonts w:ascii="Consolas" w:hAnsi="Consolas"/>
          <w:b w:val="0"/>
          <w:color w:val="1F4D78"/>
          <w:sz w:val="21"/>
        </w:rPr>
        <w:t>A102</w:t>
      </w:r>
      <w:r>
        <w:rPr>
          <w:rFonts w:ascii="Calibri" w:hAnsi="Calibri"/>
          <w:b w:val="0"/>
          <w:color w:val="000000"/>
          <w:sz w:val="22"/>
        </w:rPr>
        <w:t xml:space="preserve"> and the continuing </w:t>
      </w:r>
      <w:r>
        <w:rPr>
          <w:rFonts w:ascii="Consolas" w:hAnsi="Consolas"/>
          <w:b w:val="0"/>
          <w:color w:val="1F4D78"/>
          <w:sz w:val="21"/>
        </w:rPr>
        <w:t>B</w:t>
      </w:r>
      <w:r>
        <w:rPr>
          <w:rFonts w:ascii="Calibri" w:hAnsi="Calibri"/>
          <w:b w:val="0"/>
          <w:color w:val="000000"/>
          <w:sz w:val="22"/>
        </w:rPr>
        <w:t xml:space="preserve"> batches share one chronological namespace under </w:t>
      </w:r>
      <w:r>
        <w:rPr>
          <w:rFonts w:ascii="Calibri" w:hAnsi="Calibri"/>
          <w:b w:val="0"/>
          <w:color w:val="2E74B5"/>
          <w:sz w:val="22"/>
          <w:u w:val="single"/>
        </w:rPr>
        <w:t>Batches/ (Batches/)</w:t>
      </w:r>
      <w:r>
        <w:rPr>
          <w:rFonts w:ascii="Calibri" w:hAnsi="Calibri"/>
          <w:b w:val="0"/>
          <w:color w:val="000000"/>
          <w:sz w:val="22"/>
        </w:rPr>
        <w:t xml:space="preserve">. </w:t>
      </w:r>
      <w:r>
        <w:rPr>
          <w:rFonts w:ascii="Calibri" w:hAnsi="Calibri"/>
          <w:b w:val="0"/>
          <w:color w:val="2E74B5"/>
          <w:sz w:val="22"/>
          <w:u w:val="single"/>
        </w:rPr>
        <w:t>BATCH_LOG.md (BATCH_LOG.md)</w:t>
      </w:r>
      <w:r>
        <w:rPr>
          <w:rFonts w:ascii="Calibri" w:hAnsi="Calibri"/>
          <w:b w:val="0"/>
          <w:color w:val="000000"/>
          <w:sz w:val="22"/>
        </w:rPr>
        <w:t xml:space="preserve"> is the chronological view, </w:t>
      </w:r>
      <w:r>
        <w:rPr>
          <w:rFonts w:ascii="Calibri" w:hAnsi="Calibri"/>
          <w:b w:val="0"/>
          <w:color w:val="2E74B5"/>
          <w:sz w:val="22"/>
          <w:u w:val="single"/>
        </w:rPr>
        <w:t>Batches/THREADS.md (Batches/THREADS.md)</w:t>
      </w:r>
      <w:r>
        <w:rPr>
          <w:rFonts w:ascii="Calibri" w:hAnsi="Calibri"/>
          <w:b w:val="0"/>
          <w:color w:val="000000"/>
          <w:sz w:val="22"/>
        </w:rPr>
        <w:t xml:space="preserve"> connects related work across time, and </w:t>
      </w:r>
      <w:r>
        <w:rPr>
          <w:rFonts w:ascii="Calibri" w:hAnsi="Calibri"/>
          <w:b w:val="0"/>
          <w:color w:val="2E74B5"/>
          <w:sz w:val="22"/>
          <w:u w:val="single"/>
        </w:rPr>
        <w:t>VERSION_MAP.md (VERSION_MAP.md)</w:t>
      </w:r>
      <w:r>
        <w:rPr>
          <w:rFonts w:ascii="Calibri" w:hAnsi="Calibri"/>
          <w:b w:val="0"/>
          <w:color w:val="000000"/>
          <w:sz w:val="22"/>
        </w:rPr>
        <w:t xml:space="preserve"> partitions contiguous development into capability-coherent version units under the four-coordinate odometer.</w:t>
      </w:r>
    </w:p>
    <w:p>
      <w:r>
        <w:rPr>
          <w:rFonts w:ascii="Calibri" w:hAnsi="Calibri"/>
          <w:b w:val="0"/>
          <w:color w:val="000000"/>
          <w:sz w:val="22"/>
        </w:rPr>
        <w:t>Run the governance check with:</w:t>
      </w:r>
    </w:p>
    <w:p>
      <w:pPr>
        <w:spacing w:before="60" w:after="160" w:line="240" w:lineRule="auto"/>
        <w:ind w:left="259" w:right="259"/>
        <w:shd w:fill="F2F4F7"/>
      </w:pPr>
      <w:r>
        <w:rPr>
          <w:rFonts w:ascii="Consolas" w:hAnsi="Consolas"/>
          <w:color w:val="202124"/>
          <w:sz w:val="18"/>
        </w:rPr>
        <w:t>node tools/version-model.mjs --check</w:t>
      </w:r>
    </w:p>
    <w:p>
      <w:r>
        <w:rPr>
          <w:rFonts w:ascii="Calibri" w:hAnsi="Calibri"/>
          <w:b w:val="0"/>
          <w:color w:val="000000"/>
          <w:sz w:val="22"/>
        </w:rPr>
        <w:t>Local Git may retain engineering history. A published forge is a distribution surface, not the project identity or the authority for its portable history.</w:t>
      </w:r>
    </w:p>
    <w:p>
      <w:pPr>
        <w:pStyle w:val="Heading1"/>
      </w:pPr>
      <w:r>
        <w:t>Verification boundary</w:t>
      </w:r>
    </w:p>
    <w:p>
      <w:r>
        <w:rPr>
          <w:rFonts w:ascii="Calibri" w:hAnsi="Calibri"/>
          <w:b w:val="0"/>
          <w:color w:val="000000"/>
          <w:sz w:val="22"/>
        </w:rPr>
        <w:t xml:space="preserve">Executable receipts cover authoring ownership, creation navigation, founding state, World tendencies, behavior authorization, Culture persistence and transition, consumer reach, fixture round-trip, and derived-state stability. Static receipts, builds, hashes, and reviews establish that a candidate is ready for the operator; they do not establish how the game looks or plays. See </w:t>
      </w:r>
      <w:r>
        <w:rPr>
          <w:rFonts w:ascii="Calibri" w:hAnsi="Calibri"/>
          <w:b w:val="0"/>
          <w:color w:val="2E74B5"/>
          <w:sz w:val="22"/>
          <w:u w:val="single"/>
        </w:rPr>
        <w:t>SESSION_STATE.md (SESSION_STATE.md)</w:t>
      </w:r>
      <w:r>
        <w:rPr>
          <w:rFonts w:ascii="Calibri" w:hAnsi="Calibri"/>
          <w:b w:val="0"/>
          <w:color w:val="000000"/>
          <w:sz w:val="22"/>
        </w:rPr>
        <w:t xml:space="preserve"> for the exact current assembly, deployment, fixture, and remaining RimWorld observations.</w:t>
      </w:r>
    </w:p>
    <w:p>
      <w:pPr>
        <w:pStyle w:val="Heading1"/>
      </w:pPr>
      <w:r>
        <w:t>License and provenance</w:t>
      </w:r>
    </w:p>
    <w:p>
      <w:r>
        <w:rPr>
          <w:rFonts w:ascii="Calibri" w:hAnsi="Calibri"/>
          <w:b w:val="0"/>
          <w:color w:val="000000"/>
          <w:sz w:val="22"/>
        </w:rPr>
        <w:t xml:space="preserve">Colonist Awareness is licensed under GPL-3.0. See </w:t>
      </w:r>
      <w:r>
        <w:rPr>
          <w:rFonts w:ascii="Calibri" w:hAnsi="Calibri"/>
          <w:b w:val="0"/>
          <w:color w:val="2E74B5"/>
          <w:sz w:val="22"/>
          <w:u w:val="single"/>
        </w:rPr>
        <w:t>LICENSE (LICENSE)</w:t>
      </w:r>
      <w:r>
        <w:rPr>
          <w:rFonts w:ascii="Calibri" w:hAnsi="Calibri"/>
          <w:b w:val="0"/>
          <w:color w:val="000000"/>
          <w:sz w:val="22"/>
        </w:rPr>
        <w:t xml:space="preserve">, </w:t>
      </w:r>
      <w:r>
        <w:rPr>
          <w:rFonts w:ascii="Calibri" w:hAnsi="Calibri"/>
          <w:b w:val="0"/>
          <w:color w:val="2E74B5"/>
          <w:sz w:val="22"/>
          <w:u w:val="single"/>
        </w:rPr>
        <w:t>CREDITS.md (CREDITS.md)</w:t>
      </w:r>
      <w:r>
        <w:rPr>
          <w:rFonts w:ascii="Calibri" w:hAnsi="Calibri"/>
          <w:b w:val="0"/>
          <w:color w:val="000000"/>
          <w:sz w:val="22"/>
        </w:rPr>
        <w:t xml:space="preserve">, and </w:t>
      </w:r>
      <w:r>
        <w:rPr>
          <w:rFonts w:ascii="Calibri" w:hAnsi="Calibri"/>
          <w:b w:val="0"/>
          <w:color w:val="2E74B5"/>
          <w:sz w:val="22"/>
          <w:u w:val="single"/>
        </w:rPr>
        <w:t>UPSTREAM_SOURCES.md (UPSTREAM_SOURCES.md)</w:t>
      </w:r>
      <w:r>
        <w:rPr>
          <w:rFonts w:ascii="Calibri" w:hAnsi="Calibri"/>
          <w:b w:val="0"/>
          <w:color w:val="000000"/>
          <w:sz w:val="22"/>
        </w:rPr>
        <w:t xml:space="preserve"> for attribution and incorporated-source provenance.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6666"/>
        <w:sz w:val="18"/>
      </w:rPr>
      <w:t xml:space="preserve">Page </w:t>
    </w:r>
    <w:r>
      <w:rPr>
        <w:rFonts w:ascii="Calibri" w:hAnsi="Calibr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6666"/>
        <w:sz w:val="17"/>
      </w:rPr>
      <w:t>COLONIST AWARENESS OVERHAUL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Current project README</dc:subject>
  <dc:creator>ellyj3rain</dc:creator>
  <cp:keywords>RimWorld, Colonist Awareness, CAO</cp:keywords>
  <dc:description>generated by python-docx</dc:description>
  <cp:lastModifiedBy/>
  <cp:revision>1</cp:revision>
  <dcterms:created xsi:type="dcterms:W3CDTF">2013-12-23T23:15:00Z</dcterms:created>
  <dcterms:modified xsi:type="dcterms:W3CDTF">2013-12-23T23:15:00Z</dcterms:modified>
  <cp:category/>
</cp:coreProperties>
</file>