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1.3.0.2-alpha. Implementation is complete through batch B8; B9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auto" w:w="0"/>
        <w:jc w:val="center"/>
        <w:tblLook w:firstColumn="1" w:firstRow="1" w:lastColumn="0" w:lastRow="0" w:noHBand="0" w:noVBand="1" w:val="04A0"/>
      </w:tblPr>
      <w:tblGrid>
        <w:gridCol w:w="5083"/>
        <w:gridCol w:w="5083"/>
      </w:tblGrid>
      <w:tr>
        <w:trPr>
          <w:cantSplit/>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Its map remains the primary spatial surface. Settlement scale, access, services, civic capacity, facilities, and other material outcomes are realized from population, land, geography, technology, institutions, economy, trade, history, and the objects that actually exist. They are inspected as consequences rather than exposed as one universal intensity menu.</w:t>
      </w:r>
    </w:p>
    <w:p>
      <w:r>
        <w:t>Culture is persistent social history with substantive inherited state. Each Culture records constituent populations; inherited and current meanings about concrete social subjects; inherited and lived practices; observations; transitions; and provenance. A meaning records approval, normality, prestige, and salience for one namespaced subject. Twelve initial subjects connect factual sources to real spatial, social, institutional, political, and settlement-development consumers, and later modules can register more without a Culture schema change. RimWorld's native CultureDef remains a separately labeled optional visual tradition, not the cultural model.</w:t>
      </w:r>
    </w:p>
    <w:p>
      <w:r>
        <w:t>The Culture composer edits overview, social meanings, inherited practices, visual tradition, and a factual causal preview. Name plus visual tradition is not a valid Culture. Saved profiles copy inherited meanings and practices without world identity or historical state. In play, informed pawn responses aggregate into subject-specific social patterns; qualified repeated evidence can produce Culture(T+1) from Culture(T). One event, unchanged evidence, or opening an editor cannot. Culture ranks otherwise valid possibilities and creates no knowledge, authority, resources, technology, office, or land.</w:t>
      </w:r>
    </w:p>
    <w:p>
      <w:r>
        <w:t>The same concepts have different temporal meanings on the two creation sides:</w:t>
      </w:r>
    </w:p>
    <w:tbl>
      <w:tblPr>
        <w:tblStyle w:val="TableGrid"/>
        <w:tblW w:type="auto" w:w="0"/>
        <w:jc w:val="center"/>
        <w:tblLook w:firstColumn="1" w:firstRow="1" w:lastColumn="0" w:lastRow="0" w:noHBand="0" w:noVBand="1" w:val="04A0"/>
      </w:tblPr>
      <w:tblGrid>
        <w:gridCol w:w="5083"/>
        <w:gridCol w:w="5083"/>
      </w:tblGrid>
      <w:tr>
        <w:trPr>
          <w:cantSplit/>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Beliefs, realized social order, institutions, material state, and established historical basis are facts about a society already present.</w:t>
            </w:r>
          </w:p>
        </w:tc>
        <w:tc>
          <w:tcPr>
            <w:tcW w:type="dxa" w:w="5083"/>
          </w:tcPr>
          <w:p>
            <w:r>
              <w:rPr>
                <w:rFonts w:ascii="Aptos" w:hAnsi="Aptos"/>
                <w:sz w:val="16"/>
              </w:rPr>
              <w:t>Founders bring inherited Culture, native Ideoligion, and Political Beliefs, then choose the rules instituted at landing. Local institutions and historical Culture develop through play.</w:t>
            </w:r>
          </w:p>
        </w:tc>
      </w:tr>
    </w:tbl>
    <w:p>
      <w:r>
        <w:t>Political Beliefs are authored question-first across thirteen normative questions. Complete profiles are transparent copy accelerators rather than political identities, all answers remain independently editable, and missing player positions are never filled randomly. NPC positions are derived from same-axis realized structure, explicit observed facts, or scored cultural meaning with a stable causal receipt; unsupported positions remain unset.</w:t>
      </w:r>
    </w:p>
    <w:p>
      <w: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auto" w:w="0"/>
        <w:jc w:val="center"/>
        <w:tblLook w:firstColumn="1" w:firstRow="1" w:lastColumn="0" w:lastRow="0" w:noHBand="0" w:noVBand="1" w:val="04A0"/>
      </w:tblPr>
      <w:tblGrid>
        <w:gridCol w:w="5083"/>
        <w:gridCol w:w="5083"/>
      </w:tblGrid>
      <w:tr>
        <w:trPr>
          <w:cantSplit/>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persistence and transition, consumer reach, fixture round-trip,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1.3.0.2-alpha · B8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B8, Culture</cp:keywords>
  <dc:description>generated by python-docx</dc:description>
  <cp:lastModifiedBy/>
  <cp:revision>1</cp:revision>
  <dcterms:created xsi:type="dcterms:W3CDTF">2013-12-23T23:15:00Z</dcterms:created>
  <dcterms:modified xsi:type="dcterms:W3CDTF">2013-12-23T23:15:00Z</dcterms:modified>
  <cp:category/>
</cp:coreProperties>
</file>