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Colonist Awareness Overhaul</w:t>
      </w:r>
    </w:p>
    <w:p/>
    <w:p>
      <w:r>
        <w:t>Colonist Awareness is a RimWorld 1.6 overhaul. Pawns act on what they know. Settlements persist as real places with people, supplies, services, beliefs, and authority. Factions make decisions and carry consequences forward instead of resetting to isolated game events.</w:t>
      </w:r>
    </w:p>
    <w:p/>
    <w:p>
      <w:r>
        <w:t>&lt;!-- cao:generated:version BEGIN --&gt;</w:t>
      </w:r>
    </w:p>
    <w:p>
      <w:r>
        <w:t>Current version: `1.2.0.0-alpha`. Implementation is complete through batch `B5`; `B6` is the next development batch. SESSION_STATE records the verified assembly and live deployment state. Static verification does not substitute for how the game looks and plays.</w:t>
      </w:r>
    </w:p>
    <w:p>
      <w:r>
        <w:t>&lt;!-- cao:generated:version END --&gt;</w:t>
      </w:r>
    </w:p>
    <w:p/>
    <w:p>
      <w:pPr>
        <w:pStyle w:val="Heading2"/>
      </w:pPr>
      <w:r>
        <w:t>Framework</w:t>
      </w:r>
    </w:p>
    <w:p/>
    <w:p>
      <w:r>
        <w:t>The project is organized around four connected concerns:</w:t>
      </w:r>
    </w:p>
    <w:p/>
    <w:p>
      <w:pPr>
        <w:pStyle w:val="ListBullet"/>
      </w:pPr>
      <w:r>
        <w:t>**Disposition** - individual judgment shaped by traits, skills, condition, relationships, and experience.</w:t>
      </w:r>
    </w:p>
    <w:p>
      <w:pPr>
        <w:pStyle w:val="ListBullet"/>
      </w:pPr>
      <w:r>
        <w:t>**Knowledge** - actors respond to what they can observe, remember, receive, and trust.</w:t>
      </w:r>
    </w:p>
    <w:p>
      <w:pPr>
        <w:pStyle w:val="ListBullet"/>
      </w:pPr>
      <w:r>
        <w:t>**Authority** - roles, organizations, beliefs, legitimacy, and player control determine who may decide and act.</w:t>
      </w:r>
    </w:p>
    <w:p>
      <w:pPr>
        <w:pStyle w:val="ListBullet"/>
      </w:pPr>
      <w:r>
        <w:t>**Doctrine** - tactical and operational behavior uses the same knowledge and authority substrate.</w:t>
      </w:r>
    </w:p>
    <w:p/>
    <w:p>
      <w:r>
        <w:t>The current regional model is direct: regions contain factions and settlements; settlements contain population groups and organizations. A population carries a cultural background and may retain a native visual tradition. Its local cultural expression is then read from actual Ideoligion, political beliefs, population, institutions, provisions, material conditions, geography, relations, and history; Culture does not prescribe furniture. Existing factions are established societies with realized social orders and histories. The player authors a founding population: cultural background, native Ideoligion, and Political Beliefs are brought to the colony; Founding terms set the rules adopted at landing and apply once as exact, duration-aware relations; institutions and local culture then develop through play. World tendencies author causes; placement, relations, settlement pattern, frontier holdings, and settlement scale are realized once, saved, and consumed by generation. Settlement development is a relative Minimal, Contextual, or Extensive influence over derived infrastructure, with exact per-facility overrides where the player needs them.</w:t>
      </w:r>
    </w:p>
    <w:p/>
    <w:p>
      <w:pPr>
        <w:pStyle w:val="Heading2"/>
      </w:pPr>
      <w:r>
        <w:t>Requirements</w:t>
      </w:r>
    </w:p>
    <w:p/>
    <w:p>
      <w:pPr>
        <w:pStyle w:val="ListBullet"/>
      </w:pPr>
      <w:r>
        <w:t>RimWorld `1.6`</w:t>
      </w:r>
    </w:p>
    <w:p>
      <w:pPr>
        <w:pStyle w:val="ListBullet"/>
      </w:pPr>
      <w:r>
        <w:t>Harmony</w:t>
      </w:r>
    </w:p>
    <w:p>
      <w:pPr>
        <w:pStyle w:val="ListBullet"/>
      </w:pPr>
      <w:r>
        <w:t>Biotech</w:t>
      </w:r>
    </w:p>
    <w:p>
      <w:pPr>
        <w:pStyle w:val="ListBullet"/>
      </w:pPr>
      <w:r>
        <w:t>Ideology</w:t>
      </w:r>
    </w:p>
    <w:p/>
    <w:p>
      <w:r>
        <w:t>The package identifier is `ellyj3rain.colonistawareness`. Dependencies and load order are declared in [`About/About.xml`](About/About.xml).</w:t>
      </w:r>
    </w:p>
    <w:p/>
    <w:p>
      <w:pPr>
        <w:pStyle w:val="Heading2"/>
      </w:pPr>
      <w:r>
        <w:t>Build</w:t>
      </w:r>
    </w:p>
    <w:p/>
    <w:p>
      <w:r>
        <w:t>From the project root:</w:t>
      </w:r>
    </w:p>
    <w:p/>
    <w:p>
      <w:r>
        <w:rPr>
          <w:rFonts w:ascii="Consolas" w:hAnsi="Consolas"/>
          <w:sz w:val="18"/>
        </w:rPr>
        <w:t>dotnet build Source/ColonistAwareness.csproj -c Release</w:t>
      </w:r>
    </w:p>
    <w:p/>
    <w:p>
      <w:r>
        <w:t>The Release assembly is written to `Assemblies/ColonistAwareness.dll`. DLL changes require a full RimWorld restart.</w:t>
      </w:r>
    </w:p>
    <w:p/>
    <w:p>
      <w:pPr>
        <w:pStyle w:val="Heading2"/>
      </w:pPr>
      <w:r>
        <w:t>Project map</w:t>
      </w:r>
    </w:p>
    <w:p/>
    <w:tbl>
      <w:tblPr>
        <w:tblStyle w:val="TableGrid"/>
        <w:tblW w:type="auto" w:w="0"/>
        <w:tblLook w:firstColumn="1" w:firstRow="1" w:lastColumn="0" w:lastRow="0" w:noHBand="0" w:noVBand="1" w:val="04A0"/>
      </w:tblPr>
      <w:tblGrid>
        <w:gridCol w:w="4320"/>
        <w:gridCol w:w="4320"/>
      </w:tblGrid>
      <w:tr>
        <w:tc>
          <w:tcPr>
            <w:tcW w:type="dxa" w:w="4320"/>
          </w:tcPr>
          <w:p>
            <w:r>
              <w:t>Path</w:t>
            </w:r>
          </w:p>
        </w:tc>
        <w:tc>
          <w:tcPr>
            <w:tcW w:type="dxa" w:w="4320"/>
          </w:tcPr>
          <w:p>
            <w:r>
              <w:t>Purpose</w:t>
            </w:r>
          </w:p>
        </w:tc>
        <w:trPr>
          <w:tblHeader/>
        </w:trPr>
      </w:tr>
      <w:tr>
        <w:tc>
          <w:tcPr>
            <w:tcW w:type="dxa" w:w="4320"/>
          </w:tcPr>
          <w:p>
            <w:r>
              <w:t>`Source/`</w:t>
            </w:r>
          </w:p>
        </w:tc>
        <w:tc>
          <w:tcPr>
            <w:tcW w:type="dxa" w:w="4320"/>
          </w:tcPr>
          <w:p>
            <w:r>
              <w:t>C# implementation</w:t>
            </w:r>
          </w:p>
        </w:tc>
      </w:tr>
      <w:tr>
        <w:tc>
          <w:tcPr>
            <w:tcW w:type="dxa" w:w="4320"/>
          </w:tcPr>
          <w:p>
            <w:r>
              <w:t>`Defs/`, `Patches/`</w:t>
            </w:r>
          </w:p>
        </w:tc>
        <w:tc>
          <w:tcPr>
            <w:tcW w:type="dxa" w:w="4320"/>
          </w:tcPr>
          <w:p>
            <w:r>
              <w:t>RimWorld definitions and integration patches</w:t>
            </w:r>
          </w:p>
        </w:tc>
      </w:tr>
      <w:tr>
        <w:tc>
          <w:tcPr>
            <w:tcW w:type="dxa" w:w="4320"/>
          </w:tcPr>
          <w:p>
            <w:r>
              <w:t>`Languages/English/`</w:t>
            </w:r>
          </w:p>
        </w:tc>
        <w:tc>
          <w:tcPr>
            <w:tcW w:type="dxa" w:w="4320"/>
          </w:tcPr>
          <w:p>
            <w:r>
              <w:t>Player-facing English text</w:t>
            </w:r>
          </w:p>
        </w:tc>
      </w:tr>
      <w:tr>
        <w:tc>
          <w:tcPr>
            <w:tcW w:type="dxa" w:w="4320"/>
          </w:tcPr>
          <w:p>
            <w:r>
              <w:t>`About/`</w:t>
            </w:r>
          </w:p>
        </w:tc>
        <w:tc>
          <w:tcPr>
            <w:tcW w:type="dxa" w:w="4320"/>
          </w:tcPr>
          <w:p>
            <w:r>
              <w:t>Mod metadata and dependency declaration</w:t>
            </w:r>
          </w:p>
        </w:tc>
      </w:tr>
      <w:tr>
        <w:tc>
          <w:tcPr>
            <w:tcW w:type="dxa" w:w="4320"/>
          </w:tcPr>
          <w:p>
            <w:r>
              <w:t>`Batches/`</w:t>
            </w:r>
          </w:p>
        </w:tc>
        <w:tc>
          <w:tcPr>
            <w:tcW w:type="dxa" w:w="4320"/>
          </w:tcPr>
          <w:p>
            <w:r>
              <w:t>Append-only batch records in one alphanumeric namespace</w:t>
            </w:r>
          </w:p>
        </w:tc>
      </w:tr>
      <w:tr>
        <w:tc>
          <w:tcPr>
            <w:tcW w:type="dxa" w:w="4320"/>
          </w:tcPr>
          <w:p>
            <w:r>
              <w:t>`BATCH_LOG.md`</w:t>
            </w:r>
          </w:p>
        </w:tc>
        <w:tc>
          <w:tcPr>
            <w:tcW w:type="dxa" w:w="4320"/>
          </w:tcPr>
          <w:p>
            <w:r>
              <w:t>Chronological batch catalog</w:t>
            </w:r>
          </w:p>
        </w:tc>
      </w:tr>
      <w:tr>
        <w:tc>
          <w:tcPr>
            <w:tcW w:type="dxa" w:w="4320"/>
          </w:tcPr>
          <w:p>
            <w:r>
              <w:t>`Batches/THREADS.md`</w:t>
            </w:r>
          </w:p>
        </w:tc>
        <w:tc>
          <w:tcPr>
            <w:tcW w:type="dxa" w:w="4320"/>
          </w:tcPr>
          <w:p>
            <w:r>
              <w:t>Series-neutral thematic families and threads</w:t>
            </w:r>
          </w:p>
        </w:tc>
      </w:tr>
      <w:tr>
        <w:tc>
          <w:tcPr>
            <w:tcW w:type="dxa" w:w="4320"/>
          </w:tcPr>
          <w:p>
            <w:r>
              <w:t>`VERSION_MAP.md`</w:t>
            </w:r>
          </w:p>
        </w:tc>
        <w:tc>
          <w:tcPr>
            <w:tcW w:type="dxa" w:w="4320"/>
          </w:tcPr>
          <w:p>
            <w:r>
              <w:t>Chronological, tier-bearing version units</w:t>
            </w:r>
          </w:p>
        </w:tc>
      </w:tr>
      <w:tr>
        <w:tc>
          <w:tcPr>
            <w:tcW w:type="dxa" w:w="4320"/>
          </w:tcPr>
          <w:p>
            <w:r>
              <w:t>`tools/version-model.mjs`</w:t>
            </w:r>
          </w:p>
        </w:tc>
        <w:tc>
          <w:tcPr>
            <w:tcW w:type="dxa" w:w="4320"/>
          </w:tcPr>
          <w:p>
            <w:r>
              <w:t>Version replay, generated stamps, and structural checks</w:t>
            </w:r>
          </w:p>
        </w:tc>
      </w:tr>
      <w:tr>
        <w:tc>
          <w:tcPr>
            <w:tcW w:type="dxa" w:w="4320"/>
          </w:tcPr>
          <w:p>
            <w:r>
              <w:t>`ARCHITECTURE.md`</w:t>
            </w:r>
          </w:p>
        </w:tc>
        <w:tc>
          <w:tcPr>
            <w:tcW w:type="dxa" w:w="4320"/>
          </w:tcPr>
          <w:p>
            <w:r>
              <w:t>Current framework architecture</w:t>
            </w:r>
          </w:p>
        </w:tc>
      </w:tr>
      <w:tr>
        <w:tc>
          <w:tcPr>
            <w:tcW w:type="dxa" w:w="4320"/>
          </w:tcPr>
          <w:p>
            <w:r>
              <w:t>`GOVERNANCE.md`</w:t>
            </w:r>
          </w:p>
        </w:tc>
        <w:tc>
          <w:tcPr>
            <w:tcW w:type="dxa" w:w="4320"/>
          </w:tcPr>
          <w:p>
            <w:r>
              <w:t>Project operating rules</w:t>
            </w:r>
          </w:p>
        </w:tc>
      </w:tr>
      <w:tr>
        <w:tc>
          <w:tcPr>
            <w:tcW w:type="dxa" w:w="4320"/>
          </w:tcPr>
          <w:p>
            <w:r>
              <w:t>`SESSION_STATE.md`</w:t>
            </w:r>
          </w:p>
        </w:tc>
        <w:tc>
          <w:tcPr>
            <w:tcW w:type="dxa" w:w="4320"/>
          </w:tcPr>
          <w:p>
            <w:r>
              <w:t>Current build, deployment, and runtime-test boundary</w:t>
            </w:r>
          </w:p>
        </w:tc>
      </w:tr>
    </w:tbl>
    <w:p/>
    <w:p>
      <w:pPr>
        <w:pStyle w:val="Heading2"/>
      </w:pPr>
      <w:r>
        <w:t>Project history</w:t>
      </w:r>
    </w:p>
    <w:p/>
    <w:p>
      <w:r>
        <w:t>The governed batch and provenance records are the project's portable history. They travel with the current tree and do not depend on a particular Git host. `A1` through `A102` and `B1` through `B5` share one sequence under [`Batches/`](Batches/); a new letter does not create a separate history hierarchy. [`BATCH_LOG.md`](BATCH_LOG.md) is the chronological view. [`Batches/THREADS.md`](Batches/THREADS.md) classifies related work across nonadjacent batches with permanent `TF-*` and `T-*` identifiers. [`VERSION_MAP.md`](VERSION_MAP.md) partitions chronological work into contiguous capability units under the four-coordinate odometer.</w:t>
      </w:r>
    </w:p>
    <w:p/>
    <w:p>
      <w:r>
        <w:t>Local Git may retain earlier engineering history. The published forge history is a separate distribution record: it begins at the canonical snapshot selected for publication and continues with later published changes.</w:t>
      </w:r>
    </w:p>
    <w:p/>
    <w:p>
      <w:r>
        <w:t>Run the governance check with:</w:t>
      </w:r>
    </w:p>
    <w:p/>
    <w:p>
      <w:r>
        <w:rPr>
          <w:rFonts w:ascii="Consolas" w:hAnsi="Consolas"/>
          <w:sz w:val="18"/>
        </w:rPr>
        <w:t>node tools/version-model.mjs --check</w:t>
      </w:r>
    </w:p>
    <w:p/>
    <w:p>
      <w:pPr>
        <w:pStyle w:val="Heading2"/>
      </w:pPr>
      <w:r>
        <w:t>Status and verification</w:t>
      </w:r>
    </w:p>
    <w:p/>
    <w:p>
      <w:r>
        <w:t>The code, setup flow, generation, saves, definitions, and documentation use the same current concepts: factions, settlements, population groups, organizations, cultural background, cultural expression, Ideoligion, Political Beliefs, social order, development, starting conditions, and provisions. The creation flow uses shared graphical choices with distinct focused, applied, suggested, inherited, and authored states instead of authoring text walls. Compact, Standard, and Expanded information levels change explanation only; warnings and state remain visible. Cultural-background and political composers share built-in profiles and a global reusable-profile library across player and established-faction authoring. World tendencies open on one stable neutral profile and named presets remain legible as coordinated departures from it. Starting Region applies the same grammar to faction, settlement, population, source, relation, facility, and infrastructure choices, with wide, medium, and compact layouts. Population shares remain a complete 100-percent composition, and membership, belief source, Ideoligion source, and residential quarters remain independent causes.</w:t>
      </w:r>
    </w:p>
    <w:p/>
    <w:p>
      <w:r>
        <w:t>RimWorld's native Ideoligion chooser remains in the scenario chain before CA's Starting arrangements page. Native presets, saved Ideoligions, fixed and fluid composition, memes, precepts, roles, rituals, and later customization remain first-class while the surrounding CA draft survives navigation. Cultural background, native Ideoligion, Political Beliefs, and Founding terms remain distinct within one founding process; exact comparisons show where professed standards and adopted rules agree or differ. The confirmed draft is world-owned for regional and non-regional starts, and a durable applied-tick receipt prevents founding from overwriting later institutions.</w:t>
      </w:r>
    </w:p>
    <w:p>
      <w:pPr/>
      <w:r>
        <w:t>Starting Region derives each settlement's cultural expression through one typed causal contract. Established-faction views aggregate their settlements; materialized records persist the realized summary, status, and signature; map reconciliation reads current resident Ideoligions and material state; world markers consume that persisted result. Minimal, Contextual, and Extensive settlement-development profiles shift only generated infrastructure, while explicit infrastructure and per-facility Include or Omit choices remain authoritative. The eleven World tendencies controls each own one direct causal variable, and fixed-seed receipts check consumer reach, one-variable isolation, serialization, readback, and override ownership. Executable interaction and authoring receipts check shared population, profile-copy, migration, layout, materialization, affiliation, source-selection, cultural-expression, and settlement-development contracts. Earlier experimental save formats are not supported.</w:t>
      </w:r>
    </w:p>
    <w:p>
      <w:r>
        <w:t>The Release project builds against the RimWorld 1.6 reference assemblies. The verified B5 assembly is deployed; the corrected cultural-expression and settlement-development flow is at the operator runtime-test boundary. See [`SESSION_STATE.md`](SESSION_STATE.md) for the exact build, fixture, deployment, and test gate.</w:t>
      </w:r>
    </w:p>
    <w:p/>
    <w:p>
      <w:pPr>
        <w:pStyle w:val="Heading2"/>
      </w:pPr>
      <w:r>
        <w:t>License and provenance</w:t>
      </w:r>
    </w:p>
    <w:p/>
    <w:p>
      <w:r>
        <w:t>Colonist Awareness is licensed under GPL-3.0. See [`LICENSE`](LICENSE), [`CREDITS.md`](CREDITS.md), and [`UPSTREAM_SOURCES.md`](UPSTREAM_SOURCES.md) for attribution and incorporated-source provenance.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