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1.3.0.5-alpha. Implementation is complete through batch B11; B12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Objects and Map remain its primary navigation; Details provides concise object-specific inspection and settlement comparison. One valid option is shown as a fact only when it matters, not as a button, and generation provenance remains diagnostic rather than player copy.</w:t>
      </w:r>
    </w:p>
    <w:p>
      <w:r>
        <w:t>Settlement scale, access, services, civic capacity, and material composition are realized from actual population, land, geography, knowledge, institutions, economy, trade, work, and history. An open registry defines 22 possible program contracts across housing, food, storage, medicine, production, trade, governance, security, defense, research, religion, social life, culture, agriculture, communications, and transport. A program becomes active only when its concrete need, operator, standing, knowledge, labor, materials, target, access, funding or maintenance, behavior, and failure contract are represented. Unsupported programs stay absent. Buildings and rooms are nodes used by a program; they do not prove an institution exists.</w:t>
      </w:r>
    </w:p>
    <w:p>
      <w:r>
        <w:t>Domestic provision belongs to a real pawn or a persistent domestic unit formed from represented partner, kin, residence, or explicit co-residence facts. Pawn ordering and hashes never create a household. Communal and authority provisions require real organizations, workers, stock, access, funding, and distribution; tax-funded provision also requires an adopted tax policy and collection. Practiced capability is a domain evidence summary over actual actors, organizations, work, knowledge, materials, and history, without random jitter. World tendencies guide or summarize their owning facts and do not create the institutions they describe.</w:t>
      </w:r>
    </w:p>
    <w:p>
      <w:r>
        <w:t>Culture is persistent social history with substantive inherited state. Each Culture records constituent populations; inherited and current meanings about concrete social subjects; inherited and lived practices; observations; transitions; and provenance. A meaning records approval, normality, prestige, and salience for one of 45 production social referents. A practice is a different record: one of 30 concrete forms of repeated conduct with participants, operator, trigger or cadence, authority, setting, material conditions, evidence, and a runtime consumer. Subjects, meanings, and practices never substitute for one another. RimWorld's native CultureDef remains a separately labeled optional visual tradition, not the cultural model.</w:t>
      </w:r>
    </w:p>
    <w:p>
      <w:r>
        <w:t>The Culture composer edits constituents, semantic social meanings, inherited and current concrete practices, disagreements, continuity, visual tradition, and a factual causal preview. Content-driven sections omit empty and one-item navigation; internal source domains are not projected as tabs. Exact continuous values remain available from the relevant meaning or practice and round-trip without loss. Name plus visual tradition is not a valid Culture. Saved Culture profiles copy inherited values without world identity or historical state. In play, informed pawn responses aggregate into subject-specific social patterns; qualified repeated evidence can produce Culture(T+1) from Culture(T). One event, unchanged evidence, or opening an editor cannot. Culture ranks otherwise valid possibilities and creates no knowledge, authority, resources, technology, office, or land.</w:t>
      </w:r>
    </w:p>
    <w:p>
      <w:r>
        <w:t>The same concepts have different temporal meanings on the two creation sides: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Beliefs, realized social order, institutions, material state, and established historical basis are facts about a society already present.</w:t>
            </w:r>
          </w:p>
        </w:tc>
        <w:tc>
          <w:tcPr>
            <w:tcW w:type="dxa" w:w="5083"/>
          </w:tcPr>
          <w:p>
            <w:r>
              <w:rPr>
                <w:rFonts w:ascii="Aptos" w:hAnsi="Aptos"/>
                <w:sz w:val="16"/>
              </w:rPr>
              <w:t>Founders bring inherited Culture, native Ideoligion, and Political Beliefs, then choose the rules instituted at landing. Local institutions and historical Culture develop through play.</w:t>
            </w:r>
          </w:p>
        </w:tc>
      </w:tr>
    </w:tbl>
    <w:p>
      <w:r>
        <w:t>Political Beliefs are normative mechanisms over thirteen independently editable subjects. Several compatible mechanisms may coexist on one subject. Twelve belief sets are explicit partial copy-on-apply patches: they add only their listed commitments and preserve every unlisted or compatible authored fact. Established societies edit current order through a distinct compositional editor and ten equally explicit current-order sets. There is no Political Profile type, no synthetic mixed option, and no random completion of missing positions. NPC beliefs derive only from same-subject current order, explicit observed facts, or scored cultural meaning with stable causal evidence; unsupported positions stay unset.</w:t>
      </w:r>
    </w:p>
    <w:p>
      <w: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r>
        <w:trPr>
          <w:cantSplit/>
        </w:trPr>
        <w:tc>
          <w:tcPr>
            <w:tcW w:type="dxa" w:w="5083"/>
          </w:tcPr>
          <w:p>
            <w:r>
              <w:rPr>
                <w:rFonts w:ascii="Aptos" w:hAnsi="Aptos"/>
                <w:sz w:val="16"/>
              </w:rPr>
              <w:t>B10_CAUSAL_PROVENANCE_AUDIT.md</w:t>
            </w:r>
          </w:p>
        </w:tc>
        <w:tc>
          <w:tcPr>
            <w:tcW w:type="dxa" w:w="5083"/>
          </w:tcPr>
          <w:p>
            <w:r>
              <w:rPr>
                <w:rFonts w:ascii="Aptos" w:hAnsi="Aptos"/>
                <w:sz w:val="16"/>
              </w:rPr>
              <w:t>Current causal owners, corrected proxies, program contracts, and institution-asset classifications</w:t>
            </w:r>
          </w:p>
        </w:tc>
      </w:tr>
      <w:tr>
        <w:trPr>
          <w:cantSplit/>
        </w:trPr>
        <w:tc>
          <w:tcPr>
            <w:tcW w:type="dxa" w:w="5083"/>
            <w:shd w:fill="EAF1F3"/>
          </w:tcPr>
          <w:p>
            <w:r>
              <w:rPr>
                <w:rFonts w:ascii="Aptos" w:hAnsi="Aptos"/>
                <w:sz w:val="16"/>
              </w:rPr>
              <w:t>MODULE_OWNERSHIP.md</w:t>
            </w:r>
          </w:p>
        </w:tc>
        <w:tc>
          <w:tcPr>
            <w:tcW w:type="dxa" w:w="5083"/>
            <w:shd w:fill="EAF1F3"/>
          </w:tcPr>
          <w:p>
            <w:r>
              <w:rPr>
                <w:rFonts w:ascii="Aptos" w:hAnsi="Aptos"/>
                <w:sz w:val="16"/>
              </w:rPr>
              <w:t>Authoritative module, mutation, cadence, cache, and diagnostics ownership</w:t>
            </w:r>
          </w:p>
        </w:tc>
      </w:tr>
      <w:tr>
        <w:trPr>
          <w:cantSplit/>
        </w:trPr>
        <w:tc>
          <w:tcPr>
            <w:tcW w:type="dxa" w:w="5083"/>
          </w:tcPr>
          <w:p>
            <w:r>
              <w:rPr>
                <w:rFonts w:ascii="Aptos" w:hAnsi="Aptos"/>
                <w:sz w:val="16"/>
              </w:rPr>
              <w:t>SCHEMA_REGISTRY.md, PERSISTENCE_CENSUS.md, CAMPAIGN_COMPATIBILITY.md</w:t>
            </w:r>
          </w:p>
        </w:tc>
        <w:tc>
          <w:tcPr>
            <w:tcW w:type="dxa" w:w="5083"/>
          </w:tcPr>
          <w:p>
            <w:r>
              <w:rPr>
                <w:rFonts w:ascii="Aptos" w:hAnsi="Aptos"/>
                <w:sz w:val="16"/>
              </w:rPr>
              <w:t>Durable campaign schema, independent source-writer census, preflight, migration, update, and rollback contracts</w:t>
            </w:r>
          </w:p>
        </w:tc>
      </w:tr>
      <w:tr>
        <w:trPr>
          <w:cantSplit/>
        </w:trPr>
        <w:tc>
          <w:tcPr>
            <w:tcW w:type="dxa" w:w="5083"/>
            <w:shd w:fill="EAF1F3"/>
          </w:tcPr>
          <w:p>
            <w:r>
              <w:rPr>
                <w:rFonts w:ascii="Aptos" w:hAnsi="Aptos"/>
                <w:sz w:val="16"/>
              </w:rPr>
              <w:t>AUTHORING_ONTOLOGY_COVERAGE.md</w:t>
            </w:r>
          </w:p>
        </w:tc>
        <w:tc>
          <w:tcPr>
            <w:tcW w:type="dxa" w:w="5083"/>
            <w:shd w:fill="EAF1F3"/>
          </w:tcPr>
          <w:p>
            <w:r>
              <w:rPr>
                <w:rFonts w:ascii="Aptos" w:hAnsi="Aptos"/>
                <w:sz w:val="16"/>
              </w:rPr>
              <w:t>Production social/political vocabulary, mechanics coverage, control contracts, categories, and exclusions</w:t>
            </w:r>
          </w:p>
        </w:tc>
      </w:tr>
      <w:tr>
        <w:trPr>
          <w:cantSplit/>
        </w:trPr>
        <w:tc>
          <w:tcPr>
            <w:tcW w:type="dxa" w:w="5083"/>
          </w:tcPr>
          <w:p>
            <w:r>
              <w:rPr>
                <w:rFonts w:ascii="Aptos" w:hAnsi="Aptos"/>
                <w:sz w:val="16"/>
              </w:rPr>
              <w:t>B11_ACCEPTANCE_RECEIPTS.md, B11_REVIEW_RECEIPT.md</w:t>
            </w:r>
          </w:p>
        </w:tc>
        <w:tc>
          <w:tcPr>
            <w:tcW w:type="dxa" w:w="5083"/>
          </w:tcPr>
          <w:p>
            <w:r>
              <w:rPr>
                <w:rFonts w:ascii="Aptos" w:hAnsi="Aptos"/>
                <w:sz w:val="16"/>
              </w:rPr>
              <w:t>Executable B11 closure and five-lens review evidence</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persistence and transition, domestic identity, capability evidence, operational programs, provision operators, fixture/runtime equivalence,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1.3.0.5-alpha · B11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B11, Culture</cp:keywords>
  <dc:description>generated by python-docx</dc:description>
  <cp:lastModifiedBy/>
  <cp:revision>1</cp:revision>
  <dcterms:created xsi:type="dcterms:W3CDTF">2013-12-23T23:15:00Z</dcterms:created>
  <dcterms:modified xsi:type="dcterms:W3CDTF">2013-12-23T23:15:00Z</dcterms:modified>
  <cp:category/>
</cp:coreProperties>
</file>