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16273"/>
          <w:sz w:val="50"/>
        </w:rPr>
        <w:t>Colonist Awareness Overhaul</w:t>
      </w:r>
    </w:p>
    <w:p>
      <w:pPr>
        <w:jc w:val="center"/>
      </w:pPr>
      <w:r>
        <w:rPr>
          <w:i/>
          <w:color w:val="595959"/>
        </w:rPr>
        <w:t>RimWorld 1.6 framework and simulation overhaul</w:t>
      </w:r>
    </w:p>
    <w:p>
      <w:r>
        <w:t>Colonist Awareness is a RimWorld 1.6 framework and simulation overhaul. Pawns act on what they know. Settlements persist as real places with people, supplies, institutions, beliefs, and authority. Factions make decisions and carry their consequences forward instead of resetting to isolated game events.</w:t>
      </w:r>
    </w:p>
    <w:p>
      <w:r>
        <w:t>Current version: 1.4.1.0-alpha. Implementation is complete through batch B13; B14 is the next development batch. SESSION_STATE records the verified assembly and live deployment state. Static verification does not substitute for how the game looks and plays.</w:t>
      </w:r>
    </w:p>
    <w:p>
      <w:pPr>
        <w:pStyle w:val="Heading1"/>
      </w:pPr>
      <w:r>
        <w:t>Framework</w:t>
      </w:r>
    </w:p>
    <w:p>
      <w:r>
        <w:t>Every CA behavior composes four independent concerns:</w:t>
      </w:r>
    </w:p>
    <w:p>
      <w:r>
        <w:t>Knowledge triggers -&gt; Disposition ranks -&gt; Authority channels -&gt; Doctrine executes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Concern</w:t>
            </w:r>
          </w:p>
        </w:tc>
        <w:tc>
          <w:tcPr>
            <w:tcW w:type="dxa" w:w="5083"/>
            <w:shd w:fill="316273"/>
          </w:tcPr>
          <w:p>
            <w:r>
              <w:rPr>
                <w:rFonts w:ascii="Aptos" w:hAnsi="Aptos"/>
                <w:b/>
                <w:color w:val="FFFFFF"/>
                <w:sz w:val="16"/>
              </w:rPr>
              <w:t>Owns</w:t>
            </w:r>
          </w:p>
        </w:tc>
      </w:tr>
      <w:tr>
        <w:trPr>
          <w:cantSplit/>
        </w:trPr>
        <w:tc>
          <w:tcPr>
            <w:tcW w:type="dxa" w:w="5083"/>
          </w:tcPr>
          <w:p>
            <w:r>
              <w:rPr>
                <w:rFonts w:ascii="Aptos" w:hAnsi="Aptos"/>
                <w:sz w:val="16"/>
              </w:rPr>
              <w:t>Disposition</w:t>
            </w:r>
          </w:p>
        </w:tc>
        <w:tc>
          <w:tcPr>
            <w:tcW w:type="dxa" w:w="5083"/>
          </w:tcPr>
          <w:p>
            <w:r>
              <w:rPr>
                <w:rFonts w:ascii="Aptos" w:hAnsi="Aptos"/>
                <w:sz w:val="16"/>
              </w:rPr>
              <w:t>Individual judgment, willingness, and risk texture.</w:t>
            </w:r>
          </w:p>
        </w:tc>
      </w:tr>
      <w:tr>
        <w:trPr>
          <w:cantSplit/>
        </w:trPr>
        <w:tc>
          <w:tcPr>
            <w:tcW w:type="dxa" w:w="5083"/>
            <w:shd w:fill="EAF1F3"/>
          </w:tcPr>
          <w:p>
            <w:r>
              <w:rPr>
                <w:rFonts w:ascii="Aptos" w:hAnsi="Aptos"/>
                <w:sz w:val="16"/>
              </w:rPr>
              <w:t>Knowledge</w:t>
            </w:r>
          </w:p>
        </w:tc>
        <w:tc>
          <w:tcPr>
            <w:tcW w:type="dxa" w:w="5083"/>
            <w:shd w:fill="EAF1F3"/>
          </w:tcPr>
          <w:p>
            <w:r>
              <w:rPr>
                <w:rFonts w:ascii="Aptos" w:hAnsi="Aptos"/>
                <w:sz w:val="16"/>
              </w:rPr>
              <w:t>Actor-held facts, observation, provenance, communication, memory, and uncertainty.</w:t>
            </w:r>
          </w:p>
        </w:tc>
      </w:tr>
      <w:tr>
        <w:trPr>
          <w:cantSplit/>
        </w:trPr>
        <w:tc>
          <w:tcPr>
            <w:tcW w:type="dxa" w:w="5083"/>
          </w:tcPr>
          <w:p>
            <w:r>
              <w:rPr>
                <w:rFonts w:ascii="Aptos" w:hAnsi="Aptos"/>
                <w:sz w:val="16"/>
              </w:rPr>
              <w:t>Authority</w:t>
            </w:r>
          </w:p>
        </w:tc>
        <w:tc>
          <w:tcPr>
            <w:tcW w:type="dxa" w:w="5083"/>
          </w:tcPr>
          <w:p>
            <w:r>
              <w:rPr>
                <w:rFonts w:ascii="Aptos" w:hAnsi="Aptos"/>
                <w:sz w:val="16"/>
              </w:rPr>
              <w:t>Permission, command, responsibility, organizations, institutions, and political order.</w:t>
            </w:r>
          </w:p>
        </w:tc>
      </w:tr>
      <w:tr>
        <w:trPr>
          <w:cantSplit/>
        </w:trPr>
        <w:tc>
          <w:tcPr>
            <w:tcW w:type="dxa" w:w="5083"/>
            <w:shd w:fill="EAF1F3"/>
          </w:tcPr>
          <w:p>
            <w:r>
              <w:rPr>
                <w:rFonts w:ascii="Aptos" w:hAnsi="Aptos"/>
                <w:sz w:val="16"/>
              </w:rPr>
              <w:t>Doctrine</w:t>
            </w:r>
          </w:p>
        </w:tc>
        <w:tc>
          <w:tcPr>
            <w:tcW w:type="dxa" w:w="5083"/>
            <w:shd w:fill="EAF1F3"/>
          </w:tcPr>
          <w:p>
            <w:r>
              <w:rPr>
                <w:rFonts w:ascii="Aptos" w:hAnsi="Aptos"/>
                <w:sz w:val="16"/>
              </w:rPr>
              <w:t>Native RimWorld jobs, duties, Lords, movement, combat, care, and material execution.</w:t>
            </w:r>
          </w:p>
        </w:tc>
      </w:tr>
    </w:tbl>
    <w:p>
      <w:r>
        <w:t>Standard retains ordinary RimWorld agency, enabled safeguards, direct and accepted relayed orders, and continuation of owned work. Proactive permits one bounded response to a current fact. Autonomous permits persistent or coordinated action inside delegated or institutional authority. Initiative never creates knowledge, permission, office, materials, or capability, and direct player orders remain authoritative at every tier.</w:t>
      </w:r>
    </w:p>
    <w:p>
      <w:pPr>
        <w:pStyle w:val="Heading1"/>
      </w:pPr>
      <w:r>
        <w:t>World and founding authoring</w:t>
      </w:r>
    </w:p>
    <w:p>
      <w:r>
        <w:t>Starting Region authors direct world facts: the selected region and arrival area, factions, settlements, population composition, ownership and relations, and explicit exceptional starting conditions. Objects and Map remain its primary navigation; Details provides concise object-specific inspection and settlement comparison. One valid option is shown as a fact only when it matters, not as a button, and generation provenance remains diagnostic rather than player copy.</w:t>
      </w:r>
    </w:p>
    <w:p>
      <w:r>
        <w:t>Settlement scale, access, services, civic capacity, and material composition are realized from actual population, land, geography, knowledge, institutions, economy, trade, work, and history. An open registry defines 22 possible program contracts across housing, food, storage, medicine, production, trade, governance, security, defense, research, religion, social life, culture, agriculture, communications, and transport. A program becomes active only when its concrete need, operator, standing, knowledge, labor, materials, target, access, funding or maintenance, behavior, and failure contract are represented. Unsupported programs stay absent. Buildings and rooms are nodes used by a program; they do not prove an institution exists.</w:t>
      </w:r>
    </w:p>
    <w:p>
      <w:r>
        <w:t>Domestic provision belongs to a real pawn or a persistent domestic unit formed from represented partner, kin, residence, or explicit co-residence facts. Pawn ordering and hashes never create a household. Communal and authority provisions require real organizations, workers, stock, access, funding, and distribution; tax-funded provision also requires an adopted tax policy and collection. Practiced capability is a domain evidence summary over actual actors, organizations, work, knowledge, materials, and history, without random jitter. World tendencies guide or summarize their owning facts and do not create the institutions they describe.</w:t>
      </w:r>
    </w:p>
    <w:p>
      <w:r>
        <w:t>Culture is persistent social history with substantive inherited state. Its current authoring authority is a population distribution over twenty-four explicit questions in eight categories: relationships and family, gender and social authority, status and hierarchy, membership and outsiders, public authority and social order, property and provision, violence and punishment, and knowledge and tradition. Each question has five ordered anchors, a center, population spread, norm and evidence settings, provenance, historical feedback, and material consumers. Concrete social subjects remain factual referents; practices remain repeated conduct with actors, conditions, authority, materials, evidence, and consumers. Neither is silently promoted into a Culture question.</w:t>
      </w:r>
    </w:p>
    <w:p>
      <w:r>
        <w:t>The Culture composer groups all eight categories, exposes one global diversity control, and keeps question-specific spread under advanced details. Nine complete historical and social presets, manual editing, saved profiles, and deterministic randomization all write the same Culture object; there is no preset mode or blend state. It also exposes constituents, inherited and current concrete practices, historical evidence, continuity, and the optional native visual tradition. Exact values round-trip without loss. At runtime a pawn receives a deterministic private position, public expression, attention, inherited-prior strength, perceived social pressure, observation likelihood, knowledge confidence, moral conviction, and uncertainty. Question-specific psychology contributes a small bounded private deviation. Sparse represented influence may change those attitudes over time. Direct historical observations persist measured position, spread, represented population, continuity, and source identity before stable pawn appraisal; expertise deference uses demonstrated skill in the factual subject's explicit domain. One event, unchanged evidence, or opening an editor cannot manufacture a Culture change.</w:t>
      </w:r>
    </w:p>
    <w:p>
      <w:r>
        <w:t>Persistent psychology, Culture, native Ideoligion, Political Beliefs, current order, institutions, proposition knowledge, actions, and practices remain separate causes and owners. Culture contributes appraisal and the selection of otherwise valid discretionary CA action. It does not override direct player intent or create knowledge, permission, authority, resources, technology, office, land, relationships, institutions, or completed research. Regional pawn appraisal retains the exact settlement institution resolved from the pawn's represented population assignment; local social history and institutional jurisdiction are not reconstructed from faction membership.</w:t>
      </w:r>
    </w:p>
    <w:p>
      <w:r>
        <w:t>The same concepts have different temporal meanings on the two creation sides: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Existing society</w:t>
            </w:r>
          </w:p>
        </w:tc>
        <w:tc>
          <w:tcPr>
            <w:tcW w:type="dxa" w:w="5083"/>
            <w:shd w:fill="316273"/>
          </w:tcPr>
          <w:p>
            <w:r>
              <w:rPr>
                <w:rFonts w:ascii="Aptos" w:hAnsi="Aptos"/>
                <w:b/>
                <w:color w:val="FFFFFF"/>
                <w:sz w:val="16"/>
              </w:rPr>
              <w:t>Player founding</w:t>
            </w:r>
          </w:p>
        </w:tc>
      </w:tr>
      <w:tr>
        <w:trPr>
          <w:cantSplit/>
        </w:trPr>
        <w:tc>
          <w:tcPr>
            <w:tcW w:type="dxa" w:w="5083"/>
          </w:tcPr>
          <w:p>
            <w:r>
              <w:rPr>
                <w:rFonts w:ascii="Aptos" w:hAnsi="Aptos"/>
                <w:sz w:val="16"/>
              </w:rPr>
              <w:t>Culture, Ideoligion, Political Beliefs, realized social order, institutions, material state, and established historical basis are facts about a society already present.</w:t>
            </w:r>
          </w:p>
        </w:tc>
        <w:tc>
          <w:tcPr>
            <w:tcW w:type="dxa" w:w="5083"/>
          </w:tcPr>
          <w:p>
            <w:r>
              <w:rPr>
                <w:rFonts w:ascii="Aptos" w:hAnsi="Aptos"/>
                <w:sz w:val="16"/>
              </w:rPr>
              <w:t>Founders bring inherited Culture, native Ideoligion, and Political Beliefs, then choose the rules instituted at landing. Local institutions and historical Culture develop through play.</w:t>
            </w:r>
          </w:p>
        </w:tc>
      </w:tr>
    </w:tbl>
    <w:p>
      <w:r>
        <w:t>Political Beliefs are normative mechanisms over thirteen independently editable subjects. Several compatible mechanisms may coexist on one subject. Twelve belief sets are explicit partial copy-on-apply patches: they add only their listed commitments and preserve every unlisted or compatible authored fact. Established societies edit current order through a distinct compositional editor and ten equally explicit current-order sets. There is no Political Profile type, no synthetic mixed option, and no random completion of missing positions. NPC beliefs use the same authored mechanisms at established-society scope; unsupported positions stay unset. During play, pawn political attitudes remain a separate realized state formed from Culture, psychology, Ideoligion, material interest, institutional experience, threat, held beliefs, proposition knowledge, and represented issue networks. Faction-bounded coalitions can emerge from that state without rewriting Political Beliefs or current order.</w:t>
      </w:r>
    </w:p>
    <w:p>
      <w:r>
        <w:t>RimWorld's native Ideoligion chooser remains first-class inside this coordinated flow. Native presets, saved Ideoligions, fixed and fluid creation, memes, precepts, roles, rituals, validation, and persistence remain native. CA preserves the neighboring Culture, Political Beliefs, and founding-order draft when the player enters and returns from that chooser. Political Beliefs state what a population considers proper; adopted rules and observed practice state what is actually in force. Agreement and contradiction both remain meaningful state.</w:t>
      </w:r>
    </w:p>
    <w:p>
      <w:pPr>
        <w:pStyle w:val="Heading1"/>
      </w:pPr>
      <w:r>
        <w:t>Requirements</w:t>
      </w:r>
    </w:p>
    <w:p>
      <w:pPr>
        <w:pStyle w:val="ListBullet"/>
      </w:pPr>
      <w:r>
        <w:t>RimWorld 1.6</w:t>
      </w:r>
    </w:p>
    <w:p>
      <w:pPr>
        <w:pStyle w:val="ListBullet"/>
      </w:pPr>
      <w:r>
        <w:t>Harmony</w:t>
      </w:r>
    </w:p>
    <w:p>
      <w:pPr>
        <w:pStyle w:val="ListBullet"/>
      </w:pPr>
      <w:r>
        <w:t>Biotech</w:t>
      </w:r>
    </w:p>
    <w:p>
      <w:pPr>
        <w:pStyle w:val="ListBullet"/>
      </w:pPr>
      <w:r>
        <w:t>Ideology</w:t>
      </w:r>
    </w:p>
    <w:p>
      <w:r>
        <w:t>The stable package identifier is ellyj3rain.colonistawareness. Dependencies and load order are declared in About/About.xml.</w:t>
      </w:r>
    </w:p>
    <w:p>
      <w:pPr>
        <w:pStyle w:val="Heading1"/>
      </w:pPr>
      <w:r>
        <w:t>Build</w:t>
      </w:r>
    </w:p>
    <w:p>
      <w:r>
        <w:t>From the project root:</w:t>
      </w:r>
    </w:p>
    <w:p>
      <w:pPr>
        <w:ind w:left="288"/>
      </w:pPr>
      <w:r>
        <w:rPr>
          <w:rFonts w:ascii="Cascadia Mono" w:hAnsi="Cascadia Mono"/>
          <w:color w:val="265869"/>
          <w:sz w:val="17"/>
        </w:rPr>
        <w:t>dotnet build Source/ColonistAwareness.csproj -c Release</w:t>
      </w:r>
    </w:p>
    <w:p>
      <w:r>
        <w:t>The Release assembly is written to Assemblies/ColonistAwareness.dll. DLL changes require a full RimWorld restart.</w:t>
      </w:r>
    </w:p>
    <w:p>
      <w:pPr>
        <w:pStyle w:val="Heading1"/>
      </w:pPr>
      <w:r>
        <w:t>Project map</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Path</w:t>
            </w:r>
          </w:p>
        </w:tc>
        <w:tc>
          <w:tcPr>
            <w:tcW w:type="dxa" w:w="5083"/>
            <w:shd w:fill="316273"/>
          </w:tcPr>
          <w:p>
            <w:r>
              <w:rPr>
                <w:rFonts w:ascii="Aptos" w:hAnsi="Aptos"/>
                <w:b/>
                <w:color w:val="FFFFFF"/>
                <w:sz w:val="16"/>
              </w:rPr>
              <w:t>Purpose</w:t>
            </w:r>
          </w:p>
        </w:tc>
      </w:tr>
      <w:tr>
        <w:trPr>
          <w:cantSplit/>
        </w:trPr>
        <w:tc>
          <w:tcPr>
            <w:tcW w:type="dxa" w:w="5083"/>
          </w:tcPr>
          <w:p>
            <w:r>
              <w:rPr>
                <w:rFonts w:ascii="Aptos" w:hAnsi="Aptos"/>
                <w:sz w:val="16"/>
              </w:rPr>
              <w:t>Source/</w:t>
            </w:r>
          </w:p>
        </w:tc>
        <w:tc>
          <w:tcPr>
            <w:tcW w:type="dxa" w:w="5083"/>
          </w:tcPr>
          <w:p>
            <w:r>
              <w:rPr>
                <w:rFonts w:ascii="Aptos" w:hAnsi="Aptos"/>
                <w:sz w:val="16"/>
              </w:rPr>
              <w:t>C# implementation</w:t>
            </w:r>
          </w:p>
        </w:tc>
      </w:tr>
      <w:tr>
        <w:trPr>
          <w:cantSplit/>
        </w:trPr>
        <w:tc>
          <w:tcPr>
            <w:tcW w:type="dxa" w:w="5083"/>
            <w:shd w:fill="EAF1F3"/>
          </w:tcPr>
          <w:p>
            <w:r>
              <w:rPr>
                <w:rFonts w:ascii="Aptos" w:hAnsi="Aptos"/>
                <w:sz w:val="16"/>
              </w:rPr>
              <w:t>Defs/, Patches/</w:t>
            </w:r>
          </w:p>
        </w:tc>
        <w:tc>
          <w:tcPr>
            <w:tcW w:type="dxa" w:w="5083"/>
            <w:shd w:fill="EAF1F3"/>
          </w:tcPr>
          <w:p>
            <w:r>
              <w:rPr>
                <w:rFonts w:ascii="Aptos" w:hAnsi="Aptos"/>
                <w:sz w:val="16"/>
              </w:rPr>
              <w:t>RimWorld definitions and integration patches</w:t>
            </w:r>
          </w:p>
        </w:tc>
      </w:tr>
      <w:tr>
        <w:trPr>
          <w:cantSplit/>
        </w:trPr>
        <w:tc>
          <w:tcPr>
            <w:tcW w:type="dxa" w:w="5083"/>
          </w:tcPr>
          <w:p>
            <w:r>
              <w:rPr>
                <w:rFonts w:ascii="Aptos" w:hAnsi="Aptos"/>
                <w:sz w:val="16"/>
              </w:rPr>
              <w:t>Languages/English/</w:t>
            </w:r>
          </w:p>
        </w:tc>
        <w:tc>
          <w:tcPr>
            <w:tcW w:type="dxa" w:w="5083"/>
          </w:tcPr>
          <w:p>
            <w:r>
              <w:rPr>
                <w:rFonts w:ascii="Aptos" w:hAnsi="Aptos"/>
                <w:sz w:val="16"/>
              </w:rPr>
              <w:t>Player-facing English text</w:t>
            </w:r>
          </w:p>
        </w:tc>
      </w:tr>
      <w:tr>
        <w:trPr>
          <w:cantSplit/>
        </w:trPr>
        <w:tc>
          <w:tcPr>
            <w:tcW w:type="dxa" w:w="5083"/>
            <w:shd w:fill="EAF1F3"/>
          </w:tcPr>
          <w:p>
            <w:r>
              <w:rPr>
                <w:rFonts w:ascii="Aptos" w:hAnsi="Aptos"/>
                <w:sz w:val="16"/>
              </w:rPr>
              <w:t>About/</w:t>
            </w:r>
          </w:p>
        </w:tc>
        <w:tc>
          <w:tcPr>
            <w:tcW w:type="dxa" w:w="5083"/>
            <w:shd w:fill="EAF1F3"/>
          </w:tcPr>
          <w:p>
            <w:r>
              <w:rPr>
                <w:rFonts w:ascii="Aptos" w:hAnsi="Aptos"/>
                <w:sz w:val="16"/>
              </w:rPr>
              <w:t>Mod metadata and dependency declaration</w:t>
            </w:r>
          </w:p>
        </w:tc>
      </w:tr>
      <w:tr>
        <w:trPr>
          <w:cantSplit/>
        </w:trPr>
        <w:tc>
          <w:tcPr>
            <w:tcW w:type="dxa" w:w="5083"/>
          </w:tcPr>
          <w:p>
            <w:r>
              <w:rPr>
                <w:rFonts w:ascii="Aptos" w:hAnsi="Aptos"/>
                <w:sz w:val="16"/>
              </w:rPr>
              <w:t>ARCHITECTURE.md</w:t>
            </w:r>
          </w:p>
        </w:tc>
        <w:tc>
          <w:tcPr>
            <w:tcW w:type="dxa" w:w="5083"/>
          </w:tcPr>
          <w:p>
            <w:r>
              <w:rPr>
                <w:rFonts w:ascii="Aptos" w:hAnsi="Aptos"/>
                <w:sz w:val="16"/>
              </w:rPr>
              <w:t>Current framework architecture and ownership</w:t>
            </w:r>
          </w:p>
        </w:tc>
      </w:tr>
      <w:tr>
        <w:trPr>
          <w:cantSplit/>
        </w:trPr>
        <w:tc>
          <w:tcPr>
            <w:tcW w:type="dxa" w:w="5083"/>
            <w:shd w:fill="EAF1F3"/>
          </w:tcPr>
          <w:p>
            <w:r>
              <w:rPr>
                <w:rFonts w:ascii="Aptos" w:hAnsi="Aptos"/>
                <w:sz w:val="16"/>
              </w:rPr>
              <w:t>GOVERNANCE.md</w:t>
            </w:r>
          </w:p>
        </w:tc>
        <w:tc>
          <w:tcPr>
            <w:tcW w:type="dxa" w:w="5083"/>
            <w:shd w:fill="EAF1F3"/>
          </w:tcPr>
          <w:p>
            <w:r>
              <w:rPr>
                <w:rFonts w:ascii="Aptos" w:hAnsi="Aptos"/>
                <w:sz w:val="16"/>
              </w:rPr>
              <w:t>Project operating rules</w:t>
            </w:r>
          </w:p>
        </w:tc>
      </w:tr>
      <w:tr>
        <w:trPr>
          <w:cantSplit/>
        </w:trPr>
        <w:tc>
          <w:tcPr>
            <w:tcW w:type="dxa" w:w="5083"/>
          </w:tcPr>
          <w:p>
            <w:r>
              <w:rPr>
                <w:rFonts w:ascii="Aptos" w:hAnsi="Aptos"/>
                <w:sz w:val="16"/>
              </w:rPr>
              <w:t>SESSION_STATE.md</w:t>
            </w:r>
          </w:p>
        </w:tc>
        <w:tc>
          <w:tcPr>
            <w:tcW w:type="dxa" w:w="5083"/>
          </w:tcPr>
          <w:p>
            <w:r>
              <w:rPr>
                <w:rFonts w:ascii="Aptos" w:hAnsi="Aptos"/>
                <w:sz w:val="16"/>
              </w:rPr>
              <w:t>Current build, deployment, fixture, and runtime-test boundary</w:t>
            </w:r>
          </w:p>
        </w:tc>
      </w:tr>
      <w:tr>
        <w:trPr>
          <w:cantSplit/>
        </w:trPr>
        <w:tc>
          <w:tcPr>
            <w:tcW w:type="dxa" w:w="5083"/>
            <w:shd w:fill="EAF1F3"/>
          </w:tcPr>
          <w:p>
            <w:r>
              <w:rPr>
                <w:rFonts w:ascii="Aptos" w:hAnsi="Aptos"/>
                <w:sz w:val="16"/>
              </w:rPr>
              <w:t>Batches/</w:t>
            </w:r>
          </w:p>
        </w:tc>
        <w:tc>
          <w:tcPr>
            <w:tcW w:type="dxa" w:w="5083"/>
            <w:shd w:fill="EAF1F3"/>
          </w:tcPr>
          <w:p>
            <w:r>
              <w:rPr>
                <w:rFonts w:ascii="Aptos" w:hAnsi="Aptos"/>
                <w:sz w:val="16"/>
              </w:rPr>
              <w:t>Append-only batch records in one alphanumeric namespace</w:t>
            </w:r>
          </w:p>
        </w:tc>
      </w:tr>
      <w:tr>
        <w:trPr>
          <w:cantSplit/>
        </w:trPr>
        <w:tc>
          <w:tcPr>
            <w:tcW w:type="dxa" w:w="5083"/>
          </w:tcPr>
          <w:p>
            <w:r>
              <w:rPr>
                <w:rFonts w:ascii="Aptos" w:hAnsi="Aptos"/>
                <w:sz w:val="16"/>
              </w:rPr>
              <w:t>BATCH_LOG.md</w:t>
            </w:r>
          </w:p>
        </w:tc>
        <w:tc>
          <w:tcPr>
            <w:tcW w:type="dxa" w:w="5083"/>
          </w:tcPr>
          <w:p>
            <w:r>
              <w:rPr>
                <w:rFonts w:ascii="Aptos" w:hAnsi="Aptos"/>
                <w:sz w:val="16"/>
              </w:rPr>
              <w:t>Chronological batch catalog</w:t>
            </w:r>
          </w:p>
        </w:tc>
      </w:tr>
      <w:tr>
        <w:trPr>
          <w:cantSplit/>
        </w:trPr>
        <w:tc>
          <w:tcPr>
            <w:tcW w:type="dxa" w:w="5083"/>
            <w:shd w:fill="EAF1F3"/>
          </w:tcPr>
          <w:p>
            <w:r>
              <w:rPr>
                <w:rFonts w:ascii="Aptos" w:hAnsi="Aptos"/>
                <w:sz w:val="16"/>
              </w:rPr>
              <w:t>Batches/THREADS.md</w:t>
            </w:r>
          </w:p>
        </w:tc>
        <w:tc>
          <w:tcPr>
            <w:tcW w:type="dxa" w:w="5083"/>
            <w:shd w:fill="EAF1F3"/>
          </w:tcPr>
          <w:p>
            <w:r>
              <w:rPr>
                <w:rFonts w:ascii="Aptos" w:hAnsi="Aptos"/>
                <w:sz w:val="16"/>
              </w:rPr>
              <w:t>Series-neutral thematic classification</w:t>
            </w:r>
          </w:p>
        </w:tc>
      </w:tr>
      <w:tr>
        <w:trPr>
          <w:cantSplit/>
        </w:trPr>
        <w:tc>
          <w:tcPr>
            <w:tcW w:type="dxa" w:w="5083"/>
          </w:tcPr>
          <w:p>
            <w:r>
              <w:rPr>
                <w:rFonts w:ascii="Aptos" w:hAnsi="Aptos"/>
                <w:sz w:val="16"/>
              </w:rPr>
              <w:t>VERSION_MAP.md</w:t>
            </w:r>
          </w:p>
        </w:tc>
        <w:tc>
          <w:tcPr>
            <w:tcW w:type="dxa" w:w="5083"/>
          </w:tcPr>
          <w:p>
            <w:r>
              <w:rPr>
                <w:rFonts w:ascii="Aptos" w:hAnsi="Aptos"/>
                <w:sz w:val="16"/>
              </w:rPr>
              <w:t>Chronological, tier-bearing version units</w:t>
            </w:r>
          </w:p>
        </w:tc>
      </w:tr>
      <w:tr>
        <w:trPr>
          <w:cantSplit/>
        </w:trPr>
        <w:tc>
          <w:tcPr>
            <w:tcW w:type="dxa" w:w="5083"/>
            <w:shd w:fill="EAF1F3"/>
          </w:tcPr>
          <w:p>
            <w:r>
              <w:rPr>
                <w:rFonts w:ascii="Aptos" w:hAnsi="Aptos"/>
                <w:sz w:val="16"/>
              </w:rPr>
              <w:t>tools/version-model.mjs</w:t>
            </w:r>
          </w:p>
        </w:tc>
        <w:tc>
          <w:tcPr>
            <w:tcW w:type="dxa" w:w="5083"/>
            <w:shd w:fill="EAF1F3"/>
          </w:tcPr>
          <w:p>
            <w:r>
              <w:rPr>
                <w:rFonts w:ascii="Aptos" w:hAnsi="Aptos"/>
                <w:sz w:val="16"/>
              </w:rPr>
              <w:t>Version replay, generated stamps, and structural checks</w:t>
            </w:r>
          </w:p>
        </w:tc>
      </w:tr>
      <w:tr>
        <w:trPr>
          <w:cantSplit/>
        </w:trPr>
        <w:tc>
          <w:tcPr>
            <w:tcW w:type="dxa" w:w="5083"/>
          </w:tcPr>
          <w:p>
            <w:r>
              <w:rPr>
                <w:rFonts w:ascii="Aptos" w:hAnsi="Aptos"/>
                <w:sz w:val="16"/>
              </w:rPr>
              <w:t>B10_CAUSAL_PROVENANCE_AUDIT.md</w:t>
            </w:r>
          </w:p>
        </w:tc>
        <w:tc>
          <w:tcPr>
            <w:tcW w:type="dxa" w:w="5083"/>
          </w:tcPr>
          <w:p>
            <w:r>
              <w:rPr>
                <w:rFonts w:ascii="Aptos" w:hAnsi="Aptos"/>
                <w:sz w:val="16"/>
              </w:rPr>
              <w:t>Current causal owners, corrected proxies, program contracts, and institution-asset classifications</w:t>
            </w:r>
          </w:p>
        </w:tc>
      </w:tr>
      <w:tr>
        <w:trPr>
          <w:cantSplit/>
        </w:trPr>
        <w:tc>
          <w:tcPr>
            <w:tcW w:type="dxa" w:w="5083"/>
            <w:shd w:fill="EAF1F3"/>
          </w:tcPr>
          <w:p>
            <w:r>
              <w:rPr>
                <w:rFonts w:ascii="Aptos" w:hAnsi="Aptos"/>
                <w:sz w:val="16"/>
              </w:rPr>
              <w:t>MODULE_OWNERSHIP.md</w:t>
            </w:r>
          </w:p>
        </w:tc>
        <w:tc>
          <w:tcPr>
            <w:tcW w:type="dxa" w:w="5083"/>
            <w:shd w:fill="EAF1F3"/>
          </w:tcPr>
          <w:p>
            <w:r>
              <w:rPr>
                <w:rFonts w:ascii="Aptos" w:hAnsi="Aptos"/>
                <w:sz w:val="16"/>
              </w:rPr>
              <w:t>Authoritative module, mutation, cadence, cache, and diagnostics ownership</w:t>
            </w:r>
          </w:p>
        </w:tc>
      </w:tr>
      <w:tr>
        <w:trPr>
          <w:cantSplit/>
        </w:trPr>
        <w:tc>
          <w:tcPr>
            <w:tcW w:type="dxa" w:w="5083"/>
          </w:tcPr>
          <w:p>
            <w:r>
              <w:rPr>
                <w:rFonts w:ascii="Aptos" w:hAnsi="Aptos"/>
                <w:sz w:val="16"/>
              </w:rPr>
              <w:t>SCHEMA_REGISTRY.md, PERSISTENCE_CENSUS.md, CAMPAIGN_COMPATIBILITY.md</w:t>
            </w:r>
          </w:p>
        </w:tc>
        <w:tc>
          <w:tcPr>
            <w:tcW w:type="dxa" w:w="5083"/>
          </w:tcPr>
          <w:p>
            <w:r>
              <w:rPr>
                <w:rFonts w:ascii="Aptos" w:hAnsi="Aptos"/>
                <w:sz w:val="16"/>
              </w:rPr>
              <w:t>Durable campaign schema, independent source-writer census, preflight, migration, update, and rollback contracts</w:t>
            </w:r>
          </w:p>
        </w:tc>
      </w:tr>
      <w:tr>
        <w:trPr>
          <w:cantSplit/>
        </w:trPr>
        <w:tc>
          <w:tcPr>
            <w:tcW w:type="dxa" w:w="5083"/>
            <w:shd w:fill="EAF1F3"/>
          </w:tcPr>
          <w:p>
            <w:r>
              <w:rPr>
                <w:rFonts w:ascii="Aptos" w:hAnsi="Aptos"/>
                <w:sz w:val="16"/>
              </w:rPr>
              <w:t>AUTHORING_ONTOLOGY_COVERAGE.md</w:t>
            </w:r>
          </w:p>
        </w:tc>
        <w:tc>
          <w:tcPr>
            <w:tcW w:type="dxa" w:w="5083"/>
            <w:shd w:fill="EAF1F3"/>
          </w:tcPr>
          <w:p>
            <w:r>
              <w:rPr>
                <w:rFonts w:ascii="Aptos" w:hAnsi="Aptos"/>
                <w:sz w:val="16"/>
              </w:rPr>
              <w:t>Production social/political vocabulary, mechanics coverage, control contracts, categories, and exclusions</w:t>
            </w:r>
          </w:p>
        </w:tc>
      </w:tr>
      <w:tr>
        <w:trPr>
          <w:cantSplit/>
        </w:trPr>
        <w:tc>
          <w:tcPr>
            <w:tcW w:type="dxa" w:w="5083"/>
          </w:tcPr>
          <w:p>
            <w:r>
              <w:rPr>
                <w:rFonts w:ascii="Aptos" w:hAnsi="Aptos"/>
                <w:sz w:val="16"/>
              </w:rPr>
              <w:t>B13_CAUSAL_CONTRACT.md, CULTURE_RESEARCH_CORPUS.md</w:t>
            </w:r>
          </w:p>
        </w:tc>
        <w:tc>
          <w:tcPr>
            <w:tcW w:type="dxa" w:w="5083"/>
          </w:tcPr>
          <w:p>
            <w:r>
              <w:rPr>
                <w:rFonts w:ascii="Aptos" w:hAnsi="Aptos"/>
                <w:sz w:val="16"/>
              </w:rPr>
              <w:t>Current twenty-four-question Culture ownership, source basis, causal separations, consumers, feedback, and calibration limits</w:t>
            </w:r>
          </w:p>
        </w:tc>
      </w:tr>
      <w:tr>
        <w:trPr>
          <w:cantSplit/>
        </w:trPr>
        <w:tc>
          <w:tcPr>
            <w:tcW w:type="dxa" w:w="5083"/>
            <w:shd w:fill="EAF1F3"/>
          </w:tcPr>
          <w:p>
            <w:r>
              <w:rPr>
                <w:rFonts w:ascii="Aptos" w:hAnsi="Aptos"/>
                <w:sz w:val="16"/>
              </w:rPr>
              <w:t>CULTURAL_COGNITION_RESEARCH.md, B12_CULTURE_QUESTION_AUDIT.md</w:t>
            </w:r>
          </w:p>
        </w:tc>
        <w:tc>
          <w:tcPr>
            <w:tcW w:type="dxa" w:w="5083"/>
            <w:shd w:fill="EAF1F3"/>
          </w:tcPr>
          <w:p>
            <w:r>
              <w:rPr>
                <w:rFonts w:ascii="Aptos" w:hAnsi="Aptos"/>
                <w:sz w:val="16"/>
              </w:rPr>
              <w:t>B12 research and migration evidence retained beneath the B13 completion</w:t>
            </w:r>
          </w:p>
        </w:tc>
      </w:tr>
      <w:tr>
        <w:trPr>
          <w:cantSplit/>
        </w:trPr>
        <w:tc>
          <w:tcPr>
            <w:tcW w:type="dxa" w:w="5083"/>
          </w:tcPr>
          <w:p>
            <w:r>
              <w:rPr>
                <w:rFonts w:ascii="Aptos" w:hAnsi="Aptos"/>
                <w:sz w:val="16"/>
              </w:rPr>
              <w:t>B13_ACCEPTANCE_RECEIPTS.md, B13_REVIEW_RECEIPT.md</w:t>
            </w:r>
          </w:p>
        </w:tc>
        <w:tc>
          <w:tcPr>
            <w:tcW w:type="dxa" w:w="5083"/>
          </w:tcPr>
          <w:p>
            <w:r>
              <w:rPr>
                <w:rFonts w:ascii="Aptos" w:hAnsi="Aptos"/>
                <w:sz w:val="16"/>
              </w:rPr>
              <w:t>Executable B13 closure and independent causal, structural, and surface review evidence</w:t>
            </w:r>
          </w:p>
        </w:tc>
      </w:tr>
    </w:tbl>
    <w:p>
      <w:pPr>
        <w:pStyle w:val="Heading1"/>
      </w:pPr>
      <w:r>
        <w:t>Project history</w:t>
      </w:r>
    </w:p>
    <w:p>
      <w:r>
        <w:t>The governed batch and provenance records are the portable project history. They travel with the current tree and do not depend on a particular Git host. A1 through A102 and the continuing B batches share one chronological namespace under Batches/. BATCH_LOG.md is the chronological view, Batches/THREADS.md connects related work across time, and VERSION_MAP.md partitions contiguous development into capability-coherent version units under the four-coordinate odometer.</w:t>
      </w:r>
    </w:p>
    <w:p>
      <w:r>
        <w:t>Run the governance check with:</w:t>
      </w:r>
    </w:p>
    <w:p>
      <w:pPr>
        <w:ind w:left="288"/>
      </w:pPr>
      <w:r>
        <w:rPr>
          <w:rFonts w:ascii="Cascadia Mono" w:hAnsi="Cascadia Mono"/>
          <w:color w:val="265869"/>
          <w:sz w:val="17"/>
        </w:rPr>
        <w:t>node tools/version-model.mjs --check</w:t>
      </w:r>
    </w:p>
    <w:p>
      <w:r>
        <w:t>Local Git may retain engineering history. A published forge is a distribution surface, not the project identity or the authority for its portable history.</w:t>
      </w:r>
    </w:p>
    <w:p>
      <w:pPr>
        <w:pStyle w:val="Heading1"/>
      </w:pPr>
      <w:r>
        <w:t>Verification boundary</w:t>
      </w:r>
    </w:p>
    <w:p>
      <w:r>
        <w:t>Executable receipts cover authoring ownership, creation navigation, founding state, World tendencies, behavior authorization, Culture distributions, psychology, private/public attitudes, sparse influence, political formation, institutional legitimacy and sanctions, proposition knowledge, Culture history, domestic identity, capability evidence, operational programs, provision operators, fixture/runtime equivalence, and derived-state stability. Static receipts, builds, hashes, and reviews establish that a candidate is ready for the operator; they do not establish how the game looks or plays. See SESSION_STATE.md for the exact current assembly, deployment, fixture, and remaining RimWorld observations.</w:t>
      </w:r>
    </w:p>
    <w:p>
      <w:pPr>
        <w:pStyle w:val="Heading1"/>
      </w:pPr>
      <w:r>
        <w:t>License and provenance</w:t>
      </w:r>
    </w:p>
    <w:p>
      <w:r>
        <w:t>Colonist Awareness is licensed under GPL-3.0. See LICENSE, CREDITS.md, and UPSTREAM_SOURCES.md for attribution and incorporated-source provenance.</w:t>
      </w:r>
    </w:p>
    <w:sectPr w:rsidR="00FC693F" w:rsidRPr="0006063C" w:rsidSect="00034616">
      <w:footerReference w:type="default" r:id="rId9"/>
      <w:pgSz w:w="12240" w:h="15840"/>
      <w:pgMar w:top="749" w:right="1037" w:bottom="74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Colonist Awareness Overhaul | 1.4.1.0-alpha | B13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62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Current project README</dc:subject>
  <dc:creator>ellyj3rain</dc:creator>
  <cp:keywords>RimWorld, Colonist Awareness, B13, Culture</cp:keywords>
  <dc:description>generated by python-docx</dc:description>
  <cp:lastModifiedBy/>
  <cp:revision>1</cp:revision>
  <dcterms:created xsi:type="dcterms:W3CDTF">2013-12-23T23:15:00Z</dcterms:created>
  <dcterms:modified xsi:type="dcterms:W3CDTF">2013-12-23T23:15:00Z</dcterms:modified>
  <cp:category/>
</cp:coreProperties>
</file>