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1.6.0.0-alpha. Implementation is complete through batch B15; B16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Region lists the factions and settlements already present, Map owns spatial selection and area assignment, and Details edits the selected region, faction, or settlement. One valid option is shown as a fact only when it matters, not as a button, and generation provenance remains diagnostic rather than player copy.</w:t>
      </w:r>
    </w:p>
    <w:p>
      <w: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t>Biome and terrain are also causal. The selected ground derives explicit requirements for shelter, temperature control, food, reserves, medicine, safe water, light, environmental protection, and breathable space. Advanced populations may consider hostile ground, but established settlements must satisfy its requirements through their actual programs and faction capability. Frontier residents appear only after the smaller site has materialized its supported habitat; unsupported frontier hazard and vacuum sites fail closed. Autonomous construction ranks otherwise valid candidates by composable functional, circulation, expansion, environmental, defensive, material, and visual-order evidence drawn from PLAYER_BASE_PATTERN_CORPUS.md, without a style toggle or copied base plan. One extractor now normalizes full .rws saves and structured Real Ruins .bp snapshots. The operator's early/combat-precarity evidence remains distinct from broad anonymous layout screening and from the complementary mature mid/end-game evidence it does not supply. The current broad screen contains 4,238 complete byte-unique layouts across 80 biome definitions, with a portable exact cohort manifest and lineage-safe experimental partitions; source-truncated fragments remain quarantined from complete-base evidence.</w:t>
      </w:r>
    </w:p>
    <w:p>
      <w:r>
        <w:t>Culture is persistent social history with substantive inherited state. Its current admitted authoring registry is a population distribution over twenty-four explicit questions in eight categories: relationships and family, gender and social authority, status and hierarchy, membership and outsiders, public authority and social order, property and provision, violence and punishment, and knowledge and tradition. Each question has five ordered anchors, a center, population spread, norm and evidence settings, provenance, historical feedback, and material consumers. This is the current internally complete registry, not evidence that every culturally variable RimWorld mechanic has already been interpreted. Concrete social subjects remain factual referents; practices remain repeated conduct with actors, conditions, authority, materials, evidence, and consumers. Neither is silently promoted into a Culture question.</w:t>
      </w:r>
    </w:p>
    <w:p>
      <w:r>
        <w:t>The Culture composer groups all eight categories, exposes one Overall disagreement control, and keeps per-value disagreement under More. Twenty-two complete historical and social presets across the Americas, Europe, and Asia, manual editing, saved profiles, and deterministic randomization all write the same Culture object; there is no preset mode or blend state. It also exposes constituents, inherited and current concrete practices, historical evidence, continuity, and the optional native visual style. Exact values round-trip without loss. At runtime a pawn receives a deterministic private position, public expression, attention, inherited-prior strength, perceived social pressure, observation likelihood, knowledge confidence, moral conviction, and uncertainty. Question-specific psychology contributes a small bounded private deviation. Sparse represented influence may change those attitudes over time. Direct historical observations persist measured position, spread, represented population, continuity, and source identity before stable pawn appraisal; expertise deference uses demonstrated skill in the factual subject's explicit domain. One event, unchanged evidence, or opening an editor cannot manufacture a Culture change.</w:t>
      </w:r>
    </w:p>
    <w:p>
      <w:r>
        <w:t>Persistent psychology, Culture, native Ideoligion, Political Order, represented institutions, proposition knowledge, actions, and practices remain separate causes and owners. Culture contributes appraisal and the selection of otherwise valid discretionary CA action. It does not override direct player intent or create knowledge, permission, authority, resources, technology, office, land, relationships, institutions, or completed research. Regional pawn appraisal retains the exact settlement institution resolved from the pawn's represented population assignment; local social history and institutional jurisdiction are not reconstructed from faction membership.</w:t>
      </w:r>
    </w:p>
    <w:p>
      <w:r>
        <w:t>Each authored faction also owns one Technological Knowledge composition beside its Culture and Political Order. Nine practical domains separately record what the faction can understand, construct, operate, and maintain. Native research, buildings, recipes, crops, habitat requirements, and autonomous development use one explicit translation into those domains. FactionDef.techLevel may seed a new unauthored faction once and remains a pre-world compatibility fallback; it does not remain the authority after faction state exists. Environmental needs, available knowledge, labor, materials, and realized facilities remain separate causes. Current execution consumers and unused forward-capacity cells are enumerated separately in the B15 consumer matrix.</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Order, represented institutions, material state, and established historical basis are facts about a society already present.</w:t>
            </w:r>
          </w:p>
        </w:tc>
        <w:tc>
          <w:tcPr>
            <w:tcW w:type="dxa" w:w="5083"/>
          </w:tcPr>
          <w:p>
            <w:r>
              <w:rPr>
                <w:rFonts w:ascii="Aptos" w:hAnsi="Aptos"/>
                <w:sz w:val="16"/>
              </w:rPr>
              <w:t>Founders bring inherited Culture, native Ideoligion, and Political Order, then choose the rules instituted at landing. Local institutions and historical Culture develop through play.</w:t>
            </w:r>
          </w:p>
        </w:tc>
      </w:tr>
    </w:tbl>
    <w:p>
      <w:r>
        <w:t>Society is the shared control surface above the separate component composers. It edits the faction's Culture, Political Order, and Technological Knowledge together without becoming another state owner. Each independently named Society preset carries a complete reusable snapshot of those three components. Applying one validates all three copies, commits them atomically into the faction's ordinary state, and retains no preset key or Society ownership. Each component remains independently editable, and its own preset browser is an optional component-replacement action rather than a parallel Society workflow. The same surface saves reusable three-component user presets. Applying one to an established faction does not rewrite represented institutions; applying one to the founders does not choose Ideoligion or rules at landing. Starting Region may use the same preset while creating an ordinary local faction and settlement; the page separately records its scenario population and map-area assignment. No settlement type, catalog ownership, or preset mode is retained.</w:t>
      </w:r>
    </w:p>
    <w:p>
      <w:r>
        <w:t>Standard play reads the faction's Technological Knowledge directly. Experimental Distributed Knowledge changes only where that same knowledge is available: living pawns, institutions, and records carry domain competencies, redundancy protects them, and the loss or incapacity of an isolated carrier can remove a practical capability. Recruitment, departure, research, and represented custody changes operate on the same ontology; teaching is not yet a shipped transfer mechanism. The mode does not create a second technology system.</w:t>
      </w:r>
    </w:p>
    <w:p>
      <w:r>
        <w:t>Political Order is a complete normative composition over twenty-six concrete questions covering authority, civic life, ownership by economic domain, exchange, work, provision, and security. Blendable questions distribute 100 points among compatible positions; exclusive questions select one answer. Eight complete presets and deterministic generation fill that same editable state. The configured variables generate the order's name, short summary, and political account; an optional custom display name never substitutes prose for the causal model. Existing institutions are shown as separate represented facts instead of a duplicate editable axis grid. During play, pawn political attitudes remain a separate realized state formed from Culture, psychology, Ideoligion, material interest, institutional experience, threat, held beliefs, proposition knowledge, and represented issue networks. Faction-bounded coalitions can emerge from that state without rewriting Political Order or represented institutions.</w:t>
      </w:r>
    </w:p>
    <w:p>
      <w:r>
        <w:t>RimWorld's native Ideoligion chooser remains first-class inside this coordinated flow. Native presets, saved Ideoligions, fixed and fluid creation, memes, precepts, roles, rituals, validation, and persistence remain native. CA preserves the neighboring Culture, Political Order, and founding-order draft when the player enters and returns from that chooser. Political Order states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r>
        <w:trPr>
          <w:cantSplit/>
        </w:trPr>
        <w:tc>
          <w:tcPr>
            <w:tcW w:type="dxa" w:w="5083"/>
          </w:tcPr>
          <w:p>
            <w:r>
              <w:rPr>
                <w:rFonts w:ascii="Aptos" w:hAnsi="Aptos"/>
                <w:sz w:val="16"/>
              </w:rPr>
              <w:t>B10_CAUSAL_PROVENANCE_AUDIT.md</w:t>
            </w:r>
          </w:p>
        </w:tc>
        <w:tc>
          <w:tcPr>
            <w:tcW w:type="dxa" w:w="5083"/>
          </w:tcPr>
          <w:p>
            <w:r>
              <w:rPr>
                <w:rFonts w:ascii="Aptos" w:hAnsi="Aptos"/>
                <w:sz w:val="16"/>
              </w:rPr>
              <w:t>Current causal owners, corrected proxies, program contracts, and institution-asset classifications</w:t>
            </w:r>
          </w:p>
        </w:tc>
      </w:tr>
      <w:tr>
        <w:trPr>
          <w:cantSplit/>
        </w:trPr>
        <w:tc>
          <w:tcPr>
            <w:tcW w:type="dxa" w:w="5083"/>
            <w:shd w:fill="EAF1F3"/>
          </w:tcPr>
          <w:p>
            <w:r>
              <w:rPr>
                <w:rFonts w:ascii="Aptos" w:hAnsi="Aptos"/>
                <w:sz w:val="16"/>
              </w:rPr>
              <w:t>MODULE_OWNERSHIP.md</w:t>
            </w:r>
          </w:p>
        </w:tc>
        <w:tc>
          <w:tcPr>
            <w:tcW w:type="dxa" w:w="5083"/>
            <w:shd w:fill="EAF1F3"/>
          </w:tcPr>
          <w:p>
            <w:r>
              <w:rPr>
                <w:rFonts w:ascii="Aptos" w:hAnsi="Aptos"/>
                <w:sz w:val="16"/>
              </w:rPr>
              <w:t>Authoritative module, mutation, cadence, cache, and diagnostics ownership</w:t>
            </w:r>
          </w:p>
        </w:tc>
      </w:tr>
      <w:tr>
        <w:trPr>
          <w:cantSplit/>
        </w:trPr>
        <w:tc>
          <w:tcPr>
            <w:tcW w:type="dxa" w:w="5083"/>
          </w:tcPr>
          <w:p>
            <w:r>
              <w:rPr>
                <w:rFonts w:ascii="Aptos" w:hAnsi="Aptos"/>
                <w:sz w:val="16"/>
              </w:rPr>
              <w:t>SCHEMA_REGISTRY.md, PERSISTENCE_CENSUS.md, CAMPAIGN_COMPATIBILITY.md</w:t>
            </w:r>
          </w:p>
        </w:tc>
        <w:tc>
          <w:tcPr>
            <w:tcW w:type="dxa" w:w="5083"/>
          </w:tcPr>
          <w:p>
            <w:r>
              <w:rPr>
                <w:rFonts w:ascii="Aptos" w:hAnsi="Aptos"/>
                <w:sz w:val="16"/>
              </w:rPr>
              <w:t>Durable campaign schema, independent source-writer census, preflight, migration, update, and rollback contracts</w:t>
            </w:r>
          </w:p>
        </w:tc>
      </w:tr>
      <w:tr>
        <w:trPr>
          <w:cantSplit/>
        </w:trPr>
        <w:tc>
          <w:tcPr>
            <w:tcW w:type="dxa" w:w="5083"/>
            <w:shd w:fill="EAF1F3"/>
          </w:tcPr>
          <w:p>
            <w:r>
              <w:rPr>
                <w:rFonts w:ascii="Aptos" w:hAnsi="Aptos"/>
                <w:sz w:val="16"/>
              </w:rPr>
              <w:t>AUTHORING_ONTOLOGY_COVERAGE.md</w:t>
            </w:r>
          </w:p>
        </w:tc>
        <w:tc>
          <w:tcPr>
            <w:tcW w:type="dxa" w:w="5083"/>
            <w:shd w:fill="EAF1F3"/>
          </w:tcPr>
          <w:p>
            <w:r>
              <w:rPr>
                <w:rFonts w:ascii="Aptos" w:hAnsi="Aptos"/>
                <w:sz w:val="16"/>
              </w:rPr>
              <w:t>Production social/political vocabulary, mechanics coverage, control contracts, categories, and exclusions</w:t>
            </w:r>
          </w:p>
        </w:tc>
      </w:tr>
      <w:tr>
        <w:trPr>
          <w:cantSplit/>
        </w:trPr>
        <w:tc>
          <w:tcPr>
            <w:tcW w:type="dxa" w:w="5083"/>
          </w:tcPr>
          <w:p>
            <w:r>
              <w:rPr>
                <w:rFonts w:ascii="Aptos" w:hAnsi="Aptos"/>
                <w:sz w:val="16"/>
              </w:rPr>
              <w:t>B13_CAUSAL_CONTRACT.md, CULTURE_RESEARCH_CORPUS.md</w:t>
            </w:r>
          </w:p>
        </w:tc>
        <w:tc>
          <w:tcPr>
            <w:tcW w:type="dxa" w:w="5083"/>
          </w:tcPr>
          <w:p>
            <w:r>
              <w:rPr>
                <w:rFonts w:ascii="Aptos" w:hAnsi="Aptos"/>
                <w:sz w:val="16"/>
              </w:rPr>
              <w:t>Current admitted twenty-four-question Culture registry, source basis, causal separations, consumers, feedback, and calibration limits; not an exhaustive playable-mechanics audit</w:t>
            </w:r>
          </w:p>
        </w:tc>
      </w:tr>
      <w:tr>
        <w:trPr>
          <w:cantSplit/>
        </w:trPr>
        <w:tc>
          <w:tcPr>
            <w:tcW w:type="dxa" w:w="5083"/>
            <w:shd w:fill="EAF1F3"/>
          </w:tcPr>
          <w:p>
            <w:r>
              <w:rPr>
                <w:rFonts w:ascii="Aptos" w:hAnsi="Aptos"/>
                <w:sz w:val="16"/>
              </w:rPr>
              <w:t>REGIONAL_GEOGRAPHY_CONTRACT.md</w:t>
            </w:r>
          </w:p>
        </w:tc>
        <w:tc>
          <w:tcPr>
            <w:tcW w:type="dxa" w:w="5083"/>
            <w:shd w:fill="EAF1F3"/>
          </w:tcPr>
          <w:p>
            <w:r>
              <w:rPr>
                <w:rFonts w:ascii="Aptos" w:hAnsi="Aptos"/>
                <w:sz w:val="16"/>
              </w:rPr>
              <w:t>Shared B14 preview and generation identity, supported geography combinations, and fail-closed realization rules</w:t>
            </w:r>
          </w:p>
        </w:tc>
      </w:tr>
      <w:tr>
        <w:trPr>
          <w:cantSplit/>
        </w:trPr>
        <w:tc>
          <w:tcPr>
            <w:tcW w:type="dxa" w:w="5083"/>
          </w:tcPr>
          <w:p>
            <w:r>
              <w:rPr>
                <w:rFonts w:ascii="Aptos" w:hAnsi="Aptos"/>
                <w:sz w:val="16"/>
              </w:rPr>
              <w:t>B15_TECHNOLOGICAL_KNOWLEDGE_CONTRACT.md</w:t>
            </w:r>
          </w:p>
        </w:tc>
        <w:tc>
          <w:tcPr>
            <w:tcW w:type="dxa" w:w="5083"/>
          </w:tcPr>
          <w:p>
            <w:r>
              <w:rPr>
                <w:rFonts w:ascii="Aptos" w:hAnsi="Aptos"/>
                <w:sz w:val="16"/>
              </w:rPr>
              <w:t>Faction-owned technological domains, Society composition, native translation, and standard/distributed availability</w:t>
            </w:r>
          </w:p>
        </w:tc>
      </w:tr>
      <w:tr>
        <w:trPr>
          <w:cantSplit/>
        </w:trPr>
        <w:tc>
          <w:tcPr>
            <w:tcW w:type="dxa" w:w="5083"/>
            <w:shd w:fill="EAF1F3"/>
          </w:tcPr>
          <w:p>
            <w:r>
              <w:rPr>
                <w:rFonts w:ascii="Aptos" w:hAnsi="Aptos"/>
                <w:sz w:val="16"/>
              </w:rPr>
              <w:t>PLAYER_BASE_PATTERN_CORPUS.md, Corpus/PlayerBaseLayouts/, tools/PlayerBaseLayoutExtractor/</w:t>
            </w:r>
          </w:p>
        </w:tc>
        <w:tc>
          <w:tcPr>
            <w:tcW w:type="dxa" w:w="5083"/>
            <w:shd w:fill="EAF1F3"/>
          </w:tcPr>
          <w:p>
            <w:r>
              <w:rPr>
                <w:rFonts w:ascii="Aptos" w:hAnsi="Aptos"/>
                <w:sz w:val="16"/>
              </w:rPr>
              <w:t>Full-save and structured-snapshot layouts, exact provenance and evidence limits, normalized spatial data, and reusable construction relationships; no copied plan or style mode</w:t>
            </w:r>
          </w:p>
        </w:tc>
      </w:tr>
      <w:tr>
        <w:trPr>
          <w:cantSplit/>
        </w:trPr>
        <w:tc>
          <w:tcPr>
            <w:tcW w:type="dxa" w:w="5083"/>
          </w:tcPr>
          <w:p>
            <w:r>
              <w:rPr>
                <w:rFonts w:ascii="Aptos" w:hAnsi="Aptos"/>
                <w:sz w:val="16"/>
              </w:rPr>
              <w:t>CULTURAL_COGNITION_RESEARCH.md, B12_CULTURE_QUESTION_AUDIT.md</w:t>
            </w:r>
          </w:p>
        </w:tc>
        <w:tc>
          <w:tcPr>
            <w:tcW w:type="dxa" w:w="5083"/>
          </w:tcPr>
          <w:p>
            <w:r>
              <w:rPr>
                <w:rFonts w:ascii="Aptos" w:hAnsi="Aptos"/>
                <w:sz w:val="16"/>
              </w:rPr>
              <w:t>B12 research and migration evidence retained beneath the B13 completion</w:t>
            </w:r>
          </w:p>
        </w:tc>
      </w:tr>
      <w:tr>
        <w:trPr>
          <w:cantSplit/>
        </w:trPr>
        <w:tc>
          <w:tcPr>
            <w:tcW w:type="dxa" w:w="5083"/>
            <w:shd w:fill="EAF1F3"/>
          </w:tcPr>
          <w:p>
            <w:r>
              <w:rPr>
                <w:rFonts w:ascii="Aptos" w:hAnsi="Aptos"/>
                <w:sz w:val="16"/>
              </w:rPr>
              <w:t>B13_ACCEPTANCE_RECEIPTS.md, B13_REVIEW_RECEIPT.md, Receipts/B14/, Receipts/B15/</w:t>
            </w:r>
          </w:p>
        </w:tc>
        <w:tc>
          <w:tcPr>
            <w:tcW w:type="dxa" w:w="5083"/>
            <w:shd w:fill="EAF1F3"/>
          </w:tcPr>
          <w:p>
            <w:r>
              <w:rPr>
                <w:rFonts w:ascii="Aptos" w:hAnsi="Aptos"/>
                <w:sz w:val="16"/>
              </w:rPr>
              <w:t>Executable closure, retained-regression, independent review, fixture, build, and deployment evidence</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distributions, psychology, private/public attitudes, sparse influence, political formation, institutional legitimacy and sanctions, proposition knowledge, Culture history,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749" w:right="1037" w:bottom="74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1.6.0.0-alpha | B15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B15, Culture</cp:keywords>
  <dc:description>generated by python-docx</dc:description>
  <cp:lastModifiedBy/>
  <cp:revision>1</cp:revision>
  <dcterms:created xsi:type="dcterms:W3CDTF">2013-12-23T23:15:00Z</dcterms:created>
  <dcterms:modified xsi:type="dcterms:W3CDTF">2013-12-23T23:15:00Z</dcterms:modified>
  <cp:category/>
</cp:coreProperties>
</file>