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Playability and observed behavior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`3.11.0.0-pre-alpha`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`PLAYABILITY.md`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current evidence and implementation limitations.</w:t>
            </w:r>
          </w:p>
        </w:tc>
      </w:tr>
    </w:tbl>
    <w:p/>
    <w:p>
      <w:pPr>
        <w:pStyle w:val="Heading1"/>
      </w:pPr>
      <w:r>
        <w:t>Playability</w:t>
      </w:r>
    </w:p>
    <w:p/>
    <w:p>
      <w:r>
        <w:t>SAO remains pre-alpha. The engine adapters, county records and inspection</w:t>
      </w:r>
    </w:p>
    <w:p>
      <w:r>
        <w:t>surfaces are substantial, but the implementation audit found failures that</w:t>
      </w:r>
    </w:p>
    <w:p>
      <w:r>
        <w:t>can interrupt ordinary behavior or corrupt its evidence. RECEIPTS.md owns</w:t>
      </w:r>
    </w:p>
    <w:p>
      <w:r>
        <w:t>what play has actually established. Offline tests and catalog closure do not</w:t>
      </w:r>
    </w:p>
    <w:p>
      <w:r>
        <w:t>supply that observation.</w:t>
      </w:r>
    </w:p>
    <w:p/>
    <w:p>
      <w:r>
        <w:t>The source coordinate was recalculated during the C consolidation. This</w:t>
      </w:r>
    </w:p>
    <w:p>
      <w:r>
        <w:t>update makes no deployment claim; SESSION_STATE.md identifies the last</w:t>
      </w:r>
    </w:p>
    <w:p>
      <w:r>
        <w:t>verified installation. No play session is requested as a prerequisite for the</w:t>
      </w:r>
    </w:p>
    <w:p>
      <w:r>
        <w:t>mechanical work already authorized.</w:t>
      </w:r>
    </w:p>
    <w:p/>
    <w:p>
      <w:pPr>
        <w:pStyle w:val="Heading2"/>
      </w:pPr>
      <w:r>
        <w:t>Available implementation and its limits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Surface</w:t>
            </w:r>
          </w:p>
        </w:tc>
        <w:tc>
          <w:tcPr>
            <w:tcW w:type="dxa" w:w="2880"/>
          </w:tcPr>
          <w:p>
            <w:r>
              <w:t>Implementation present</w:t>
            </w:r>
          </w:p>
        </w:tc>
        <w:tc>
          <w:tcPr>
            <w:tcW w:type="dxa" w:w="2880"/>
          </w:tcPr>
          <w:p>
            <w:r>
              <w:t>Current limitation</w:t>
            </w:r>
          </w:p>
        </w:tc>
      </w:tr>
      <w:tr>
        <w:tc>
          <w:tcPr>
            <w:tcW w:type="dxa" w:w="2880"/>
          </w:tcPr>
          <w:p>
            <w:r>
              <w:t>People and persistence</w:t>
            </w:r>
          </w:p>
        </w:tc>
        <w:tc>
          <w:tcPr>
            <w:tcW w:type="dxa" w:w="2880"/>
          </w:tcPr>
          <w:p>
            <w:r>
              <w:t>Identity, loaded NPC bodies, materialization, hibernation, complete supported native snapshots and controller reconstruction</w:t>
            </w:r>
          </w:p>
        </w:tc>
        <w:tc>
          <w:tcPr>
            <w:tcW w:type="dxa" w:w="2880"/>
          </w:tcPr>
          <w:p>
            <w:r>
              <w:t>Afflicted return and later Crossed ownership retain one person and controller through interruption/reload. Components outside C54's declared v4 envelope and loaded-world observation remain open.</w:t>
            </w:r>
          </w:p>
        </w:tc>
      </w:tr>
      <w:tr>
        <w:tc>
          <w:tcPr>
            <w:tcW w:type="dxa" w:w="2880"/>
          </w:tcPr>
          <w:p>
            <w:r>
              <w:t>Inspection</w:t>
            </w:r>
          </w:p>
        </w:tc>
        <w:tc>
          <w:tcPr>
            <w:tcW w:type="dxa" w:w="2880"/>
          </w:tcPr>
          <w:p>
            <w:r>
              <w:t>County ledger, standing and person panels, knowledge and development observations</w:t>
            </w:r>
          </w:p>
        </w:tc>
        <w:tc>
          <w:tcPr>
            <w:tcW w:type="dxa" w:w="2880"/>
          </w:tcPr>
          <w:p>
            <w:r>
              <w:t>A visible state or selected branch does not establish that the associated action happened.</w:t>
            </w:r>
          </w:p>
        </w:tc>
      </w:tr>
      <w:tr>
        <w:tc>
          <w:tcPr>
            <w:tcW w:type="dxa" w:w="2880"/>
          </w:tcPr>
          <w:p>
            <w:r>
              <w:t>Movement and travel</w:t>
            </w:r>
          </w:p>
        </w:tc>
        <w:tc>
          <w:tcPr>
            <w:tcW w:type="dxa" w:w="2880"/>
          </w:tcPr>
          <w:p>
            <w:r>
              <w:t>Walking, crossing, boarding and driving adapters</w:t>
            </w:r>
          </w:p>
        </w:tc>
        <w:tc>
          <w:tcPr>
            <w:tcW w:type="dxa" w:w="2880"/>
          </w:tcPr>
          <w:p>
            <w:r>
              <w:t>Driving can cancel its own approach or cancel actual progress; steering and passenger waiting need repair. The engine does support NPC vehicle control.</w:t>
            </w:r>
          </w:p>
        </w:tc>
      </w:tr>
      <w:tr>
        <w:tc>
          <w:tcPr>
            <w:tcW w:type="dxa" w:w="2880"/>
          </w:tcPr>
          <w:p>
            <w:r>
              <w:t>Needs and material actions</w:t>
            </w:r>
          </w:p>
        </w:tc>
        <w:tc>
          <w:tcPr>
            <w:tcW w:type="dxa" w:w="2880"/>
          </w:tcPr>
          <w:p>
            <w:r>
              <w:t>Inventory, food, water, shelter, construction and care primitives; dormant carried food/fluid uses native partial effects with quantity and nutrition accounting</w:t>
            </w:r>
          </w:p>
        </w:tc>
        <w:tc>
          <w:tcPr>
            <w:tcW w:type="dxa" w:w="2880"/>
          </w:tcPr>
          <w:p>
            <w:r>
              <w:t>Ground access, completed loaded actions and unloaded resource producers remain incomplete. Queued treatment can prevent the following CPR action.</w:t>
            </w:r>
          </w:p>
        </w:tc>
      </w:tr>
      <w:tr>
        <w:tc>
          <w:tcPr>
            <w:tcW w:type="dxa" w:w="2880"/>
          </w:tcPr>
          <w:p>
            <w:r>
              <w:t>Social life</w:t>
            </w:r>
          </w:p>
        </w:tc>
        <w:tc>
          <w:tcPr>
            <w:tcW w:type="dxa" w:w="2880"/>
          </w:tcPr>
          <w:p>
            <w:r>
              <w:t>Relationships, companies, claims and exchange; C79 acquired proposals, individual responses, scoped concurrent commitments and completion-backed food delivery across loaded/dormant/external owners</w:t>
            </w:r>
          </w:p>
        </w:tc>
        <w:tc>
          <w:tcPr>
            <w:tcW w:type="dxa" w:w="2880"/>
          </w:tcPr>
          <w:p>
            <w:r>
              <w:t>The first unit covers voluntary coordination and contention. Elections, deliberation, succession, coercive enforcement, physical separation and wider institutional/material producers remain incomplete; loaded-world behavior is unobserved.</w:t>
            </w:r>
          </w:p>
        </w:tc>
      </w:tr>
      <w:tr>
        <w:tc>
          <w:tcPr>
            <w:tcW w:type="dxa" w:w="2880"/>
          </w:tcPr>
          <w:p>
            <w:r>
              <w:t>Health and age</w:t>
            </w:r>
          </w:p>
        </w:tc>
        <w:tc>
          <w:tcPr>
            <w:tcW w:type="dxa" w:w="2880"/>
          </w:tcPr>
          <w:p>
            <w:r>
              <w:t>Infection course, conditions, habits, age, durable brain-health history and medical/inspect graph</w:t>
            </w:r>
          </w:p>
        </w:tc>
        <w:tc>
          <w:tcPr>
            <w:tcW w:type="dxa" w:w="2880"/>
          </w:tcPr>
          <w:p>
            <w:r>
              <w:t>Current physical causes integrate independently of callback partitions and affect memory, decisions, pressure and movement. Healthy-child fear and completed care remain later action repairs.</w:t>
            </w:r>
          </w:p>
        </w:tc>
      </w:tr>
      <w:tr>
        <w:tc>
          <w:tcPr>
            <w:tcW w:type="dxa" w:w="2880"/>
          </w:tcPr>
          <w:p>
            <w:r>
              <w:t>Knowledge and optional integrations</w:t>
            </w:r>
          </w:p>
        </w:tc>
        <w:tc>
          <w:tcPr>
            <w:tcW w:type="dxa" w:w="2880"/>
          </w:tcPr>
          <w:p>
            <w:r>
              <w:t>Perception, remembered opportunities, vehicles, animals and combat adapters</w:t>
            </w:r>
          </w:p>
        </w:tc>
        <w:tc>
          <w:tcPr>
            <w:tcW w:type="dxa" w:w="2880"/>
          </w:tcPr>
          <w:p>
            <w:r>
              <w:t>Animal/human classification, inaccessible compartments and installed prone-state reads need correction.</w:t>
            </w:r>
          </w:p>
        </w:tc>
      </w:tr>
      <w:tr>
        <w:tc>
          <w:tcPr>
            <w:tcW w:type="dxa" w:w="2880"/>
          </w:tcPr>
          <w:p>
            <w:r>
              <w:t>Communication</w:t>
            </w:r>
          </w:p>
        </w:tc>
        <w:tc>
          <w:tcPr>
            <w:tcW w:type="dxa" w:w="2880"/>
          </w:tcPr>
          <w:p>
            <w:r>
              <w:t>Talk and testimony admission; C73 County Wire/player-radio delivery through powered, audible, tuned per-person endpoints with private receipts; C82's packaged trained coordination candidate runs only as a revision/owner-checked shadow</w:t>
            </w:r>
          </w:p>
        </w:tc>
        <w:tc>
          <w:tcPr>
            <w:tcW w:type="dxa" w:w="2880"/>
          </w:tcPr>
          <w:p>
            <w:r>
              <w:t>The bounded model cannot choose a response or create work. Autonomous survivor radio actions, general learned cognition and free-form expression remain unfinished; radio audio, model cost and behavior still need loaded-save observation.</w:t>
            </w:r>
          </w:p>
        </w:tc>
      </w:tr>
      <w:tr>
        <w:tc>
          <w:tcPr>
            <w:tcW w:type="dxa" w:w="2880"/>
          </w:tcPr>
          <w:p>
            <w:r>
              <w:t>Historical starts</w:t>
            </w:r>
          </w:p>
        </w:tc>
        <w:tc>
          <w:tcPr>
            <w:tcW w:type="dxa" w:w="2880"/>
          </w:tcPr>
          <w:p>
            <w:r>
              <w:t>Bounded causal catch-up with progress and diagnostic provenance</w:t>
            </w:r>
          </w:p>
        </w:tc>
        <w:tc>
          <w:tcPr>
            <w:tcW w:type="dxa" w:w="2880"/>
          </w:tcPr>
          <w:p>
            <w:r>
              <w:t>Remaining time consumers and missing producers prevent a full-fidelity claim. A learned accelerator remains unfinished.</w:t>
            </w:r>
          </w:p>
        </w:tc>
      </w:tr>
    </w:tbl>
    <w:p/>
    <w:p>
      <w:r>
        <w:t>The [implementation audit](artifacts/audits/20260919-0356Z-2056PST-c112-c126-implementation-audit.md)</w:t>
      </w:r>
    </w:p>
    <w:p>
      <w:r>
        <w:t>contains controlled counterexamples and source traces. SUBSTRATE.md maps the</w:t>
      </w:r>
    </w:p>
    <w:p>
      <w:r>
        <w:t>producers, their owners and their evidence. ROADMAP.md orders repairs toward</w:t>
      </w:r>
    </w:p>
    <w:p>
      <w:r>
        <w:t>Speakeasy training and later tuning for first play.</w:t>
      </w:r>
    </w:p>
    <w:p/>
    <w:p>
      <w:pPr>
        <w:pStyle w:val="Heading2"/>
      </w:pPr>
      <w:r>
        <w:t>Scope retained</w:t>
      </w:r>
    </w:p>
    <w:p/>
    <w:p>
      <w:r>
        <w:t>The [earlier inventory](Batches/history/Playability-before-consolidation.md)</w:t>
      </w:r>
    </w:p>
    <w:p>
      <w:r>
        <w:t>preserves the original feature descriptions and outstanding observations.</w:t>
      </w:r>
    </w:p>
    <w:p>
      <w:r>
        <w:t>Its claims that NPC driving is engine-impossible, that an errand-radius</w:t>
      </w:r>
    </w:p>
    <w:p>
      <w:r>
        <w:t>setting exists, and that its entire inventory matches the last deploy are</w:t>
      </w:r>
    </w:p>
    <w:p>
      <w:r>
        <w:t>superseded. The detailed construction and other ratified requirements remain</w:t>
      </w:r>
    </w:p>
    <w:p>
      <w:r>
        <w:t>in ROADMAP.md and its preserved scope reference.</w:t>
      </w:r>
    </w:p>
    <w:p/>
    <w:p>
      <w:r>
        <w:t>Settings must describe actual behavior. Optional integrations retain their</w:t>
      </w:r>
    </w:p>
    <w:p>
      <w:r>
        <w:t>ratified absence behavior, and the nuke setting remains off by default.</w:t>
      </w:r>
    </w:p>
    <w:p>
      <w:r>
        <w:t>External compatibility is assessed at each installed interface; a generic</w:t>
      </w:r>
    </w:p>
    <w:p>
      <w:r>
        <w:t>engine API alone does not establish that every composed behavior works.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