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Native window repair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Current state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C112, 2026-10-02 03:28 UTC / 20:28 PST</w:t>
            </w:r>
          </w:p>
        </w:tc>
      </w:tr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DR-053; the whole installed collection and later sources remain candidates</w:t>
            </w:r>
          </w:p>
        </w:tc>
      </w:tr>
      <w:tr>
        <w:tc>
          <w:tcPr>
            <w:tcW w:type="dxa" w:w="4320"/>
          </w:tcPr>
          <w:p>
            <w:r>
              <w:t>Public parent</w:t>
            </w:r>
          </w:p>
        </w:tc>
        <w:tc>
          <w:tcPr>
            <w:tcW w:type="dxa" w:w="4320"/>
          </w:tcPr>
          <w:p>
            <w:r>
              <w:t>C111, `775ade5f3e03587052fd42659308957f42392aa7`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`3.10.3.0-pre-alpha`, derived from 193 closed units</w:t>
            </w:r>
          </w:p>
        </w:tc>
      </w:tr>
      <w:tr>
        <w:tc>
          <w:tcPr>
            <w:tcW w:type="dxa" w:w="4320"/>
          </w:tcPr>
          <w:p>
            <w:r>
              <w:t>Physical owner</w:t>
            </w:r>
          </w:p>
        </w:tc>
        <w:tc>
          <w:tcPr>
            <w:tcW w:type="dxa" w:w="4320"/>
          </w:tcPr>
          <w:p>
            <w:r>
              <w:t>Installed actor-specific native window action and engine window/inventory services</w:t>
            </w:r>
          </w:p>
        </w:tc>
      </w:tr>
      <w:tr>
        <w:tc>
          <w:tcPr>
            <w:tcW w:type="dxa" w:w="4320"/>
          </w:tcPr>
          <w:p>
            <w:r>
              <w:t>Person owners</w:t>
            </w:r>
          </w:p>
        </w:tc>
        <w:tc>
          <w:tcPr>
            <w:tcW w:type="dxa" w:w="4320"/>
          </w:tcPr>
          <w:p>
            <w:r>
              <w:t>Existing SAO perception, Standing, fortification planning, result ledger and private cognition</w:t>
            </w:r>
          </w:p>
        </w:tc>
      </w:tr>
      <w:tr>
        <w:tc>
          <w:tcPr>
            <w:tcW w:type="dxa" w:w="4320"/>
          </w:tcPr>
          <w:p>
            <w:r>
              <w:t>Integration form</w:t>
            </w:r>
          </w:p>
        </w:tc>
        <w:tc>
          <w:tcPr>
            <w:tcW w:type="dxa" w:w="4320"/>
          </w:tcPr>
          <w:p>
            <w:r>
              <w:t>Bespoke optional API wrapper; installed source and assets remain external</w:t>
            </w:r>
          </w:p>
        </w:tc>
      </w:tr>
      <w:tr>
        <w:tc>
          <w:tcPr>
            <w:tcW w:type="dxa" w:w="4320"/>
          </w:tcPr>
          <w:p>
            <w:r>
              <w:t>Verification</w:t>
            </w:r>
          </w:p>
        </w:tc>
        <w:tc>
          <w:tcPr>
            <w:tcW w:type="dxa" w:w="4320"/>
          </w:tcPr>
          <w:p>
            <w:r>
              <w:t>Focused and independent native proofs and version-stamped build pass; the complete normal hook has a separate closing receipt</w:t>
            </w:r>
          </w:p>
        </w:tc>
      </w:tr>
    </w:tbl>
    <w:p/>
    <w:p>
      <w:r>
        <w:t>The existing fortification decision can choose a visible broken window while</w:t>
      </w:r>
    </w:p>
    <w:p>
      <w:r>
        <w:t>the actor stands at its interaction tile, has current permission and carries</w:t>
      </w:r>
    </w:p>
    <w:p>
      <w:r>
        <w:t>the exact replacement pane in their main inventory. A bounded scan considers</w:t>
      </w:r>
    </w:p>
    <w:p>
      <w:r>
        <w:t>three loaded adjoining tiles. The actor's actual sight, facing, floor, reach,</w:t>
      </w:r>
    </w:p>
    <w:p>
      <w:r>
        <w:t>current world and native object membership govern admission.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Authority and result</w:t>
            </w:r>
          </w:p>
        </w:tc>
      </w:tr>
      <w:tr>
        <w:tc>
          <w:tcPr>
            <w:tcW w:type="dxa" w:w="4320"/>
          </w:tcPr>
          <w:p>
            <w:r>
              <w:t>Selection</w:t>
            </w:r>
          </w:p>
        </w:tc>
        <w:tc>
          <w:tcPr>
            <w:tcW w:type="dxa" w:w="4320"/>
          </w:tcPr>
          <w:p>
            <w:r>
              <w:t>Controller's existing fortification purpose requests an exact WindowRepair offer; ordinary boarding remains available</w:t>
            </w:r>
          </w:p>
        </w:tc>
      </w:tr>
      <w:tr>
        <w:tc>
          <w:tcPr>
            <w:tcW w:type="dxa" w:w="4320"/>
          </w:tcPr>
          <w:p>
            <w:r>
              <w:t>Native work</w:t>
            </w:r>
          </w:p>
        </w:tc>
        <w:tc>
          <w:tcPr>
            <w:tcW w:type="dxa" w:w="4320"/>
          </w:tcPr>
          <w:p>
            <w:r>
              <w:t>The admitted installed action binds the person, body, world, window, pane, inventory and original queue; completion rechecks them before executing the original operation</w:t>
            </w:r>
          </w:p>
        </w:tc>
      </w:tr>
      <w:tr>
        <w:tc>
          <w:tcPr>
            <w:tcW w:type="dxa" w:w="4320"/>
          </w:tcPr>
          <w:p>
            <w:r>
              <w:t>Completion</w:t>
            </w:r>
          </w:p>
        </w:tc>
        <w:tc>
          <w:tcPr>
            <w:tcW w:type="dxa" w:w="4320"/>
          </w:tcPr>
          <w:p>
            <w:r>
              <w:t>Actual pane consumption and restored glass produce the canonical person-owned result; interruption and partial effects receive no completed-work credit</w:t>
            </w:r>
          </w:p>
        </w:tc>
      </w:tr>
      <w:tr>
        <w:tc>
          <w:tcPr>
            <w:tcW w:type="dxa" w:w="4320"/>
          </w:tcPr>
          <w:p>
            <w:r>
              <w:t>Planning</w:t>
            </w:r>
          </w:p>
        </w:tc>
        <w:tc>
          <w:tcPr>
            <w:tcW w:type="dxa" w:w="4320"/>
          </w:tcPr>
          <w:p>
            <w:r>
              <w:t>ProceduralPlanning requeries the exact canonical result and acknowledges its own advancement once</w:t>
            </w:r>
          </w:p>
        </w:tc>
      </w:tr>
      <w:tr>
        <w:tc>
          <w:tcPr>
            <w:tcW w:type="dxa" w:w="4320"/>
          </w:tcPr>
          <w:p>
            <w:r>
              <w:t>Private learning</w:t>
            </w:r>
          </w:p>
        </w:tc>
        <w:tc>
          <w:tcPr>
            <w:tcW w:type="dxa" w:w="4320"/>
          </w:tcPr>
          <w:p>
            <w:r>
              <w:t>Cognition requeries the same result; ordinary performed replacement and associative broken-glass to repaired-glass experience retain independent cursors</w:t>
            </w:r>
          </w:p>
        </w:tc>
      </w:tr>
    </w:tbl>
    <w:p/>
    <w:p>
      <w:r>
        <w:t>Player actions retain the same installed physical operation. No wrapper XP,</w:t>
      </w:r>
    </w:p>
    <w:p>
      <w:r>
        <w:t>recipe, hidden building layout or action permission is added. Missing optional</w:t>
      </w:r>
    </w:p>
    <w:p>
      <w:r>
        <w:t>APIs admit no repair. Native physical ownership and current ZAO/Crossed handoff</w:t>
      </w:r>
    </w:p>
    <w:p>
      <w:r>
        <w:t>invalidate an old SAO action before it can complete.</w:t>
      </w:r>
    </w:p>
    <w:p/>
    <w:p>
      <w:r>
        <w:t>Each action owns a sealed private binding capsule. Explicit terminal disposal</w:t>
      </w:r>
    </w:p>
    <w:p>
      <w:r>
        <w:t>and scalar tombstones prevent a delayed callback from recovering a retired</w:t>
      </w:r>
    </w:p>
    <w:p>
      <w:r>
        <w:t>owner. The constructor keeps the native `character` and `window` argument names;</w:t>
      </w:r>
    </w:p>
    <w:p>
      <w:r>
        <w:t>its private capsule is excluded from network argument projection. The installed</w:t>
      </w:r>
    </w:p>
    <w:p>
      <w:r>
        <w:t>Kahlua weak-key behavior and actual native argument projector are measured.</w:t>
      </w:r>
    </w:p>
    <w:p/>
    <w:p>
      <w:r>
        <w:t>Player and NPC stop/perform callbacks require the exact original current queue</w:t>
      </w:r>
    </w:p>
    <w:p>
      <w:r>
        <w:t>and first action. An obsolete callback removes only its own old entry and</w:t>
      </w:r>
    </w:p>
    <w:p>
      <w:r>
        <w:t>acknowledges the old owner. NPC farming cleanup occurs before the original queue</w:t>
      </w:r>
    </w:p>
    <w:p>
      <w:r>
        <w:t>can start a successor. Late death, reset and handoff cancellation retains the</w:t>
      </w:r>
    </w:p>
    <w:p>
      <w:r>
        <w:t>original owner until native stop and queue acknowledgement, with at most 32</w:t>
      </w:r>
    </w:p>
    <w:p>
      <w:r>
        <w:t>independent retries per tick.</w:t>
      </w:r>
    </w:p>
    <w:p/>
    <w:p>
      <w:r>
        <w:t>Offers keep one latest slot per person, capped at 128, and explicitly retire on</w:t>
      </w:r>
    </w:p>
    <w:p>
      <w:r>
        <w:t>replacement, consumption, refusal, death, forget and tick/reset/reload. The plain</w:t>
      </w:r>
    </w:p>
    <w:p>
      <w:r>
        <w:t>person ledger keeps at most 32 results. Planning and learning acknowledgements</w:t>
      </w:r>
    </w:p>
    <w:p>
      <w:r>
        <w:t>remain separate. Disabled or faulted learning retains completed rows while</w:t>
      </w:r>
    </w:p>
    <w:p>
      <w:r>
        <w:t>physical work continues. Native minute/start callbacks replay at most 256 record</w:t>
      </w:r>
    </w:p>
    <w:p>
      <w:r>
        <w:t>lookups and 32 result owners; omitted bounded historical learning is counted.</w:t>
      </w:r>
    </w:p>
    <w:p/>
    <w:p>
      <w:pPr>
        <w:pStyle w:val="Heading2"/>
      </w:pPr>
      <w:r>
        <w:t>Verification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Instrument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Border 232</w:t>
            </w:r>
          </w:p>
        </w:tc>
        <w:tc>
          <w:tcPr>
            <w:tcW w:type="dxa" w:w="4320"/>
          </w:tcPr>
          <w:p>
            <w:r>
              <w:t>152 installed Kahlua/action/queue cases and 43 executing production controls</w:t>
            </w:r>
          </w:p>
        </w:tc>
      </w:tr>
      <w:tr>
        <w:tc>
          <w:tcPr>
            <w:tcW w:type="dxa" w:w="4320"/>
          </w:tcPr>
          <w:p>
            <w:r>
              <w:t>Independent final retake</w:t>
            </w:r>
          </w:p>
        </w:tc>
        <w:tc>
          <w:tcPr>
            <w:tcW w:type="dxa" w:w="4320"/>
          </w:tcPr>
          <w:p>
            <w:r>
              <w:t>60 native checks and seven executing omission controls; five accepted findings closed</w:t>
            </w:r>
          </w:p>
        </w:tc>
      </w:tr>
      <w:tr>
        <w:tc>
          <w:tcPr>
            <w:tcW w:type="dxa" w:w="4320"/>
          </w:tcPr>
          <w:p>
            <w:r>
              <w:t>Private experience</w:t>
            </w:r>
          </w:p>
        </w:tc>
        <w:tc>
          <w:tcPr>
            <w:tcW w:type="dxa" w:w="4320"/>
          </w:tcPr>
          <w:p>
            <w:r>
              <w:t>29 model cases, 49 ledger cases and 1,025 extended assertions, across 89 invocations including 86 controls</w:t>
            </w:r>
          </w:p>
        </w:tc>
      </w:tr>
      <w:tr>
        <w:tc>
          <w:tcPr>
            <w:tcW w:type="dxa" w:w="4320"/>
          </w:tcPr>
          <w:p>
            <w:r>
              <w:t>Native lifetime census after public reanchor</w:t>
            </w:r>
          </w:p>
        </w:tc>
        <w:tc>
          <w:tcPr>
            <w:tcW w:type="dxa" w:w="4320"/>
          </w:tcPr>
          <w:p>
            <w:r>
              <w:t>37 declared person caches and 27 executing controls</w:t>
            </w:r>
          </w:p>
        </w:tc>
      </w:tr>
      <w:tr>
        <w:tc>
          <w:tcPr>
            <w:tcW w:type="dxa" w:w="4320"/>
          </w:tcPr>
          <w:p>
            <w:r>
              <w:t>Namespace and headless checks</w:t>
            </w:r>
          </w:p>
        </w:tc>
        <w:tc>
          <w:tcPr>
            <w:tcW w:type="dxa" w:w="4320"/>
          </w:tcPr>
          <w:p>
            <w:r>
              <w:t>191 globals, 12 writes, four foreign namespaces; loaded-only declaration and its omission control pass</w:t>
            </w:r>
          </w:p>
        </w:tc>
      </w:tr>
      <w:tr>
        <w:tc>
          <w:tcPr>
            <w:tcW w:type="dxa" w:w="4320"/>
          </w:tcPr>
          <w:p>
            <w:r>
              <w:t>Compiler</w:t>
            </w:r>
          </w:p>
        </w:tc>
        <w:tc>
          <w:tcPr>
            <w:tcW w:type="dxa" w:w="4320"/>
          </w:tcPr>
          <w:p>
            <w:r>
              <w:t>Fourteen current normal/debug verdicts: four new and ten retained on five unchanged sources</w:t>
            </w:r>
          </w:p>
        </w:tc>
      </w:tr>
      <w:tr>
        <w:tc>
          <w:tcPr>
            <w:tcW w:type="dxa" w:w="4320"/>
          </w:tcPr>
          <w:p>
            <w:r>
              <w:t>Java package</w:t>
            </w:r>
          </w:p>
        </w:tc>
        <w:tc>
          <w:tcPr>
            <w:tcW w:type="dxa" w:w="4320"/>
          </w:tcPr>
          <w:p>
            <w:r>
              <w:t>44 source files, 96 packaged classes; both shipped JARs have identical bytes and the current version stamp</w:t>
            </w:r>
          </w:p>
        </w:tc>
      </w:tr>
    </w:tbl>
    <w:p/>
    <w:p>
      <w:r>
        <w:t>The installed Build 42.21 engine has SHA256</w:t>
      </w:r>
    </w:p>
    <w:p>
      <w:r>
        <w:t>`e1a69eb743ede60b213a0fe7f8b83d4fcab773036d256cc4543a336f3b058a33`.</w:t>
      </w:r>
    </w:p>
    <w:p>
      <w:r>
        <w:t>The installed Repairable Windows 2.1.0 `AddWindowAction.lua` has SHA256</w:t>
      </w:r>
    </w:p>
    <w:p>
      <w:r>
        <w:t>`6b193b10a6472026ccf45eac1979b4a3bea070344de85b5158d308ae381eea4f`.</w:t>
      </w:r>
    </w:p>
    <w:p>
      <w:r>
        <w:t>Its completion lines 35-47 mutate the window before checking pane removal;</w:t>
      </w:r>
    </w:p>
    <w:p>
      <w:r>
        <w:t>the wrapper closes that reproduced material race. StarlitLibrary supplies the</w:t>
      </w:r>
    </w:p>
    <w:p>
      <w:r>
        <w:t>optional source's dependency. Source redistribution permission is unestablished.</w:t>
      </w:r>
    </w:p>
    <w:p/>
    <w:p>
      <w:r>
        <w:t>[The proof summary](focused-proof-summary.json) pins the exact sources and</w:t>
      </w:r>
    </w:p>
    <w:p>
      <w:r>
        <w:t>retained local evidence. Earlier failed fixtures, weak-key retention, obsolete</w:t>
      </w:r>
    </w:p>
    <w:p>
      <w:r>
        <w:t>queue cleanup and NPC flag-order counterexamples remain preserved. The final</w:t>
      </w:r>
    </w:p>
    <w:p>
      <w:r>
        <w:t>passing successor determines the proof counts above. The normal commit hook</w:t>
      </w:r>
    </w:p>
    <w:p>
      <w:r>
        <w:t>runs the complete repository gate and records its log, exit and commit identity</w:t>
      </w:r>
    </w:p>
    <w:p>
      <w:r>
        <w:t>separately; focused proofs do not substitute for that verdict.</w:t>
      </w:r>
    </w:p>
    <w:p/>
    <w:p>
      <w:r>
        <w:t>Native window, inventory, item, Kahlua, serialization and constructor projection</w:t>
      </w:r>
    </w:p>
    <w:p>
      <w:r>
        <w:t>are executed. Surrounding body, map, clock, network authority, dispatch and</w:t>
      </w:r>
    </w:p>
    <w:p>
      <w:r>
        <w:t>teardown services are controlled. Approach, nested-bag pane transfer, acquisition,</w:t>
      </w:r>
    </w:p>
    <w:p>
      <w:r>
        <w:t>crafting, headless dormant physical repair, multiplayer authority and loaded-game</w:t>
      </w:r>
    </w:p>
    <w:p>
      <w:r>
        <w:t>acceptance remain open. The wider collection, curated traits, clinical ownership,</w:t>
      </w:r>
    </w:p>
    <w:p>
      <w:r>
        <w:t>human growth and education/culture corpus work retain their own producer joins.</w:t>
      </w:r>
    </w:p>
    <w:p>
      <w:r>
        <w:t>R84 model trials, evaluation inputs and saves remain unchanged.</w:t>
      </w:r>
    </w:p>
    <w:p/>
    <w:p>
      <w:r>
        <w:t>Markdown owns the current record. Its DOCX export is a package-checked draft;</w:t>
      </w:r>
    </w:p>
    <w:p>
      <w:r>
        <w:t>visual verification requires the unavailable office renderer.</w:t>
      </w:r>
    </w:p>
    <w:p/>
    <w:p>
      <w:pPr>
        <w:pStyle w:val="Heading2"/>
      </w:pPr>
      <w:r>
        <w:t>Complete-hook corrections</w:t>
      </w:r>
    </w:p>
    <w:p/>
    <w:p>
      <w:r>
        <w:t>The first complete normal hook exited 1 after all 1,314 lines were</w:t>
      </w:r>
    </w:p>
    <w:p>
      <w:r>
        <w:t>reviewed. Borders 47 and 49 found a bare squared reach; Border 191</w:t>
      </w:r>
    </w:p>
    <w:p>
      <w:r>
        <w:t>found the historical capture manifest bound to the earlier Controller.</w:t>
      </w:r>
    </w:p>
    <w:p>
      <w:r>
        <w:t>The named two-tile reach preserves the physical threshold. The current</w:t>
      </w:r>
    </w:p>
    <w:p>
      <w:r>
        <w:t>diagonal fixture has squared distance 3.125, and restoring an unsquared</w:t>
      </w:r>
    </w:p>
    <w:p>
      <w:r>
        <w:t>limit fails its executing control. The corrected native proof passes</w:t>
      </w:r>
    </w:p>
    <w:p>
      <w:r>
        <w:t>152 cases and 43 controls; the exact-source independent retake passes</w:t>
      </w:r>
    </w:p>
    <w:p>
      <w:r>
        <w:t>60 checks and seven controls.</w:t>
      </w:r>
    </w:p>
    <w:p/>
    <w:p>
      <w:r>
        <w:t>Border 191 now reads a fresh C112-local coordination snapshot. Its</w:t>
      </w:r>
    </w:p>
    <w:p>
      <w:r>
        <w:t>twenty catalogue/decision rows retain exact historical bytes, partitions</w:t>
      </w:r>
    </w:p>
    <w:p>
      <w:r>
        <w:t>and standing; only the Controller source hash and manifest seal change.</w:t>
      </w:r>
    </w:p>
    <w:p>
      <w:r>
        <w:t>All three native pressure/registration/attribution controls pass. The</w:t>
      </w:r>
    </w:p>
    <w:p>
      <w:r>
        <w:t>original C88 capture remains unchanged. Generation preserved 578 then-current</w:t>
      </w:r>
    </w:p>
    <w:p>
      <w:r>
        <w:t>protected inputs; later closing refresh changes six owned documentation outputs. This</w:t>
      </w:r>
    </w:p>
    <w:p>
      <w:r>
        <w:t>capture remains candidate observation and grants no training admission.</w:t>
      </w:r>
    </w:p>
    <w:p/>
    <w:p>
      <w:r>
        <w:t>The second normal-hook attempt was interrupted by a host restart at</w:t>
      </w:r>
    </w:p>
    <w:p>
      <w:r>
        <w:t>2026-10-02 06:39 UTC / 23:39 PST. Its 958-line log retains a Border 203</w:t>
      </w:r>
    </w:p>
    <w:p>
      <w:r>
        <w:t>control with empty output and subsequent process-launch failures; no final</w:t>
      </w:r>
    </w:p>
    <w:p>
      <w:r>
        <w:t>wrapper exit or source commit exists. Windows shutdown/start events and all</w:t>
      </w:r>
    </w:p>
    <w:p>
      <w:r>
        <w:t>81 unchanged raw/index pins are preserved in `restart-interrupted-candidate-v2/`.</w:t>
      </w:r>
    </w:p>
    <w:p>
      <w:r>
        <w:t>The unchanged pharmacology suite subsequently passes 145 native cases and</w:t>
      </w:r>
    </w:p>
    <w:p>
      <w:r>
        <w:t>30 executing controls, including the interrupted sensitivity control. The</w:t>
      </w:r>
    </w:p>
    <w:p>
      <w:r>
        <w:t>third complete normal-hook attempt records its own log and final exit.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