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C10 - Known needs and social interaction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Product record</w:t>
            </w:r>
          </w:p>
        </w:tc>
      </w:tr>
      <w:tr>
        <w:tc>
          <w:tcPr>
            <w:tcW w:type="dxa" w:w="4320"/>
          </w:tcPr>
          <w:p>
            <w:r>
              <w:t>Batch</w:t>
            </w:r>
          </w:p>
        </w:tc>
        <w:tc>
          <w:tcPr>
            <w:tcW w:type="dxa" w:w="4320"/>
          </w:tcPr>
          <w:p>
            <w:r>
              <w:t>C10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2026-08-29</w:t>
            </w:r>
          </w:p>
        </w:tc>
      </w:tr>
      <w:tr>
        <w:tc>
          <w:tcPr>
            <w:tcW w:type="dxa" w:w="4320"/>
          </w:tcPr>
          <w:p>
            <w:r>
              <w:t>Generation</w:t>
            </w:r>
          </w:p>
        </w:tc>
        <w:tc>
          <w:tcPr>
            <w:tcW w:type="dxa" w:w="4320"/>
          </w:tcPr>
          <w:p>
            <w:r>
              <w:t>20261005-product-consolidation</w:t>
            </w:r>
          </w:p>
        </w:tc>
      </w:tr>
      <w:tr>
        <w:tc>
          <w:tcPr>
            <w:tcW w:type="dxa" w:w="4320"/>
          </w:tcPr>
          <w:p>
            <w:r>
              <w:t>Source generation</w:t>
            </w:r>
          </w:p>
        </w:tc>
        <w:tc>
          <w:tcPr>
            <w:tcW w:type="dxa" w:w="4320"/>
          </w:tcPr>
          <w:p>
            <w:r>
              <w:t>20260919-through-C120</w:t>
            </w:r>
          </w:p>
        </w:tc>
      </w:tr>
      <w:tr>
        <w:tc>
          <w:tcPr>
            <w:tcW w:type="dxa" w:w="4320"/>
          </w:tcPr>
          <w:p>
            <w:r>
              <w:t>Source range</w:t>
            </w:r>
          </w:p>
        </w:tc>
        <w:tc>
          <w:tcPr>
            <w:tcW w:type="dxa" w:w="4320"/>
          </w:tcPr>
          <w:p>
            <w:r>
              <w:t>C10–C10</w:t>
            </w:r>
          </w:p>
        </w:tc>
      </w:tr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patch</w:t>
            </w:r>
          </w:p>
        </w:tc>
      </w:tr>
      <w:tr>
        <w:tc>
          <w:tcPr>
            <w:tcW w:type="dxa" w:w="4320"/>
          </w:tcPr>
          <w:p>
            <w:r>
              <w:t>Standing</w:t>
            </w:r>
          </w:p>
        </w:tc>
        <w:tc>
          <w:tcPr>
            <w:tcW w:type="dxa" w:w="4320"/>
          </w:tcPr>
          <w:p>
            <w:r>
              <w:t>Historical product synthesis; each component retains its exact implementation, verification, publication and remaining scope.</w:t>
            </w:r>
          </w:p>
        </w:tc>
      </w:tr>
    </w:tbl>
    <w:p/>
    <w:p>
      <w:pPr>
        <w:pStyle w:val="Heading2"/>
      </w:pPr>
      <w:r>
        <w:t>Product outcome</w:t>
      </w:r>
    </w:p>
    <w:p/>
    <w:p>
      <w:r>
        <w:t>Connected need-directed movement to remembered opportunities and repaired the interaction path from player input through Standing. Added outcome-verified dressing and claim-aware wake placement. Knowledge, permission and execution remain separate responsibilities; a reachable interface does not itself supply an action consequence.</w:t>
      </w:r>
    </w:p>
    <w:p/>
    <w:p>
      <w:pPr>
        <w:pStyle w:val="Heading2"/>
      </w:pPr>
      <w:r>
        <w:t>Chronological product boundary</w:t>
      </w:r>
    </w:p>
    <w:p/>
    <w:p>
      <w:r>
        <w:t>Retains the substantive product boundary established by the operator-authorized 2026-09-19 consolidation. Its exact original source includes the implementation assessment, cause-specific corrections and remaining scope; later related work stays in its chronological product.</w:t>
      </w:r>
    </w:p>
    <w:p/>
    <w:p>
      <w:r>
        <w:t>Preserves the earlier product-tier classification: Retains the substantive product boundary established by the operator-authorized 2026-09-19 consolidation. Its exact original source includes the implementation assessment, cause-specific corrections and remaining scope; later related work stays in its chronological product.</w:t>
      </w:r>
    </w:p>
    <w:p/>
    <w:p>
      <w:pPr>
        <w:pStyle w:val="Heading2"/>
      </w:pPr>
      <w:r>
        <w:t>Source contributions and custody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Original contribution</w:t>
            </w:r>
          </w:p>
        </w:tc>
        <w:tc>
          <w:tcPr>
            <w:tcW w:type="dxa" w:w="2880"/>
          </w:tcPr>
          <w:p>
            <w:r>
              <w:t>Exact immutable record</w:t>
            </w:r>
          </w:p>
        </w:tc>
        <w:tc>
          <w:tcPr>
            <w:tcW w:type="dxa" w:w="2880"/>
          </w:tcPr>
          <w:p>
            <w:r>
              <w:t>SHA-256</w:t>
            </w:r>
          </w:p>
        </w:tc>
      </w:tr>
      <w:tr>
        <w:tc>
          <w:tcPr>
            <w:tcW w:type="dxa" w:w="2880"/>
          </w:tcPr>
          <w:p>
            <w:r>
              <w:t>20260919-through-C120:C10 — Known needs and social interaction</w:t>
            </w:r>
          </w:p>
        </w:tc>
        <w:tc>
          <w:tcPr>
            <w:tcW w:type="dxa" w:w="2880"/>
          </w:tcPr>
          <w:p>
            <w:r>
              <w:t>[Source record](../../Batches/history/c-20261003-source/Batches/C10-2026-08-29-known-needs-and-social-interaction.md)</w:t>
            </w:r>
          </w:p>
        </w:tc>
        <w:tc>
          <w:tcPr>
            <w:tcW w:type="dxa" w:w="2880"/>
          </w:tcPr>
          <w:p>
            <w:r>
              <w:t>03343eed00a35a21fb5a1546505f76d34bb9416ab4961a7bc8dd984ced10e882</w:t>
            </w:r>
          </w:p>
        </w:tc>
      </w:tr>
    </w:tbl>
    <w:p/>
    <w:p>
      <w:r>
        <w:t>Each original contributes once to the product/version chronology. Its many-to-many shared-contract links remain in the unchanged ownership projection, and nonadjacent related work stays later in the chronology.</w:t>
      </w:r>
    </w:p>
    <w:p/>
    <w:p>
      <w:pPr>
        <w:pStyle w:val="Heading2"/>
      </w:pPr>
      <w:r>
        <w:t>Delivered mechanisms and evidence boundaries</w:t>
      </w:r>
    </w:p>
    <w:p/>
    <w:p>
      <w:r>
        <w:t>The following excerpts preserve the source prose; relative navigation is resolved from this product record. The exact original record above owns the full context, mechanisms, controls and corrections.</w:t>
      </w:r>
    </w:p>
    <w:p/>
    <w:p>
      <w:pPr>
        <w:pStyle w:val="Heading3"/>
      </w:pPr>
      <w:r>
        <w:t>20260919-through-C120:C10 — Known needs and social interaction</w:t>
      </w:r>
    </w:p>
    <w:p/>
    <w:p>
      <w:r>
        <w:t>&gt; Connected need-directed movement to remembered opportunities and repaired the interaction path from player input through Standing. Added outcome-verified dressing and claim-aware wake placement. Knowledge, permission and execution remain separate responsibilities; a reachable interface does not itself supply an action consequence.</w:t>
      </w:r>
    </w:p>
    <w:p/>
    <w:p>
      <w:r>
        <w:t>**Implementation:** partial historical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Consolidated historical record; implementation limitations remain explicit.</w:t>
      </w:r>
    </w:p>
    <w:p/>
    <w:p>
      <w:r>
        <w:t>**Remaining scope retained from the source:**</w:t>
      </w:r>
    </w:p>
    <w:p/>
    <w:p>
      <w:pPr>
        <w:pStyle w:val="ListBullet"/>
      </w:pPr>
      <w:r>
        <w:t>Knowing, permission and successful execution remain independent; later C60/C61 ground access.</w:t>
      </w:r>
    </w:p>
    <w:p/>
    <w:p>
      <w:pPr>
        <w:pStyle w:val="Heading2"/>
      </w:pPr>
      <w:r>
        <w:t>Historical interpretation</w:t>
      </w:r>
    </w:p>
    <w:p/>
    <w:p>
      <w:r>
        <w:t>This record consolidates development substance and its supporting integration, verification and publication. It supplies no new runtime, native-trial, learned-policy, visual-acceptance or release-maturity credit. Historical failures, incomplete work, source corrections and later D-era outcomes retain their dated generation-qualified records.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