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C11 - Knowledge conditioning and inference measurement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2026-08-30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C11–C11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Introduced a common view of what a person knows and an arithmetic instrument for in-process inference cost. The standalone measurement supplies a ceiling under its measured conditions. It does not select the final model size or establish performance under a loaded game.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 — Knowledge conditioning and inference measurement</w:t>
            </w:r>
          </w:p>
        </w:tc>
        <w:tc>
          <w:tcPr>
            <w:tcW w:type="dxa" w:w="2880"/>
          </w:tcPr>
          <w:p>
            <w:r>
              <w:t>[Source record](../../Batches/history/c-20261003-source/Batches/C11-2026-08-30-knowledge-conditioning-and-inference-measurement.md)</w:t>
            </w:r>
          </w:p>
        </w:tc>
        <w:tc>
          <w:tcPr>
            <w:tcW w:type="dxa" w:w="2880"/>
          </w:tcPr>
          <w:p>
            <w:r>
              <w:t>21139c3884f68232174faa0ec0b357d0c95e5526c3cb560d5dd79676d6761e7c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 — Knowledge conditioning and inference measurement</w:t>
      </w:r>
    </w:p>
    <w:p/>
    <w:p>
      <w:r>
        <w:t>&gt; Introduced a common view of what a person knows and an arithmetic instrument for in-process inference cost. The standalone measurement supplies a ceiling under its measured conditions. It does not select the final model size or establish performance under a loaded game.</w:t>
      </w:r>
    </w:p>
    <w:p/>
    <w:p>
      <w:r>
        <w:t>**Implementation:** completed contract and benchmark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Benchmark proves neither selected model size nor loaded cost; authentic data/models still require proof.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