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C12 - Body scale age and childhood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2026-09-06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C12–C12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engine body scaling, an age system on durable people, and childhood capacity and activity distinctions. Age changes human capability and expression. Later child activity integration contains a reproduced zero-wound truthiness defect and does not inherit acceptance from this record.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20260919-through-C120:C12 — Body scale age and childhood</w:t>
            </w:r>
          </w:p>
        </w:tc>
        <w:tc>
          <w:tcPr>
            <w:tcW w:type="dxa" w:w="2880"/>
          </w:tcPr>
          <w:p>
            <w:r>
              <w:t>[Source record](../../Batches/history/c-20261003-source/Batches/C12-2026-09-06-body-scale-age-and-childhood.md)</w:t>
            </w:r>
          </w:p>
        </w:tc>
        <w:tc>
          <w:tcPr>
            <w:tcW w:type="dxa" w:w="2880"/>
          </w:tcPr>
          <w:p>
            <w:r>
              <w:t>b81d6e7ad1b894e25ab6b5057ccfb1bae7817cffaf96e39928a023d459773462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20260919-through-C120:C12 — Body scale age and childhood</w:t>
      </w:r>
    </w:p>
    <w:p/>
    <w:p>
      <w:r>
        <w:t>&gt; Added engine body scaling, an age system on durable people, and childhood capacity and activity distinctions. Age changes human capability and expression. Later child activity integration contains a reproduced zero-wound truthiness defect and does not inherit acceptance from this record.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C46 exposes zero-wound truthiness; body support does not certify decisions or cultural knowledge.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