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C16 - Orders through Standing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C16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2026-09-07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C16–C16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Added the command check for whose instruction a person accepts, within what matter and with what grounds for refusal. Standing determines authority before execution. This contract is wider than obedience to a fixed leader label.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20260919-through-C120:C16 — Orders through Standing</w:t>
            </w:r>
          </w:p>
        </w:tc>
        <w:tc>
          <w:tcPr>
            <w:tcW w:type="dxa" w:w="2880"/>
          </w:tcPr>
          <w:p>
            <w:r>
              <w:t>[Source record](../../Batches/history/c-20261003-source/Batches/C16-2026-09-07-orders-through-standing.md)</w:t>
            </w:r>
          </w:p>
        </w:tc>
        <w:tc>
          <w:tcPr>
            <w:tcW w:type="dxa" w:w="2880"/>
          </w:tcPr>
          <w:p>
            <w:r>
              <w:t>4dc412ed3143ecd91608c6a08b2a5039b20cfdeadd1ce69c46fc5e18f5c76eea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20260919-through-C120:C16 — Orders through Standing</w:t>
      </w:r>
    </w:p>
    <w:p/>
    <w:p>
      <w:r>
        <w:t>&gt; Added the command check for whose instruction a person accepts, within what matter and with what grounds for refusal. Standing determines authority before execution. This contract is wider than obedience to a fixed leader label.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Contextual authority is not a fixed leader flag; responsibility requires reception/enactment.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