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C18 - Historical county simulation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C18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2026-09-07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C18–C18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the pre-spawn county, ordinary pre-collapse activity, start-date alignment, construction choices and elapsed-year simulation. Ground observations were connected to historical processing. The original clock and cadence defects were later repaired; loaded geometry, complete dormant producers and scalable late starts remain subject to the substrate assessment.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20260919-through-C120:C18 — Historical county simulation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record](../../Batches/history/c-20261003-source/Batches/C18-2026-09-07-historical-county-simulation.md)</w:t>
            </w:r>
          </w:p>
        </w:tc>
        <w:tc>
          <w:tcPr>
            <w:tcW w:type="dxa" w:w="2880"/>
          </w:tcPr>
          <w:p>
            <w:r>
              <w:t>2a1ae46fd778484734bd1c131352423d6a473f031720ad4e3e5a1034f529d9e0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20260919-through-C120:C18 — Historical county simulation</w:t>
      </w:r>
    </w:p>
    <w:p/>
    <w:p>
      <w:r>
        <w:t>&gt; Added the pre-spawn county, ordinary pre-collapse activity, start-date alignment, construction choices and elapsed-year simulation. Ground observations were connected to historical processing. The original clock and cadence defects were later repaired; loaded geometry, complete dormant producers and scalable late starts remain subject to the substrate assessment.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Later clocks matter; full dormant life producers, grounded realization and scale were incomplete.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