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C2 - Identity and execution continuity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C2–C2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Unified person naming across the neighbour path and repaired continuity through crossings, seats and spoken interactions. The changes connected existing engine and controller paths and made swallowed execution failures visible; they did not introduce a second owner for a body.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20260919-through-C120:C2 — Identity and execution continuity</w:t>
            </w:r>
          </w:p>
        </w:tc>
        <w:tc>
          <w:tcPr>
            <w:tcW w:type="dxa" w:w="2880"/>
          </w:tcPr>
          <w:p>
            <w:r>
              <w:t>[Source record](../../Batches/history/c-20261003-source/Batches/C2-2026-08-29-identity-and-execution-continuity.md)</w:t>
            </w:r>
          </w:p>
        </w:tc>
        <w:tc>
          <w:tcPr>
            <w:tcW w:type="dxa" w:w="2880"/>
          </w:tcPr>
          <w:p>
            <w:r>
              <w:t>364d1bab41a5b0d90061c1db4440d8729852f82a27bb18fc5a6c525e868bc54f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20260919-through-C120:C2 — Identity and execution continuity</w:t>
      </w:r>
    </w:p>
    <w:p/>
    <w:p>
      <w:r>
        <w:t>&gt; Unified person naming across the neighbour path and repaired continuity through crossings, seats and spoken interactions. The changes connected existing engine and controller paths and made swallowed execution failures visible; they did not introduce a second owner for a body.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Later preservation and transfer contracts harden these seams; no all-actions acceptance.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